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2022年度</w:t>
      </w:r>
    </w:p>
    <w:p>
      <w:pPr>
        <w:pStyle w:val="9"/>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溆浦县退役军人事务局   部门决算</w:t>
      </w:r>
    </w:p>
    <w:p>
      <w:pPr>
        <w:pStyle w:val="9"/>
        <w:jc w:val="center"/>
        <w:rPr>
          <w:rFonts w:ascii="方正小标宋_GBK" w:hAnsi="方正小标宋_GBK" w:eastAsia="方正小标宋_GBK" w:cs="方正小标宋_GBK"/>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32"/>
          <w:szCs w:val="32"/>
        </w:rPr>
      </w:pPr>
    </w:p>
    <w:p>
      <w:pPr>
        <w:pStyle w:val="9"/>
        <w:spacing w:line="500" w:lineRule="exact"/>
        <w:jc w:val="center"/>
        <w:rPr>
          <w:b/>
          <w:sz w:val="36"/>
          <w:szCs w:val="28"/>
        </w:rPr>
      </w:pPr>
      <w:r>
        <w:rPr>
          <w:rFonts w:hint="eastAsia"/>
          <w:b/>
          <w:sz w:val="36"/>
          <w:szCs w:val="28"/>
        </w:rPr>
        <w:t>目录</w:t>
      </w:r>
    </w:p>
    <w:p>
      <w:pPr>
        <w:pStyle w:val="9"/>
        <w:spacing w:line="500" w:lineRule="exact"/>
        <w:rPr>
          <w:rFonts w:hAnsi="黑体"/>
          <w:bCs/>
          <w:sz w:val="28"/>
          <w:szCs w:val="28"/>
        </w:rPr>
      </w:pPr>
      <w:r>
        <w:rPr>
          <w:rFonts w:hint="eastAsia" w:hAnsi="黑体"/>
          <w:bCs/>
          <w:sz w:val="28"/>
          <w:szCs w:val="28"/>
        </w:rPr>
        <w:t>第一部分 溆浦县退役军人事务局单位概况</w:t>
      </w:r>
    </w:p>
    <w:p>
      <w:pPr>
        <w:pStyle w:val="9"/>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9"/>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9"/>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9"/>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pPr>
        <w:pStyle w:val="9"/>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9"/>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9"/>
        <w:jc w:val="center"/>
        <w:rPr>
          <w:rFonts w:ascii="方正小标宋_GBK" w:hAnsi="方正小标宋_GBK" w:eastAsia="方正小标宋_GBK" w:cs="方正小标宋_GBK"/>
          <w:sz w:val="84"/>
          <w:szCs w:val="84"/>
        </w:rPr>
      </w:pPr>
    </w:p>
    <w:p>
      <w:pPr>
        <w:pStyle w:val="9"/>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溆浦县退役军人事务局</w:t>
      </w:r>
    </w:p>
    <w:p>
      <w:pPr>
        <w:pStyle w:val="9"/>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单位概况</w:t>
      </w:r>
    </w:p>
    <w:p>
      <w:pPr>
        <w:jc w:val="center"/>
        <w:rPr>
          <w:rFonts w:ascii="方正小标宋_GBK" w:hAnsi="方正小标宋_GBK" w:eastAsia="方正小标宋_GBK" w:cs="方正小标宋_GBK"/>
          <w:sz w:val="72"/>
          <w:szCs w:val="72"/>
        </w:rPr>
      </w:pPr>
    </w:p>
    <w:p>
      <w:pPr>
        <w:jc w:val="center"/>
        <w:rPr>
          <w:rFonts w:ascii="方正小标宋_GBK" w:hAnsi="方正小标宋_GBK" w:eastAsia="方正小标宋_GBK" w:cs="方正小标宋_GBK"/>
          <w:sz w:val="72"/>
          <w:szCs w:val="72"/>
        </w:rPr>
      </w:pPr>
    </w:p>
    <w:p>
      <w:pPr>
        <w:jc w:val="center"/>
        <w:rPr>
          <w:sz w:val="72"/>
          <w:szCs w:val="72"/>
        </w:rPr>
      </w:pPr>
    </w:p>
    <w:p>
      <w:pPr>
        <w:jc w:val="center"/>
        <w:rPr>
          <w:sz w:val="72"/>
          <w:szCs w:val="72"/>
        </w:rPr>
      </w:pPr>
    </w:p>
    <w:p>
      <w:pPr>
        <w:jc w:val="center"/>
        <w:rPr>
          <w:sz w:val="72"/>
          <w:szCs w:val="72"/>
        </w:rPr>
      </w:pPr>
    </w:p>
    <w:p>
      <w:pPr>
        <w:pStyle w:val="10"/>
        <w:numPr>
          <w:ilvl w:val="0"/>
          <w:numId w:val="1"/>
        </w:numPr>
        <w:ind w:firstLineChars="0"/>
        <w:jc w:val="left"/>
        <w:rPr>
          <w:rFonts w:ascii="黑体" w:hAnsi="黑体" w:eastAsia="黑体" w:cs="黑体"/>
          <w:sz w:val="32"/>
          <w:szCs w:val="32"/>
        </w:rPr>
      </w:pPr>
      <w:r>
        <w:rPr>
          <w:rFonts w:hint="eastAsia" w:ascii="黑体" w:hAnsi="黑体" w:eastAsia="黑体" w:cs="黑体"/>
          <w:sz w:val="32"/>
          <w:szCs w:val="32"/>
        </w:rPr>
        <w:t>部门职责</w:t>
      </w:r>
    </w:p>
    <w:p>
      <w:pPr>
        <w:pStyle w:val="10"/>
        <w:widowControl/>
        <w:spacing w:line="556" w:lineRule="exact"/>
        <w:ind w:left="720" w:firstLine="480" w:firstLineChars="150"/>
        <w:rPr>
          <w:rFonts w:ascii="宋体" w:hAnsi="宋体" w:eastAsia="宋体" w:cs="Times New Roman"/>
          <w:bCs/>
          <w:kern w:val="0"/>
          <w:sz w:val="32"/>
          <w:szCs w:val="32"/>
        </w:rPr>
      </w:pPr>
      <w:r>
        <w:rPr>
          <w:rFonts w:hint="eastAsia" w:ascii="宋体" w:hAnsi="宋体" w:eastAsia="宋体" w:cs="Times New Roman"/>
          <w:bCs/>
          <w:kern w:val="0"/>
          <w:sz w:val="32"/>
          <w:szCs w:val="32"/>
        </w:rPr>
        <w:t>溆浦县退役事务局属行政编制单位，主要职能职责是贯彻落实党中央关于退役军人事务工作的方针政策和决策部署，全面落实省、市、县委关于退役军人事务工作的部署要求和国家关于退役军人的特殊保障政策，负责全县军队转业干部、复员干部、离退休干部、退役士兵和无军籍退休退职职工的移交安置、自主择业、就业退役军人服务管理工作,负责全县烈士及退役军人荣誉奖励、军人公墓维护、纪念活动等工作。组织指导全县退役军人和其他优抚对象教育培训、就业创业工作,组织指导伤残退役军人服务管理、抚恤工作和全县拥军优属工作及承办上级各部门交付的其他任务等。</w:t>
      </w:r>
    </w:p>
    <w:p>
      <w:pPr>
        <w:widowControl/>
        <w:spacing w:line="600" w:lineRule="exact"/>
        <w:rPr>
          <w:rFonts w:ascii="黑体" w:hAnsi="黑体" w:eastAsia="黑体" w:cs="黑体"/>
          <w:bCs/>
          <w:kern w:val="0"/>
          <w:sz w:val="32"/>
          <w:szCs w:val="32"/>
        </w:rPr>
      </w:pPr>
      <w:r>
        <w:rPr>
          <w:rFonts w:hint="eastAsia" w:ascii="黑体" w:hAnsi="黑体" w:eastAsia="黑体" w:cs="黑体"/>
          <w:bCs/>
          <w:kern w:val="0"/>
          <w:sz w:val="32"/>
          <w:szCs w:val="32"/>
        </w:rPr>
        <w:t>二、机构设置及决算单位构成</w:t>
      </w:r>
    </w:p>
    <w:p>
      <w:pPr>
        <w:overflowPunct w:val="0"/>
        <w:spacing w:line="61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（一）内设机构设置。</w:t>
      </w:r>
    </w:p>
    <w:p>
      <w:pPr>
        <w:overflowPunct w:val="0"/>
        <w:spacing w:line="61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溆浦县退役军人事务局内设5个机构：办公室（党建办公室、人事股）、规划财务股、思想政治和权益维护股（政策法规股）、移交安置股（就业创业和军休管理股）、拥军优抚股。县退役军人服务中心，县光荣院，县民兵训练基地，县民兵武器装备库4个非独立核算单位纳入局本级。核定编制39名(其中局机关行政编6名，县服务中心事业编19名，县光荣院事业编5名，县民兵训练基地3名，县民兵武器装备库6名)。2022年底局本级实有在编人数28人（其中行政编6人，事业编22人）。</w:t>
      </w:r>
    </w:p>
    <w:p>
      <w:pPr>
        <w:widowControl/>
        <w:spacing w:line="600" w:lineRule="exact"/>
        <w:ind w:firstLine="320" w:firstLineChars="100"/>
        <w:rPr>
          <w:rFonts w:asciiTheme="minorEastAsia" w:hAnsiTheme="minorEastAsia"/>
          <w:bCs/>
          <w:kern w:val="0"/>
          <w:sz w:val="32"/>
          <w:szCs w:val="32"/>
        </w:rPr>
      </w:pPr>
      <w:r>
        <w:rPr>
          <w:rFonts w:hint="eastAsia" w:asciiTheme="minorEastAsia" w:hAnsiTheme="minorEastAsia"/>
          <w:bCs/>
          <w:kern w:val="0"/>
          <w:sz w:val="32"/>
          <w:szCs w:val="32"/>
        </w:rPr>
        <w:t>（二）决算单位构成。</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溆浦县退役军人事务局是一级独立核算单位，2022年部门决算汇总公开单位构成包括：溆浦县退役军人事务局本级，以及溆浦县军队离退休干部服务中心、溆浦县低庄军供站。</w:t>
      </w:r>
    </w:p>
    <w:p>
      <w:pPr>
        <w:widowControl/>
        <w:spacing w:line="600" w:lineRule="exact"/>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pStyle w:val="9"/>
        <w:ind w:left="1365" w:leftChars="650" w:firstLine="2100" w:firstLineChars="250"/>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 第二部分</w:t>
      </w:r>
    </w:p>
    <w:p>
      <w:pPr>
        <w:pStyle w:val="9"/>
        <w:jc w:val="center"/>
        <w:rPr>
          <w:rFonts w:ascii="方正小标宋_GBK" w:hAnsi="方正小标宋_GBK" w:eastAsia="方正小标宋_GBK" w:cs="方正小标宋_GBK"/>
          <w:sz w:val="84"/>
          <w:szCs w:val="84"/>
        </w:rPr>
      </w:pPr>
    </w:p>
    <w:p>
      <w:pPr>
        <w:pStyle w:val="9"/>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5"/>
        <w:tblW w:w="15428" w:type="dxa"/>
        <w:tblInd w:w="0" w:type="dxa"/>
        <w:tblLayout w:type="autofit"/>
        <w:tblCellMar>
          <w:top w:w="0" w:type="dxa"/>
          <w:left w:w="0" w:type="dxa"/>
          <w:bottom w:w="0" w:type="dxa"/>
          <w:right w:w="0" w:type="dxa"/>
        </w:tblCellMar>
      </w:tblPr>
      <w:tblGrid>
        <w:gridCol w:w="1811"/>
        <w:gridCol w:w="3162"/>
        <w:gridCol w:w="2900"/>
        <w:gridCol w:w="1125"/>
        <w:gridCol w:w="1108"/>
        <w:gridCol w:w="811"/>
        <w:gridCol w:w="811"/>
        <w:gridCol w:w="811"/>
        <w:gridCol w:w="804"/>
        <w:gridCol w:w="2085"/>
      </w:tblGrid>
      <w:tr>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5"/>
              <w:tblW w:w="15398" w:type="dxa"/>
              <w:tblInd w:w="0" w:type="dxa"/>
              <w:tblLayout w:type="autofit"/>
              <w:tblCellMar>
                <w:top w:w="0" w:type="dxa"/>
                <w:left w:w="108" w:type="dxa"/>
                <w:bottom w:w="0" w:type="dxa"/>
                <w:right w:w="108" w:type="dxa"/>
              </w:tblCellMar>
            </w:tblPr>
            <w:tblGrid>
              <w:gridCol w:w="3969"/>
              <w:gridCol w:w="667"/>
              <w:gridCol w:w="1729"/>
              <w:gridCol w:w="6171"/>
              <w:gridCol w:w="704"/>
              <w:gridCol w:w="506"/>
              <w:gridCol w:w="506"/>
              <w:gridCol w:w="1146"/>
            </w:tblGrid>
            <w:tr>
              <w:tblPrEx>
                <w:tblCellMar>
                  <w:top w:w="0" w:type="dxa"/>
                  <w:left w:w="108" w:type="dxa"/>
                  <w:bottom w:w="0" w:type="dxa"/>
                  <w:right w:w="108" w:type="dxa"/>
                </w:tblCellMar>
              </w:tblPrEx>
              <w:trPr>
                <w:trHeight w:val="609" w:hRule="atLeast"/>
              </w:trPr>
              <w:tc>
                <w:tcPr>
                  <w:tcW w:w="0" w:type="auto"/>
                  <w:gridSpan w:val="8"/>
                  <w:tcBorders>
                    <w:top w:val="nil"/>
                    <w:left w:val="nil"/>
                    <w:bottom w:val="nil"/>
                    <w:right w:val="nil"/>
                  </w:tcBorders>
                  <w:shd w:val="clear" w:color="auto" w:fill="auto"/>
                  <w:noWrap/>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收入支出决算总表</w:t>
                  </w:r>
                </w:p>
              </w:tc>
            </w:tr>
            <w:tr>
              <w:tblPrEx>
                <w:tblCellMar>
                  <w:top w:w="0" w:type="dxa"/>
                  <w:left w:w="108" w:type="dxa"/>
                  <w:bottom w:w="0" w:type="dxa"/>
                  <w:right w:w="108" w:type="dxa"/>
                </w:tblCellMar>
              </w:tblPrEx>
              <w:trPr>
                <w:trHeight w:val="304" w:hRule="atLeast"/>
              </w:trPr>
              <w:tc>
                <w:tcPr>
                  <w:tcW w:w="0" w:type="auto"/>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0" w:type="auto"/>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1619" w:type="dxa"/>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5505" w:type="dxa"/>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0" w:type="auto"/>
                  <w:gridSpan w:val="2"/>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0" w:type="auto"/>
                  <w:gridSpan w:val="2"/>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4" w:hRule="atLeast"/>
              </w:trPr>
              <w:tc>
                <w:tcPr>
                  <w:tcW w:w="0" w:type="auto"/>
                  <w:tcBorders>
                    <w:top w:val="nil"/>
                    <w:left w:val="nil"/>
                    <w:bottom w:val="nil"/>
                    <w:right w:val="nil"/>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部门：溆浦县退役军人事务局</w:t>
                  </w:r>
                </w:p>
              </w:tc>
              <w:tc>
                <w:tcPr>
                  <w:tcW w:w="0" w:type="auto"/>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1619" w:type="dxa"/>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5505" w:type="dxa"/>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0" w:type="auto"/>
                  <w:gridSpan w:val="2"/>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0" w:type="auto"/>
                  <w:gridSpan w:val="2"/>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gridAfter w:val="1"/>
                <w:wAfter w:w="1223" w:type="dxa"/>
                <w:trHeight w:val="448" w:hRule="atLeast"/>
              </w:trPr>
              <w:tc>
                <w:tcPr>
                  <w:tcW w:w="680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收入</w:t>
                  </w:r>
                </w:p>
              </w:tc>
              <w:tc>
                <w:tcPr>
                  <w:tcW w:w="7371"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支出</w:t>
                  </w:r>
                </w:p>
              </w:tc>
            </w:tr>
            <w:tr>
              <w:tblPrEx>
                <w:tblCellMar>
                  <w:top w:w="0" w:type="dxa"/>
                  <w:left w:w="108" w:type="dxa"/>
                  <w:bottom w:w="0" w:type="dxa"/>
                  <w:right w:w="108" w:type="dxa"/>
                </w:tblCellMar>
              </w:tblPrEx>
              <w:trPr>
                <w:gridAfter w:val="1"/>
                <w:wAfter w:w="1223" w:type="dxa"/>
                <w:trHeight w:val="62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行次</w:t>
                  </w:r>
                </w:p>
              </w:tc>
              <w:tc>
                <w:tcPr>
                  <w:tcW w:w="1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决算数</w:t>
                  </w:r>
                </w:p>
              </w:tc>
              <w:tc>
                <w:tcPr>
                  <w:tcW w:w="55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行次</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决算数</w:t>
                  </w:r>
                </w:p>
              </w:tc>
            </w:tr>
            <w:tr>
              <w:tblPrEx>
                <w:tblCellMar>
                  <w:top w:w="0" w:type="dxa"/>
                  <w:left w:w="108" w:type="dxa"/>
                  <w:bottom w:w="0" w:type="dxa"/>
                  <w:right w:w="108" w:type="dxa"/>
                </w:tblCellMar>
              </w:tblPrEx>
              <w:trPr>
                <w:gridAfter w:val="1"/>
                <w:wAfter w:w="1223"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4"/>
                      <w:szCs w:val="24"/>
                    </w:rPr>
                  </w:pPr>
                </w:p>
              </w:tc>
              <w:tc>
                <w:tcPr>
                  <w:tcW w:w="1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w:t>
                  </w:r>
                </w:p>
              </w:tc>
              <w:tc>
                <w:tcPr>
                  <w:tcW w:w="55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4"/>
                      <w:szCs w:val="24"/>
                    </w:rPr>
                  </w:pP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w:t>
                  </w:r>
                </w:p>
              </w:tc>
            </w:tr>
            <w:tr>
              <w:tblPrEx>
                <w:tblCellMar>
                  <w:top w:w="0" w:type="dxa"/>
                  <w:left w:w="108" w:type="dxa"/>
                  <w:bottom w:w="0" w:type="dxa"/>
                  <w:right w:w="108" w:type="dxa"/>
                </w:tblCellMar>
              </w:tblPrEx>
              <w:trPr>
                <w:gridAfter w:val="1"/>
                <w:wAfter w:w="1223"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r>
                    <w:rPr>
                      <w:rFonts w:hint="eastAsia" w:ascii="宋体" w:hAnsi="宋体" w:eastAsia="宋体" w:cs="宋体"/>
                      <w:color w:val="000000"/>
                      <w:sz w:val="22"/>
                    </w:rPr>
                    <w:t>8527.22</w:t>
                  </w:r>
                </w:p>
              </w:tc>
              <w:tc>
                <w:tcPr>
                  <w:tcW w:w="55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gridAfter w:val="1"/>
                <w:wAfter w:w="1223"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55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gridAfter w:val="1"/>
                <w:wAfter w:w="1223"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55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gridAfter w:val="1"/>
                <w:wAfter w:w="1223"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55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gridAfter w:val="1"/>
                <w:wAfter w:w="1223"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55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gridAfter w:val="1"/>
                <w:wAfter w:w="1223"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55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gridAfter w:val="1"/>
                <w:wAfter w:w="1223"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r>
                    <w:rPr>
                      <w:rFonts w:hint="eastAsia" w:ascii="宋体" w:hAnsi="宋体" w:eastAsia="宋体" w:cs="宋体"/>
                      <w:color w:val="000000"/>
                      <w:sz w:val="22"/>
                    </w:rPr>
                    <w:t>17.58</w:t>
                  </w:r>
                </w:p>
              </w:tc>
              <w:tc>
                <w:tcPr>
                  <w:tcW w:w="5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gridAfter w:val="1"/>
                <w:wAfter w:w="1223"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rPr>
                  </w:pPr>
                </w:p>
              </w:tc>
              <w:tc>
                <w:tcPr>
                  <w:tcW w:w="5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rPr>
                  </w:pPr>
                  <w:r>
                    <w:rPr>
                      <w:rFonts w:hint="eastAsia" w:ascii="宋体" w:hAnsi="宋体" w:eastAsia="宋体" w:cs="宋体"/>
                      <w:color w:val="000000"/>
                      <w:sz w:val="22"/>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r>
                    <w:rPr>
                      <w:rFonts w:hint="eastAsia" w:ascii="宋体" w:hAnsi="宋体" w:eastAsia="宋体" w:cs="宋体"/>
                      <w:color w:val="000000"/>
                      <w:sz w:val="22"/>
                    </w:rPr>
                    <w:t>8281.98</w:t>
                  </w:r>
                </w:p>
              </w:tc>
            </w:tr>
            <w:tr>
              <w:tblPrEx>
                <w:tblCellMar>
                  <w:top w:w="0" w:type="dxa"/>
                  <w:left w:w="108" w:type="dxa"/>
                  <w:bottom w:w="0" w:type="dxa"/>
                  <w:right w:w="108" w:type="dxa"/>
                </w:tblCellMar>
              </w:tblPrEx>
              <w:trPr>
                <w:gridAfter w:val="1"/>
                <w:wAfter w:w="1223"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5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r>
                    <w:rPr>
                      <w:rFonts w:hint="eastAsia" w:ascii="宋体" w:hAnsi="宋体" w:eastAsia="宋体" w:cs="宋体"/>
                      <w:color w:val="000000"/>
                      <w:sz w:val="22"/>
                    </w:rPr>
                    <w:t>186.97</w:t>
                  </w:r>
                </w:p>
              </w:tc>
            </w:tr>
            <w:tr>
              <w:tblPrEx>
                <w:tblCellMar>
                  <w:top w:w="0" w:type="dxa"/>
                  <w:left w:w="108" w:type="dxa"/>
                  <w:bottom w:w="0" w:type="dxa"/>
                  <w:right w:w="108" w:type="dxa"/>
                </w:tblCellMar>
              </w:tblPrEx>
              <w:trPr>
                <w:gridAfter w:val="1"/>
                <w:wAfter w:w="1223"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kern w:val="0"/>
                      <w:sz w:val="22"/>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5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十、住房保障支出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23</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r>
                    <w:rPr>
                      <w:rFonts w:hint="eastAsia" w:ascii="宋体" w:hAnsi="宋体" w:eastAsia="宋体" w:cs="宋体"/>
                      <w:color w:val="000000"/>
                      <w:sz w:val="22"/>
                    </w:rPr>
                    <w:t>11.75</w:t>
                  </w:r>
                </w:p>
              </w:tc>
            </w:tr>
            <w:tr>
              <w:tblPrEx>
                <w:tblCellMar>
                  <w:top w:w="0" w:type="dxa"/>
                  <w:left w:w="108" w:type="dxa"/>
                  <w:bottom w:w="0" w:type="dxa"/>
                  <w:right w:w="108" w:type="dxa"/>
                </w:tblCellMar>
              </w:tblPrEx>
              <w:trPr>
                <w:gridAfter w:val="1"/>
                <w:wAfter w:w="1223"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kern w:val="0"/>
                      <w:sz w:val="22"/>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5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十一、其他支出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24</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r>
                    <w:rPr>
                      <w:rFonts w:hint="eastAsia" w:ascii="宋体" w:hAnsi="宋体" w:eastAsia="宋体" w:cs="宋体"/>
                      <w:color w:val="000000"/>
                      <w:sz w:val="22"/>
                    </w:rPr>
                    <w:t>64.10</w:t>
                  </w:r>
                </w:p>
              </w:tc>
            </w:tr>
            <w:tr>
              <w:tblPrEx>
                <w:tblCellMar>
                  <w:top w:w="0" w:type="dxa"/>
                  <w:left w:w="108" w:type="dxa"/>
                  <w:bottom w:w="0" w:type="dxa"/>
                  <w:right w:w="108" w:type="dxa"/>
                </w:tblCellMar>
              </w:tblPrEx>
              <w:trPr>
                <w:gridAfter w:val="1"/>
                <w:wAfter w:w="1223"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r>
                    <w:rPr>
                      <w:rFonts w:hint="eastAsia" w:ascii="宋体" w:hAnsi="宋体" w:eastAsia="宋体" w:cs="宋体"/>
                      <w:color w:val="000000"/>
                      <w:sz w:val="22"/>
                    </w:rPr>
                    <w:t>8544.80</w:t>
                  </w:r>
                </w:p>
              </w:tc>
              <w:tc>
                <w:tcPr>
                  <w:tcW w:w="5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r>
                    <w:rPr>
                      <w:rFonts w:hint="eastAsia" w:ascii="宋体" w:hAnsi="宋体" w:eastAsia="宋体" w:cs="宋体"/>
                      <w:color w:val="000000"/>
                      <w:sz w:val="22"/>
                    </w:rPr>
                    <w:t>8544.80</w:t>
                  </w:r>
                </w:p>
              </w:tc>
            </w:tr>
            <w:tr>
              <w:tblPrEx>
                <w:tblCellMar>
                  <w:top w:w="0" w:type="dxa"/>
                  <w:left w:w="108" w:type="dxa"/>
                  <w:bottom w:w="0" w:type="dxa"/>
                  <w:right w:w="108" w:type="dxa"/>
                </w:tblCellMar>
              </w:tblPrEx>
              <w:trPr>
                <w:gridAfter w:val="1"/>
                <w:wAfter w:w="1223"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使用非财政拨款结余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5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r>
            <w:tr>
              <w:tblPrEx>
                <w:tblCellMar>
                  <w:top w:w="0" w:type="dxa"/>
                  <w:left w:w="108" w:type="dxa"/>
                  <w:bottom w:w="0" w:type="dxa"/>
                  <w:right w:w="108" w:type="dxa"/>
                </w:tblCellMar>
              </w:tblPrEx>
              <w:trPr>
                <w:gridAfter w:val="1"/>
                <w:wAfter w:w="1223" w:type="dxa"/>
                <w:trHeight w:val="6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5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27</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r>
            <w:tr>
              <w:tblPrEx>
                <w:tblCellMar>
                  <w:top w:w="0" w:type="dxa"/>
                  <w:left w:w="108" w:type="dxa"/>
                  <w:bottom w:w="0" w:type="dxa"/>
                  <w:right w:w="108" w:type="dxa"/>
                </w:tblCellMar>
              </w:tblPrEx>
              <w:trPr>
                <w:gridAfter w:val="1"/>
                <w:wAfter w:w="1223"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b/>
                      <w:color w:val="000000"/>
                      <w:sz w:val="22"/>
                    </w:rPr>
                  </w:pPr>
                  <w:r>
                    <w:rPr>
                      <w:rFonts w:hint="eastAsia" w:ascii="宋体" w:hAnsi="宋体" w:eastAsia="宋体" w:cs="宋体"/>
                      <w:b/>
                      <w:color w:val="000000"/>
                      <w:sz w:val="22"/>
                    </w:rPr>
                    <w:t>8544.80</w:t>
                  </w:r>
                </w:p>
              </w:tc>
              <w:tc>
                <w:tcPr>
                  <w:tcW w:w="55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28</w:t>
                  </w: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color w:val="000000"/>
                      <w:sz w:val="22"/>
                    </w:rPr>
                  </w:pPr>
                  <w:r>
                    <w:rPr>
                      <w:rFonts w:hint="eastAsia" w:ascii="宋体" w:hAnsi="宋体" w:eastAsia="宋体" w:cs="宋体"/>
                      <w:b/>
                      <w:color w:val="000000"/>
                      <w:sz w:val="22"/>
                    </w:rPr>
                    <w:t>8544.80</w:t>
                  </w:r>
                </w:p>
              </w:tc>
            </w:tr>
            <w:tr>
              <w:tblPrEx>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注：1.本表反映部门本年度的总收支和年末结转结余情况。</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2.本套报表金额单位转换时可能存在尾数误差。</w:t>
                  </w:r>
                </w:p>
              </w:tc>
            </w:tr>
          </w:tbl>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6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5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4304"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r>
              <w:rPr>
                <w:rFonts w:hint="eastAsia" w:ascii="宋体" w:hAnsi="宋体" w:eastAsia="宋体" w:cs="宋体"/>
                <w:color w:val="000000"/>
                <w:kern w:val="0"/>
                <w:sz w:val="20"/>
                <w:szCs w:val="20"/>
              </w:rPr>
              <w:t>溆浦县退役军人事务局</w:t>
            </w:r>
          </w:p>
        </w:tc>
        <w:tc>
          <w:tcPr>
            <w:tcW w:w="235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6655"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07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072"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07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07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07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06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35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7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4915" w:type="dxa"/>
            <w:gridSpan w:val="2"/>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74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4915"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8544.80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8527.22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17.58　</w:t>
            </w:r>
          </w:p>
        </w:tc>
      </w:tr>
      <w:tr>
        <w:tblPrEx>
          <w:tblCellMar>
            <w:top w:w="0" w:type="dxa"/>
            <w:left w:w="0" w:type="dxa"/>
            <w:bottom w:w="0" w:type="dxa"/>
            <w:right w:w="0"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208</w:t>
            </w:r>
          </w:p>
        </w:tc>
        <w:tc>
          <w:tcPr>
            <w:tcW w:w="0" w:type="auto"/>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社会保障和就业支出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8281.98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8264.40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17.58　</w:t>
            </w:r>
          </w:p>
        </w:tc>
      </w:tr>
      <w:tr>
        <w:tblPrEx>
          <w:tblCellMar>
            <w:top w:w="0" w:type="dxa"/>
            <w:left w:w="0" w:type="dxa"/>
            <w:bottom w:w="0" w:type="dxa"/>
            <w:right w:w="0"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pPr>
            <w:r>
              <w:rPr>
                <w:rFonts w:hint="eastAsia"/>
              </w:rPr>
              <w:t>20805</w:t>
            </w:r>
          </w:p>
        </w:tc>
        <w:tc>
          <w:tcPr>
            <w:tcW w:w="0" w:type="auto"/>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行政事业单位养老支出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24.30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24.30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315" w:firstLineChars="150"/>
            </w:pPr>
            <w:r>
              <w:rPr>
                <w:rFonts w:hint="eastAsia"/>
              </w:rPr>
              <w:t>2080505</w:t>
            </w:r>
          </w:p>
        </w:tc>
        <w:tc>
          <w:tcPr>
            <w:tcW w:w="0" w:type="auto"/>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pPr>
            <w:r>
              <w:rPr>
                <w:rFonts w:hint="eastAsia"/>
              </w:rPr>
              <w:t>机关事业单位基本养老保险缴费支出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24.30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24.30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pPr>
            <w:r>
              <w:rPr>
                <w:rFonts w:hint="eastAsia"/>
              </w:rPr>
              <w:t>20808</w:t>
            </w:r>
          </w:p>
        </w:tc>
        <w:tc>
          <w:tcPr>
            <w:tcW w:w="0" w:type="auto"/>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抚恤</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6872.28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6872.28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315" w:firstLineChars="150"/>
            </w:pPr>
            <w:r>
              <w:rPr>
                <w:rFonts w:hint="eastAsia"/>
              </w:rPr>
              <w:t>2080802</w:t>
            </w:r>
          </w:p>
        </w:tc>
        <w:tc>
          <w:tcPr>
            <w:tcW w:w="0" w:type="auto"/>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pPr>
            <w:r>
              <w:rPr>
                <w:rFonts w:hint="eastAsia"/>
              </w:rPr>
              <w:t>伤残抚恤</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1312.00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1312.00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315" w:firstLineChars="150"/>
            </w:pPr>
            <w:r>
              <w:rPr>
                <w:rFonts w:hint="eastAsia"/>
              </w:rPr>
              <w:t>2080803</w:t>
            </w:r>
          </w:p>
        </w:tc>
        <w:tc>
          <w:tcPr>
            <w:tcW w:w="0" w:type="auto"/>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pPr>
            <w:r>
              <w:rPr>
                <w:rFonts w:hint="eastAsia"/>
              </w:rPr>
              <w:t>在乡复员、退伍军人生活补助</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2589.18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2589.18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315" w:firstLineChars="150"/>
            </w:pPr>
            <w:r>
              <w:rPr>
                <w:rFonts w:hint="eastAsia"/>
              </w:rPr>
              <w:t>2080805</w:t>
            </w:r>
          </w:p>
        </w:tc>
        <w:tc>
          <w:tcPr>
            <w:tcW w:w="0" w:type="auto"/>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pPr>
            <w:r>
              <w:rPr>
                <w:rFonts w:hint="eastAsia"/>
              </w:rPr>
              <w:t>义务兵优待</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785.87</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785.87</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315" w:firstLineChars="150"/>
            </w:pPr>
            <w:r>
              <w:rPr>
                <w:rFonts w:hint="eastAsia"/>
              </w:rPr>
              <w:t>2080806</w:t>
            </w:r>
          </w:p>
        </w:tc>
        <w:tc>
          <w:tcPr>
            <w:tcW w:w="0" w:type="auto"/>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pPr>
            <w:r>
              <w:rPr>
                <w:rFonts w:hint="eastAsia"/>
              </w:rPr>
              <w:t>农村籍退役士兵老年生活补助</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1705.71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1705.71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315" w:firstLineChars="150"/>
            </w:pPr>
            <w:r>
              <w:rPr>
                <w:rFonts w:hint="eastAsia"/>
              </w:rPr>
              <w:t>2080899</w:t>
            </w:r>
          </w:p>
        </w:tc>
        <w:tc>
          <w:tcPr>
            <w:tcW w:w="0" w:type="auto"/>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pPr>
            <w:r>
              <w:rPr>
                <w:rFonts w:hint="eastAsia"/>
              </w:rPr>
              <w:t>其他优抚支出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479.53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479.53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20809</w:t>
            </w:r>
          </w:p>
        </w:tc>
        <w:tc>
          <w:tcPr>
            <w:tcW w:w="0" w:type="auto"/>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退役安置</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736.50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736.50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pPr>
            <w:r>
              <w:rPr>
                <w:rFonts w:hint="eastAsia"/>
              </w:rPr>
              <w:t>2080901</w:t>
            </w:r>
          </w:p>
        </w:tc>
        <w:tc>
          <w:tcPr>
            <w:tcW w:w="0" w:type="auto"/>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pPr>
            <w:r>
              <w:rPr>
                <w:rFonts w:hint="eastAsia"/>
              </w:rPr>
              <w:t>退役士兵安置</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451.13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451.13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pPr>
            <w:r>
              <w:rPr>
                <w:rFonts w:hint="eastAsia"/>
              </w:rPr>
              <w:t>2080903</w:t>
            </w:r>
          </w:p>
        </w:tc>
        <w:tc>
          <w:tcPr>
            <w:tcW w:w="0" w:type="auto"/>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pPr>
            <w:r>
              <w:rPr>
                <w:rFonts w:hint="eastAsia"/>
              </w:rPr>
              <w:t>军队移交政府离退休干部管理机构</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3.00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3.00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pPr>
            <w:r>
              <w:rPr>
                <w:rFonts w:hint="eastAsia"/>
              </w:rPr>
              <w:t>2080905</w:t>
            </w:r>
          </w:p>
        </w:tc>
        <w:tc>
          <w:tcPr>
            <w:tcW w:w="0" w:type="auto"/>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pPr>
            <w:r>
              <w:rPr>
                <w:rFonts w:hint="eastAsia"/>
              </w:rPr>
              <w:t>军队转业干部安置</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22.94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22.94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pPr>
            <w:r>
              <w:rPr>
                <w:rFonts w:hint="eastAsia"/>
              </w:rPr>
              <w:t>2080999</w:t>
            </w:r>
          </w:p>
        </w:tc>
        <w:tc>
          <w:tcPr>
            <w:tcW w:w="0" w:type="auto"/>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pPr>
            <w:r>
              <w:rPr>
                <w:rFonts w:hint="eastAsia"/>
              </w:rPr>
              <w:t>其他退役安置支出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259.43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259.43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20825</w:t>
            </w:r>
          </w:p>
        </w:tc>
        <w:tc>
          <w:tcPr>
            <w:tcW w:w="0" w:type="auto"/>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其他生活救助</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7.47</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7.47</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pPr>
            <w:r>
              <w:rPr>
                <w:rFonts w:hint="eastAsia"/>
              </w:rPr>
              <w:t>2082501</w:t>
            </w:r>
          </w:p>
        </w:tc>
        <w:tc>
          <w:tcPr>
            <w:tcW w:w="0" w:type="auto"/>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pPr>
            <w:r>
              <w:rPr>
                <w:rFonts w:hint="eastAsia"/>
              </w:rPr>
              <w:t>其他城市生活救助</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7.47</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7.47</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20828</w:t>
            </w:r>
          </w:p>
        </w:tc>
        <w:tc>
          <w:tcPr>
            <w:tcW w:w="0" w:type="auto"/>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退役军人管理事务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641.44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623.86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17.58</w:t>
            </w:r>
          </w:p>
        </w:tc>
      </w:tr>
      <w:tr>
        <w:tblPrEx>
          <w:tblCellMar>
            <w:top w:w="0" w:type="dxa"/>
            <w:left w:w="0" w:type="dxa"/>
            <w:bottom w:w="0" w:type="dxa"/>
            <w:right w:w="0"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pPr>
            <w:r>
              <w:rPr>
                <w:rFonts w:hint="eastAsia"/>
              </w:rPr>
              <w:t>2082801</w:t>
            </w:r>
          </w:p>
        </w:tc>
        <w:tc>
          <w:tcPr>
            <w:tcW w:w="0" w:type="auto"/>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pPr>
            <w:r>
              <w:rPr>
                <w:rFonts w:hint="eastAsia"/>
              </w:rPr>
              <w:t>行政运行</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294.97</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277.39</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17.58</w:t>
            </w:r>
          </w:p>
        </w:tc>
      </w:tr>
      <w:tr>
        <w:tblPrEx>
          <w:tblCellMar>
            <w:top w:w="0" w:type="dxa"/>
            <w:left w:w="0" w:type="dxa"/>
            <w:bottom w:w="0" w:type="dxa"/>
            <w:right w:w="0"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pPr>
            <w:r>
              <w:rPr>
                <w:rFonts w:hint="eastAsia"/>
              </w:rPr>
              <w:t>2082899</w:t>
            </w:r>
          </w:p>
        </w:tc>
        <w:tc>
          <w:tcPr>
            <w:tcW w:w="0" w:type="auto"/>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 xml:space="preserve">  其他退役军人事务管理支出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346.47</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346.47</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210</w:t>
            </w:r>
          </w:p>
        </w:tc>
        <w:tc>
          <w:tcPr>
            <w:tcW w:w="0" w:type="auto"/>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卫生健康支出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186.98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186.98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pPr>
            <w:r>
              <w:rPr>
                <w:rFonts w:hint="eastAsia"/>
              </w:rPr>
              <w:t>21011</w:t>
            </w:r>
          </w:p>
        </w:tc>
        <w:tc>
          <w:tcPr>
            <w:tcW w:w="0" w:type="auto"/>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pPr>
            <w:r>
              <w:rPr>
                <w:rFonts w:hint="eastAsia"/>
              </w:rPr>
              <w:t>行政事业单位医疗</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12.45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12.45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420" w:firstLineChars="200"/>
            </w:pPr>
            <w:r>
              <w:rPr>
                <w:rFonts w:hint="eastAsia"/>
              </w:rPr>
              <w:t>2101101</w:t>
            </w:r>
          </w:p>
        </w:tc>
        <w:tc>
          <w:tcPr>
            <w:tcW w:w="0" w:type="auto"/>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630" w:firstLineChars="300"/>
            </w:pPr>
            <w:r>
              <w:rPr>
                <w:rFonts w:hint="eastAsia"/>
              </w:rPr>
              <w:t>行政单位医疗</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12.45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12.45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21014</w:t>
            </w:r>
          </w:p>
        </w:tc>
        <w:tc>
          <w:tcPr>
            <w:tcW w:w="0" w:type="auto"/>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优抚对象医疗</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华文中宋" w:hAnsi="华文中宋" w:eastAsia="华文中宋" w:cs="宋体"/>
                <w:sz w:val="24"/>
                <w:szCs w:val="24"/>
              </w:rPr>
            </w:pPr>
            <w:r>
              <w:rPr>
                <w:rFonts w:hint="eastAsia" w:ascii="华文中宋" w:hAnsi="华文中宋" w:eastAsia="华文中宋"/>
              </w:rPr>
              <w:t>174.52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174.52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315" w:firstLineChars="150"/>
            </w:pPr>
            <w:r>
              <w:rPr>
                <w:rFonts w:hint="eastAsia"/>
              </w:rPr>
              <w:t>2101401</w:t>
            </w:r>
          </w:p>
        </w:tc>
        <w:tc>
          <w:tcPr>
            <w:tcW w:w="0" w:type="auto"/>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630" w:firstLineChars="300"/>
            </w:pPr>
            <w:r>
              <w:rPr>
                <w:rFonts w:hint="eastAsia"/>
              </w:rPr>
              <w:t>优抚对象医疗补助</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华文中宋" w:hAnsi="华文中宋" w:eastAsia="华文中宋"/>
              </w:rPr>
            </w:pPr>
            <w:r>
              <w:rPr>
                <w:rFonts w:hint="eastAsia" w:ascii="华文中宋" w:hAnsi="华文中宋" w:eastAsia="华文中宋"/>
              </w:rPr>
              <w:t>174.52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174.52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221</w:t>
            </w:r>
          </w:p>
        </w:tc>
        <w:tc>
          <w:tcPr>
            <w:tcW w:w="0" w:type="auto"/>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住房保障支出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华文中宋" w:hAnsi="华文中宋" w:eastAsia="华文中宋"/>
              </w:rPr>
            </w:pPr>
            <w:r>
              <w:rPr>
                <w:rFonts w:hint="eastAsia" w:ascii="华文中宋" w:hAnsi="华文中宋" w:eastAsia="华文中宋"/>
              </w:rPr>
              <w:t>11.75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11.75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pPr>
            <w:r>
              <w:rPr>
                <w:rFonts w:hint="eastAsia"/>
              </w:rPr>
              <w:t>22102</w:t>
            </w:r>
          </w:p>
        </w:tc>
        <w:tc>
          <w:tcPr>
            <w:tcW w:w="0" w:type="auto"/>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210" w:firstLineChars="100"/>
            </w:pPr>
            <w:r>
              <w:rPr>
                <w:rFonts w:hint="eastAsia"/>
              </w:rPr>
              <w:t>住房改革支出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华文中宋" w:hAnsi="华文中宋" w:eastAsia="华文中宋"/>
              </w:rPr>
            </w:pPr>
            <w:r>
              <w:rPr>
                <w:rFonts w:hint="eastAsia" w:ascii="华文中宋" w:hAnsi="华文中宋" w:eastAsia="华文中宋"/>
              </w:rPr>
              <w:t>11.75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11.75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420" w:firstLineChars="200"/>
            </w:pPr>
            <w:r>
              <w:rPr>
                <w:rFonts w:hint="eastAsia"/>
              </w:rPr>
              <w:t>2210201</w:t>
            </w:r>
          </w:p>
        </w:tc>
        <w:tc>
          <w:tcPr>
            <w:tcW w:w="0" w:type="auto"/>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525" w:firstLineChars="250"/>
            </w:pPr>
            <w:r>
              <w:rPr>
                <w:rFonts w:hint="eastAsia"/>
              </w:rPr>
              <w:t>住房公积金</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华文中宋" w:hAnsi="华文中宋" w:eastAsia="华文中宋"/>
              </w:rPr>
            </w:pPr>
            <w:r>
              <w:rPr>
                <w:rFonts w:hint="eastAsia" w:ascii="华文中宋" w:hAnsi="华文中宋" w:eastAsia="华文中宋"/>
              </w:rPr>
              <w:t>11.75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11.75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229</w:t>
            </w:r>
          </w:p>
        </w:tc>
        <w:tc>
          <w:tcPr>
            <w:tcW w:w="0" w:type="auto"/>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其他支出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华文中宋" w:hAnsi="华文中宋" w:eastAsia="华文中宋"/>
              </w:rPr>
            </w:pPr>
            <w:r>
              <w:rPr>
                <w:rFonts w:hint="eastAsia" w:ascii="华文中宋" w:hAnsi="华文中宋" w:eastAsia="华文中宋"/>
              </w:rPr>
              <w:t>64.10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64.10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22999</w:t>
            </w:r>
          </w:p>
        </w:tc>
        <w:tc>
          <w:tcPr>
            <w:tcW w:w="0" w:type="auto"/>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其他支出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64.10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64.10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420" w:firstLineChars="200"/>
            </w:pPr>
            <w:r>
              <w:rPr>
                <w:rFonts w:hint="eastAsia"/>
              </w:rPr>
              <w:t>2299999</w:t>
            </w:r>
          </w:p>
        </w:tc>
        <w:tc>
          <w:tcPr>
            <w:tcW w:w="0" w:type="auto"/>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ind w:firstLine="420" w:firstLineChars="200"/>
            </w:pPr>
            <w:r>
              <w:rPr>
                <w:rFonts w:hint="eastAsia"/>
              </w:rPr>
              <w:t>其他支出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64.10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64.10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5"/>
        <w:tblW w:w="15688" w:type="dxa"/>
        <w:tblInd w:w="93" w:type="dxa"/>
        <w:tblLayout w:type="autofit"/>
        <w:tblCellMar>
          <w:top w:w="0" w:type="dxa"/>
          <w:left w:w="108" w:type="dxa"/>
          <w:bottom w:w="0" w:type="dxa"/>
          <w:right w:w="108" w:type="dxa"/>
        </w:tblCellMar>
      </w:tblPr>
      <w:tblGrid>
        <w:gridCol w:w="1236"/>
        <w:gridCol w:w="263"/>
        <w:gridCol w:w="1481"/>
        <w:gridCol w:w="1004"/>
        <w:gridCol w:w="1560"/>
        <w:gridCol w:w="1427"/>
        <w:gridCol w:w="1991"/>
        <w:gridCol w:w="1991"/>
        <w:gridCol w:w="1991"/>
        <w:gridCol w:w="2744"/>
      </w:tblGrid>
      <w:tr>
        <w:tblPrEx>
          <w:tblCellMar>
            <w:top w:w="0" w:type="dxa"/>
            <w:left w:w="108" w:type="dxa"/>
            <w:bottom w:w="0" w:type="dxa"/>
            <w:right w:w="108" w:type="dxa"/>
          </w:tblCellMar>
        </w:tblPrEx>
        <w:trPr>
          <w:trHeight w:val="807" w:hRule="atLeast"/>
        </w:trPr>
        <w:tc>
          <w:tcPr>
            <w:tcW w:w="15688"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564"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2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403" w:hRule="atLeast"/>
        </w:trPr>
        <w:tc>
          <w:tcPr>
            <w:tcW w:w="5544" w:type="dxa"/>
            <w:gridSpan w:val="5"/>
            <w:tcBorders>
              <w:top w:val="nil"/>
              <w:left w:val="nil"/>
              <w:bottom w:val="nil"/>
              <w:right w:val="nil"/>
            </w:tcBorders>
            <w:shd w:val="clear" w:color="000000" w:fill="FFFFFF"/>
            <w:noWrap/>
            <w:vAlign w:val="center"/>
          </w:tcPr>
          <w:p>
            <w:pPr>
              <w:widowControl/>
              <w:rPr>
                <w:rFonts w:ascii="宋体" w:hAnsi="宋体" w:eastAsia="宋体" w:cs="宋体"/>
                <w:kern w:val="0"/>
                <w:sz w:val="24"/>
                <w:szCs w:val="24"/>
              </w:rPr>
            </w:pPr>
            <w:r>
              <w:rPr>
                <w:rFonts w:hint="eastAsia" w:ascii="宋体" w:hAnsi="宋体" w:eastAsia="宋体" w:cs="宋体"/>
                <w:color w:val="000000"/>
                <w:kern w:val="0"/>
                <w:sz w:val="20"/>
                <w:szCs w:val="20"/>
              </w:rPr>
              <w:t>部门：溆浦县退役军人事务局</w:t>
            </w:r>
          </w:p>
        </w:tc>
        <w:tc>
          <w:tcPr>
            <w:tcW w:w="142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95" w:hRule="atLeast"/>
        </w:trPr>
        <w:tc>
          <w:tcPr>
            <w:tcW w:w="3984"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56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42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485" w:type="dxa"/>
            <w:gridSpan w:val="2"/>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48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3984"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5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4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595" w:hRule="atLeast"/>
        </w:trPr>
        <w:tc>
          <w:tcPr>
            <w:tcW w:w="3984"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8544.80　</w:t>
            </w:r>
          </w:p>
        </w:tc>
        <w:tc>
          <w:tcPr>
            <w:tcW w:w="14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516.11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8028.69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208</w:t>
            </w:r>
          </w:p>
        </w:tc>
        <w:tc>
          <w:tcPr>
            <w:tcW w:w="2485" w:type="dxa"/>
            <w:gridSpan w:val="2"/>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社会保障和就业支出</w:t>
            </w:r>
          </w:p>
        </w:tc>
        <w:tc>
          <w:tcPr>
            <w:tcW w:w="156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8,281.98</w:t>
            </w:r>
          </w:p>
        </w:tc>
        <w:tc>
          <w:tcPr>
            <w:tcW w:w="142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491.91</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7,790.07</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274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20805</w:t>
            </w:r>
          </w:p>
        </w:tc>
        <w:tc>
          <w:tcPr>
            <w:tcW w:w="2485" w:type="dxa"/>
            <w:gridSpan w:val="2"/>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行政事业单位养老支出</w:t>
            </w:r>
          </w:p>
        </w:tc>
        <w:tc>
          <w:tcPr>
            <w:tcW w:w="156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24.30</w:t>
            </w:r>
          </w:p>
        </w:tc>
        <w:tc>
          <w:tcPr>
            <w:tcW w:w="142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24.30</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274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2080505</w:t>
            </w:r>
          </w:p>
        </w:tc>
        <w:tc>
          <w:tcPr>
            <w:tcW w:w="2485" w:type="dxa"/>
            <w:gridSpan w:val="2"/>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 xml:space="preserve">  机关事业单位基本养老保险缴费支出</w:t>
            </w:r>
          </w:p>
        </w:tc>
        <w:tc>
          <w:tcPr>
            <w:tcW w:w="156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24.30</w:t>
            </w:r>
          </w:p>
        </w:tc>
        <w:tc>
          <w:tcPr>
            <w:tcW w:w="142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24.30</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274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20808</w:t>
            </w:r>
          </w:p>
        </w:tc>
        <w:tc>
          <w:tcPr>
            <w:tcW w:w="2485" w:type="dxa"/>
            <w:gridSpan w:val="2"/>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抚恤</w:t>
            </w:r>
          </w:p>
        </w:tc>
        <w:tc>
          <w:tcPr>
            <w:tcW w:w="156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6,872.28</w:t>
            </w:r>
          </w:p>
        </w:tc>
        <w:tc>
          <w:tcPr>
            <w:tcW w:w="142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84.46</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6,787.82</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274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2080802</w:t>
            </w:r>
          </w:p>
        </w:tc>
        <w:tc>
          <w:tcPr>
            <w:tcW w:w="2485" w:type="dxa"/>
            <w:gridSpan w:val="2"/>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 xml:space="preserve">  伤残抚恤</w:t>
            </w:r>
          </w:p>
        </w:tc>
        <w:tc>
          <w:tcPr>
            <w:tcW w:w="156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1,312.00</w:t>
            </w:r>
          </w:p>
        </w:tc>
        <w:tc>
          <w:tcPr>
            <w:tcW w:w="142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1,312.00</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274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2080803</w:t>
            </w:r>
          </w:p>
        </w:tc>
        <w:tc>
          <w:tcPr>
            <w:tcW w:w="2485" w:type="dxa"/>
            <w:gridSpan w:val="2"/>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 xml:space="preserve">  在乡复员、退伍军人生活补助</w:t>
            </w:r>
          </w:p>
        </w:tc>
        <w:tc>
          <w:tcPr>
            <w:tcW w:w="156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2,589.18</w:t>
            </w:r>
          </w:p>
        </w:tc>
        <w:tc>
          <w:tcPr>
            <w:tcW w:w="142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2,589.18</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274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2080805</w:t>
            </w:r>
          </w:p>
        </w:tc>
        <w:tc>
          <w:tcPr>
            <w:tcW w:w="2485" w:type="dxa"/>
            <w:gridSpan w:val="2"/>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 xml:space="preserve">  义务兵优待</w:t>
            </w:r>
          </w:p>
        </w:tc>
        <w:tc>
          <w:tcPr>
            <w:tcW w:w="156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785.87</w:t>
            </w:r>
          </w:p>
        </w:tc>
        <w:tc>
          <w:tcPr>
            <w:tcW w:w="142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785.87</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274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20809</w:t>
            </w:r>
          </w:p>
        </w:tc>
        <w:tc>
          <w:tcPr>
            <w:tcW w:w="2485" w:type="dxa"/>
            <w:gridSpan w:val="2"/>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退役安置</w:t>
            </w:r>
          </w:p>
        </w:tc>
        <w:tc>
          <w:tcPr>
            <w:tcW w:w="156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736.50</w:t>
            </w:r>
          </w:p>
        </w:tc>
        <w:tc>
          <w:tcPr>
            <w:tcW w:w="142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3.00</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733.50</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274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2080901</w:t>
            </w:r>
          </w:p>
        </w:tc>
        <w:tc>
          <w:tcPr>
            <w:tcW w:w="2485" w:type="dxa"/>
            <w:gridSpan w:val="2"/>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 xml:space="preserve">  退役士兵安置</w:t>
            </w:r>
          </w:p>
        </w:tc>
        <w:tc>
          <w:tcPr>
            <w:tcW w:w="156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451.13</w:t>
            </w:r>
          </w:p>
        </w:tc>
        <w:tc>
          <w:tcPr>
            <w:tcW w:w="142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451.13</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274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2080903</w:t>
            </w:r>
          </w:p>
        </w:tc>
        <w:tc>
          <w:tcPr>
            <w:tcW w:w="2485" w:type="dxa"/>
            <w:gridSpan w:val="2"/>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 xml:space="preserve">  军队移交政府离退休干部管理机构</w:t>
            </w:r>
          </w:p>
        </w:tc>
        <w:tc>
          <w:tcPr>
            <w:tcW w:w="156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3.00</w:t>
            </w:r>
          </w:p>
        </w:tc>
        <w:tc>
          <w:tcPr>
            <w:tcW w:w="142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3.00</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274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2080905</w:t>
            </w:r>
          </w:p>
        </w:tc>
        <w:tc>
          <w:tcPr>
            <w:tcW w:w="2485" w:type="dxa"/>
            <w:gridSpan w:val="2"/>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 xml:space="preserve">  军队转业干部安置</w:t>
            </w:r>
          </w:p>
        </w:tc>
        <w:tc>
          <w:tcPr>
            <w:tcW w:w="156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22.94</w:t>
            </w:r>
          </w:p>
        </w:tc>
        <w:tc>
          <w:tcPr>
            <w:tcW w:w="142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22.94</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274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2080999</w:t>
            </w:r>
          </w:p>
        </w:tc>
        <w:tc>
          <w:tcPr>
            <w:tcW w:w="2485" w:type="dxa"/>
            <w:gridSpan w:val="2"/>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 xml:space="preserve">  其他退役安置支出</w:t>
            </w:r>
          </w:p>
        </w:tc>
        <w:tc>
          <w:tcPr>
            <w:tcW w:w="156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259.43</w:t>
            </w:r>
          </w:p>
        </w:tc>
        <w:tc>
          <w:tcPr>
            <w:tcW w:w="142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259.43</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274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20825</w:t>
            </w:r>
          </w:p>
        </w:tc>
        <w:tc>
          <w:tcPr>
            <w:tcW w:w="2485" w:type="dxa"/>
            <w:gridSpan w:val="2"/>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其他生活救助</w:t>
            </w:r>
          </w:p>
        </w:tc>
        <w:tc>
          <w:tcPr>
            <w:tcW w:w="156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7.47</w:t>
            </w:r>
          </w:p>
        </w:tc>
        <w:tc>
          <w:tcPr>
            <w:tcW w:w="142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7.47</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274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2082501</w:t>
            </w:r>
          </w:p>
        </w:tc>
        <w:tc>
          <w:tcPr>
            <w:tcW w:w="2485" w:type="dxa"/>
            <w:gridSpan w:val="2"/>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 xml:space="preserve">  其他城市生活救助</w:t>
            </w:r>
          </w:p>
        </w:tc>
        <w:tc>
          <w:tcPr>
            <w:tcW w:w="156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7.47</w:t>
            </w:r>
          </w:p>
        </w:tc>
        <w:tc>
          <w:tcPr>
            <w:tcW w:w="142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7.47</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274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20828</w:t>
            </w:r>
          </w:p>
        </w:tc>
        <w:tc>
          <w:tcPr>
            <w:tcW w:w="2485" w:type="dxa"/>
            <w:gridSpan w:val="2"/>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退役军人管理事务</w:t>
            </w:r>
          </w:p>
        </w:tc>
        <w:tc>
          <w:tcPr>
            <w:tcW w:w="156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641.44</w:t>
            </w:r>
          </w:p>
        </w:tc>
        <w:tc>
          <w:tcPr>
            <w:tcW w:w="142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372.69</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268.75</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274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2082801</w:t>
            </w:r>
          </w:p>
        </w:tc>
        <w:tc>
          <w:tcPr>
            <w:tcW w:w="2485" w:type="dxa"/>
            <w:gridSpan w:val="2"/>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 xml:space="preserve">  行政运行</w:t>
            </w:r>
          </w:p>
        </w:tc>
        <w:tc>
          <w:tcPr>
            <w:tcW w:w="156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294.97</w:t>
            </w:r>
          </w:p>
        </w:tc>
        <w:tc>
          <w:tcPr>
            <w:tcW w:w="142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294.97</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274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2082899</w:t>
            </w:r>
          </w:p>
        </w:tc>
        <w:tc>
          <w:tcPr>
            <w:tcW w:w="2485" w:type="dxa"/>
            <w:gridSpan w:val="2"/>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 xml:space="preserve">  其他退役军人事务管理支出</w:t>
            </w:r>
          </w:p>
        </w:tc>
        <w:tc>
          <w:tcPr>
            <w:tcW w:w="156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346.47</w:t>
            </w:r>
          </w:p>
        </w:tc>
        <w:tc>
          <w:tcPr>
            <w:tcW w:w="142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77.72</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268.75</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274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210</w:t>
            </w:r>
          </w:p>
        </w:tc>
        <w:tc>
          <w:tcPr>
            <w:tcW w:w="2485" w:type="dxa"/>
            <w:gridSpan w:val="2"/>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卫生健康支出</w:t>
            </w:r>
          </w:p>
        </w:tc>
        <w:tc>
          <w:tcPr>
            <w:tcW w:w="156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186.98</w:t>
            </w:r>
          </w:p>
        </w:tc>
        <w:tc>
          <w:tcPr>
            <w:tcW w:w="142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12.45</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174.52</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274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21011</w:t>
            </w:r>
          </w:p>
        </w:tc>
        <w:tc>
          <w:tcPr>
            <w:tcW w:w="2485" w:type="dxa"/>
            <w:gridSpan w:val="2"/>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行政事业单位医疗</w:t>
            </w:r>
          </w:p>
        </w:tc>
        <w:tc>
          <w:tcPr>
            <w:tcW w:w="156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12.45</w:t>
            </w:r>
          </w:p>
        </w:tc>
        <w:tc>
          <w:tcPr>
            <w:tcW w:w="142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12.45</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274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2101101</w:t>
            </w:r>
          </w:p>
        </w:tc>
        <w:tc>
          <w:tcPr>
            <w:tcW w:w="2485" w:type="dxa"/>
            <w:gridSpan w:val="2"/>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 xml:space="preserve">  行政单位医疗</w:t>
            </w:r>
          </w:p>
        </w:tc>
        <w:tc>
          <w:tcPr>
            <w:tcW w:w="156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12.45</w:t>
            </w:r>
          </w:p>
        </w:tc>
        <w:tc>
          <w:tcPr>
            <w:tcW w:w="142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12.45</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274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21014</w:t>
            </w:r>
          </w:p>
        </w:tc>
        <w:tc>
          <w:tcPr>
            <w:tcW w:w="2485" w:type="dxa"/>
            <w:gridSpan w:val="2"/>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优抚对象医疗</w:t>
            </w:r>
          </w:p>
        </w:tc>
        <w:tc>
          <w:tcPr>
            <w:tcW w:w="156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174.52</w:t>
            </w:r>
          </w:p>
        </w:tc>
        <w:tc>
          <w:tcPr>
            <w:tcW w:w="142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174.52</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274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2101401</w:t>
            </w:r>
          </w:p>
        </w:tc>
        <w:tc>
          <w:tcPr>
            <w:tcW w:w="2485" w:type="dxa"/>
            <w:gridSpan w:val="2"/>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 xml:space="preserve">  优抚对象医疗补助</w:t>
            </w:r>
          </w:p>
        </w:tc>
        <w:tc>
          <w:tcPr>
            <w:tcW w:w="156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174.52</w:t>
            </w:r>
          </w:p>
        </w:tc>
        <w:tc>
          <w:tcPr>
            <w:tcW w:w="142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174.52</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274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221</w:t>
            </w:r>
          </w:p>
        </w:tc>
        <w:tc>
          <w:tcPr>
            <w:tcW w:w="2485" w:type="dxa"/>
            <w:gridSpan w:val="2"/>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住房保障支出</w:t>
            </w:r>
          </w:p>
        </w:tc>
        <w:tc>
          <w:tcPr>
            <w:tcW w:w="156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11.75</w:t>
            </w:r>
          </w:p>
        </w:tc>
        <w:tc>
          <w:tcPr>
            <w:tcW w:w="142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11.75</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274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22102</w:t>
            </w:r>
          </w:p>
        </w:tc>
        <w:tc>
          <w:tcPr>
            <w:tcW w:w="2485" w:type="dxa"/>
            <w:gridSpan w:val="2"/>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住房改革支出</w:t>
            </w:r>
          </w:p>
        </w:tc>
        <w:tc>
          <w:tcPr>
            <w:tcW w:w="156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11.75</w:t>
            </w:r>
          </w:p>
        </w:tc>
        <w:tc>
          <w:tcPr>
            <w:tcW w:w="142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11.75</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274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2210201</w:t>
            </w:r>
          </w:p>
        </w:tc>
        <w:tc>
          <w:tcPr>
            <w:tcW w:w="2485" w:type="dxa"/>
            <w:gridSpan w:val="2"/>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 xml:space="preserve">  住房公积金</w:t>
            </w:r>
          </w:p>
        </w:tc>
        <w:tc>
          <w:tcPr>
            <w:tcW w:w="156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11.75</w:t>
            </w:r>
          </w:p>
        </w:tc>
        <w:tc>
          <w:tcPr>
            <w:tcW w:w="142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11.75</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274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229</w:t>
            </w:r>
          </w:p>
        </w:tc>
        <w:tc>
          <w:tcPr>
            <w:tcW w:w="2485" w:type="dxa"/>
            <w:gridSpan w:val="2"/>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其他支出</w:t>
            </w:r>
          </w:p>
        </w:tc>
        <w:tc>
          <w:tcPr>
            <w:tcW w:w="156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64.10</w:t>
            </w:r>
          </w:p>
        </w:tc>
        <w:tc>
          <w:tcPr>
            <w:tcW w:w="142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64.10</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274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22999</w:t>
            </w:r>
          </w:p>
        </w:tc>
        <w:tc>
          <w:tcPr>
            <w:tcW w:w="2485" w:type="dxa"/>
            <w:gridSpan w:val="2"/>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其他支出</w:t>
            </w:r>
          </w:p>
        </w:tc>
        <w:tc>
          <w:tcPr>
            <w:tcW w:w="156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64.10</w:t>
            </w:r>
          </w:p>
        </w:tc>
        <w:tc>
          <w:tcPr>
            <w:tcW w:w="142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64.10</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274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2299999</w:t>
            </w:r>
          </w:p>
        </w:tc>
        <w:tc>
          <w:tcPr>
            <w:tcW w:w="2485" w:type="dxa"/>
            <w:gridSpan w:val="2"/>
            <w:tcBorders>
              <w:top w:val="nil"/>
              <w:left w:val="nil"/>
              <w:bottom w:val="single" w:color="auto" w:sz="4" w:space="0"/>
              <w:right w:val="single" w:color="auto" w:sz="4" w:space="0"/>
            </w:tcBorders>
            <w:shd w:val="clear" w:color="000000" w:fill="FFFFFF"/>
            <w:noWrap/>
            <w:vAlign w:val="center"/>
          </w:tcPr>
          <w:p>
            <w:pPr>
              <w:rPr>
                <w:rFonts w:ascii="宋体" w:hAnsi="宋体" w:eastAsia="宋体" w:cs="Arial"/>
                <w:color w:val="000000"/>
                <w:sz w:val="22"/>
              </w:rPr>
            </w:pPr>
            <w:r>
              <w:rPr>
                <w:rFonts w:hint="eastAsia" w:cs="Arial"/>
                <w:color w:val="000000"/>
                <w:sz w:val="22"/>
              </w:rPr>
              <w:t xml:space="preserve">  其他支出</w:t>
            </w:r>
          </w:p>
        </w:tc>
        <w:tc>
          <w:tcPr>
            <w:tcW w:w="156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64.10</w:t>
            </w:r>
          </w:p>
        </w:tc>
        <w:tc>
          <w:tcPr>
            <w:tcW w:w="142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64.10</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274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828" w:hRule="atLeast"/>
        </w:trPr>
        <w:tc>
          <w:tcPr>
            <w:tcW w:w="15688"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rPr>
          <w:rFonts w:ascii="Times New Roman" w:hAnsi="Times New Roman" w:eastAsia="方正小标宋_GBK" w:cs="Times New Roman"/>
          <w:color w:val="000000"/>
          <w:kern w:val="0"/>
          <w:sz w:val="36"/>
          <w:szCs w:val="21"/>
        </w:rPr>
      </w:pPr>
    </w:p>
    <w:tbl>
      <w:tblPr>
        <w:tblStyle w:val="5"/>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6"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p>
          <w:p>
            <w:pPr>
              <w:widowControl/>
              <w:jc w:val="center"/>
              <w:rPr>
                <w:rFonts w:ascii="华文中宋" w:hAnsi="华文中宋" w:eastAsia="华文中宋" w:cs="宋体"/>
                <w:color w:val="000000"/>
                <w:kern w:val="0"/>
                <w:sz w:val="32"/>
                <w:szCs w:val="32"/>
              </w:rPr>
            </w:pPr>
          </w:p>
          <w:p>
            <w:pPr>
              <w:widowControl/>
              <w:jc w:val="center"/>
              <w:rPr>
                <w:rFonts w:ascii="华文中宋" w:hAnsi="华文中宋" w:eastAsia="华文中宋" w:cs="宋体"/>
                <w:color w:val="000000"/>
                <w:kern w:val="0"/>
                <w:sz w:val="32"/>
                <w:szCs w:val="32"/>
              </w:rPr>
            </w:pPr>
          </w:p>
          <w:p>
            <w:pPr>
              <w:widowControl/>
              <w:jc w:val="center"/>
              <w:rPr>
                <w:rFonts w:ascii="华文中宋" w:hAnsi="华文中宋" w:eastAsia="华文中宋" w:cs="宋体"/>
                <w:color w:val="000000"/>
                <w:kern w:val="0"/>
                <w:sz w:val="32"/>
                <w:szCs w:val="32"/>
              </w:rPr>
            </w:pPr>
          </w:p>
          <w:p>
            <w:pPr>
              <w:widowControl/>
              <w:jc w:val="center"/>
              <w:rPr>
                <w:rFonts w:ascii="华文中宋" w:hAnsi="华文中宋" w:eastAsia="华文中宋" w:cs="宋体"/>
                <w:color w:val="000000"/>
                <w:kern w:val="0"/>
                <w:sz w:val="32"/>
                <w:szCs w:val="32"/>
              </w:rPr>
            </w:pPr>
          </w:p>
          <w:p>
            <w:pPr>
              <w:widowControl/>
              <w:jc w:val="center"/>
              <w:rPr>
                <w:rFonts w:ascii="华文中宋" w:hAnsi="华文中宋" w:eastAsia="华文中宋" w:cs="宋体"/>
                <w:color w:val="000000"/>
                <w:kern w:val="0"/>
                <w:sz w:val="32"/>
                <w:szCs w:val="32"/>
              </w:rPr>
            </w:pPr>
          </w:p>
          <w:p>
            <w:pPr>
              <w:widowControl/>
              <w:jc w:val="center"/>
              <w:rPr>
                <w:rFonts w:ascii="华文中宋" w:hAnsi="华文中宋" w:eastAsia="华文中宋" w:cs="宋体"/>
                <w:color w:val="000000"/>
                <w:kern w:val="0"/>
                <w:sz w:val="32"/>
                <w:szCs w:val="32"/>
              </w:rPr>
            </w:pPr>
          </w:p>
          <w:p>
            <w:pPr>
              <w:widowControl/>
              <w:jc w:val="center"/>
              <w:rPr>
                <w:rFonts w:ascii="华文中宋" w:hAnsi="华文中宋" w:eastAsia="华文中宋" w:cs="宋体"/>
                <w:color w:val="000000"/>
                <w:kern w:val="0"/>
                <w:sz w:val="32"/>
                <w:szCs w:val="32"/>
              </w:rPr>
            </w:pPr>
          </w:p>
          <w:p>
            <w:pPr>
              <w:widowControl/>
              <w:jc w:val="center"/>
              <w:rPr>
                <w:rFonts w:ascii="华文中宋" w:hAnsi="华文中宋" w:eastAsia="华文中宋" w:cs="宋体"/>
                <w:color w:val="000000"/>
                <w:kern w:val="0"/>
                <w:sz w:val="32"/>
                <w:szCs w:val="32"/>
              </w:rPr>
            </w:pPr>
          </w:p>
          <w:p>
            <w:pPr>
              <w:widowControl/>
              <w:jc w:val="center"/>
              <w:rPr>
                <w:rFonts w:ascii="华文中宋" w:hAnsi="华文中宋" w:eastAsia="华文中宋" w:cs="宋体"/>
                <w:color w:val="000000"/>
                <w:kern w:val="0"/>
                <w:sz w:val="32"/>
                <w:szCs w:val="32"/>
              </w:rPr>
            </w:pPr>
          </w:p>
          <w:p>
            <w:pPr>
              <w:widowControl/>
              <w:jc w:val="center"/>
              <w:rPr>
                <w:rFonts w:ascii="华文中宋" w:hAnsi="华文中宋" w:eastAsia="华文中宋" w:cs="宋体"/>
                <w:color w:val="000000"/>
                <w:kern w:val="0"/>
                <w:sz w:val="32"/>
                <w:szCs w:val="32"/>
              </w:rPr>
            </w:pPr>
          </w:p>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6"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部门：溆浦县退役军人事务局</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8527.22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color w:val="000000"/>
                <w:sz w:val="22"/>
              </w:rPr>
              <w:t>七、社会保障和就业支出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8264.40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8264.40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color w:val="000000"/>
                <w:sz w:val="20"/>
                <w:szCs w:val="20"/>
              </w:rPr>
              <w:t>八、卫生健康支出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186.98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186.98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b/>
                <w:bCs/>
                <w:kern w:val="0"/>
                <w:sz w:val="22"/>
              </w:rPr>
            </w:pPr>
            <w:r>
              <w:rPr>
                <w:rFonts w:hint="eastAsia" w:ascii="宋体" w:hAnsi="宋体" w:eastAsia="宋体" w:cs="宋体"/>
                <w:color w:val="000000"/>
                <w:sz w:val="20"/>
                <w:szCs w:val="20"/>
              </w:rPr>
              <w:t>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11.75</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11.75</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sz w:val="20"/>
                <w:szCs w:val="20"/>
              </w:rPr>
            </w:pPr>
            <w:r>
              <w:rPr>
                <w:rFonts w:hint="eastAsia" w:ascii="宋体" w:hAnsi="宋体" w:eastAsia="宋体" w:cs="宋体"/>
                <w:color w:val="000000"/>
                <w:sz w:val="20"/>
                <w:szCs w:val="20"/>
              </w:rPr>
              <w:t>十、其他支出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64.10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64.10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8527.22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8527.22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8527.22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8527.22　</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30</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8527.22　</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8527.22　</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Lines="50"/>
        <w:ind w:left="13650" w:hanging="13650" w:hangingChars="650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宋体" w:hAnsi="宋体" w:eastAsia="宋体" w:cs="宋体"/>
          <w:color w:val="000000"/>
          <w:kern w:val="0"/>
          <w:sz w:val="20"/>
          <w:szCs w:val="20"/>
        </w:rPr>
        <w:t>溆浦县退役军人事务局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5"/>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8527.22</w:t>
            </w: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498.53</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8028.69</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208</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社会保障和就业支出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8,264.40</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474.33</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7,790.07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20805</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行政事业单位养老支出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24.30</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24.30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2080505</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 xml:space="preserve">  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24.30</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24.30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20808</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抚恤</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6,872.28</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84.46</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6,787.82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2080802</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 xml:space="preserve">  伤残抚恤</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1,312.00</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0.00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1,312.00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2080803</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 xml:space="preserve">  在乡复员、退伍军人生活补助</w:t>
            </w:r>
          </w:p>
        </w:tc>
        <w:tc>
          <w:tcPr>
            <w:tcW w:w="3000"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2,589.18</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0.00</w:t>
            </w:r>
          </w:p>
        </w:tc>
        <w:tc>
          <w:tcPr>
            <w:tcW w:w="3000" w:type="dxa"/>
            <w:tcBorders>
              <w:top w:val="nil"/>
              <w:left w:val="nil"/>
              <w:bottom w:val="single" w:color="auto" w:sz="8"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2,589.18</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2080805</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 xml:space="preserve">  义务兵优待</w:t>
            </w:r>
          </w:p>
        </w:tc>
        <w:tc>
          <w:tcPr>
            <w:tcW w:w="3000"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785.87</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0.00</w:t>
            </w:r>
          </w:p>
        </w:tc>
        <w:tc>
          <w:tcPr>
            <w:tcW w:w="3000" w:type="dxa"/>
            <w:tcBorders>
              <w:top w:val="nil"/>
              <w:left w:val="nil"/>
              <w:bottom w:val="single" w:color="auto" w:sz="8"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785.87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2080806</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 xml:space="preserve">  农村籍退役士兵老年生活补助</w:t>
            </w:r>
          </w:p>
        </w:tc>
        <w:tc>
          <w:tcPr>
            <w:tcW w:w="3000"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1,705.71</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0.00</w:t>
            </w:r>
          </w:p>
        </w:tc>
        <w:tc>
          <w:tcPr>
            <w:tcW w:w="3000" w:type="dxa"/>
            <w:tcBorders>
              <w:top w:val="nil"/>
              <w:left w:val="nil"/>
              <w:bottom w:val="single" w:color="auto" w:sz="8"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1,705.71</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2080899</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 xml:space="preserve">  其他优抚支出</w:t>
            </w:r>
          </w:p>
        </w:tc>
        <w:tc>
          <w:tcPr>
            <w:tcW w:w="3000"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479.53</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84.46</w:t>
            </w:r>
          </w:p>
        </w:tc>
        <w:tc>
          <w:tcPr>
            <w:tcW w:w="3000" w:type="dxa"/>
            <w:tcBorders>
              <w:top w:val="nil"/>
              <w:left w:val="nil"/>
              <w:bottom w:val="single" w:color="auto" w:sz="8"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395.07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20809</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退役安置</w:t>
            </w:r>
          </w:p>
        </w:tc>
        <w:tc>
          <w:tcPr>
            <w:tcW w:w="3000"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736.50</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3.00</w:t>
            </w:r>
          </w:p>
        </w:tc>
        <w:tc>
          <w:tcPr>
            <w:tcW w:w="3000" w:type="dxa"/>
            <w:tcBorders>
              <w:top w:val="nil"/>
              <w:left w:val="nil"/>
              <w:bottom w:val="single" w:color="auto" w:sz="8"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733.50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2080901</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 xml:space="preserve">  退役士兵安置</w:t>
            </w:r>
          </w:p>
        </w:tc>
        <w:tc>
          <w:tcPr>
            <w:tcW w:w="3000"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451.13</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0.00</w:t>
            </w:r>
          </w:p>
        </w:tc>
        <w:tc>
          <w:tcPr>
            <w:tcW w:w="3000" w:type="dxa"/>
            <w:tcBorders>
              <w:top w:val="nil"/>
              <w:left w:val="nil"/>
              <w:bottom w:val="single" w:color="auto" w:sz="8"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451.13</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2080903</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 xml:space="preserve">  军队移交政府离退休干部管理机构</w:t>
            </w:r>
          </w:p>
        </w:tc>
        <w:tc>
          <w:tcPr>
            <w:tcW w:w="3000"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3.00</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3.00</w:t>
            </w:r>
          </w:p>
        </w:tc>
        <w:tc>
          <w:tcPr>
            <w:tcW w:w="3000" w:type="dxa"/>
            <w:tcBorders>
              <w:top w:val="nil"/>
              <w:left w:val="nil"/>
              <w:bottom w:val="single" w:color="auto" w:sz="8"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2080905</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 xml:space="preserve">  军队转业干部安置</w:t>
            </w:r>
          </w:p>
        </w:tc>
        <w:tc>
          <w:tcPr>
            <w:tcW w:w="3000"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22.94</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0.00</w:t>
            </w:r>
          </w:p>
        </w:tc>
        <w:tc>
          <w:tcPr>
            <w:tcW w:w="3000" w:type="dxa"/>
            <w:tcBorders>
              <w:top w:val="nil"/>
              <w:left w:val="nil"/>
              <w:bottom w:val="single" w:color="auto" w:sz="8"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22.94</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2080999</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 xml:space="preserve">  其他退役安置支出</w:t>
            </w:r>
          </w:p>
        </w:tc>
        <w:tc>
          <w:tcPr>
            <w:tcW w:w="3000"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259.43</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0.00</w:t>
            </w:r>
          </w:p>
        </w:tc>
        <w:tc>
          <w:tcPr>
            <w:tcW w:w="3000" w:type="dxa"/>
            <w:tcBorders>
              <w:top w:val="nil"/>
              <w:left w:val="nil"/>
              <w:bottom w:val="single" w:color="auto" w:sz="8"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259.43</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20825</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其他生活救助</w:t>
            </w:r>
          </w:p>
        </w:tc>
        <w:tc>
          <w:tcPr>
            <w:tcW w:w="3000"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7.47</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7.47</w:t>
            </w:r>
          </w:p>
        </w:tc>
        <w:tc>
          <w:tcPr>
            <w:tcW w:w="3000" w:type="dxa"/>
            <w:tcBorders>
              <w:top w:val="nil"/>
              <w:left w:val="nil"/>
              <w:bottom w:val="single" w:color="auto" w:sz="8"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2082501</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 xml:space="preserve">  其他城市生活救助</w:t>
            </w:r>
          </w:p>
        </w:tc>
        <w:tc>
          <w:tcPr>
            <w:tcW w:w="3000"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7.47</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7.47</w:t>
            </w:r>
          </w:p>
        </w:tc>
        <w:tc>
          <w:tcPr>
            <w:tcW w:w="3000" w:type="dxa"/>
            <w:tcBorders>
              <w:top w:val="nil"/>
              <w:left w:val="nil"/>
              <w:bottom w:val="single" w:color="auto" w:sz="8"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20828</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退役军人管理事务</w:t>
            </w:r>
          </w:p>
        </w:tc>
        <w:tc>
          <w:tcPr>
            <w:tcW w:w="3000"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623.86</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355.11</w:t>
            </w:r>
          </w:p>
        </w:tc>
        <w:tc>
          <w:tcPr>
            <w:tcW w:w="3000" w:type="dxa"/>
            <w:tcBorders>
              <w:top w:val="nil"/>
              <w:left w:val="nil"/>
              <w:bottom w:val="single" w:color="auto" w:sz="8"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268.75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2082801</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 xml:space="preserve">  行政运行</w:t>
            </w:r>
          </w:p>
        </w:tc>
        <w:tc>
          <w:tcPr>
            <w:tcW w:w="3000"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277.39</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277.39</w:t>
            </w:r>
          </w:p>
        </w:tc>
        <w:tc>
          <w:tcPr>
            <w:tcW w:w="3000" w:type="dxa"/>
            <w:tcBorders>
              <w:top w:val="nil"/>
              <w:left w:val="nil"/>
              <w:bottom w:val="single" w:color="auto" w:sz="8"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2082899</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 xml:space="preserve">  其他退役军人事务管理支出</w:t>
            </w:r>
          </w:p>
        </w:tc>
        <w:tc>
          <w:tcPr>
            <w:tcW w:w="3000"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346.47</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77.72</w:t>
            </w:r>
          </w:p>
        </w:tc>
        <w:tc>
          <w:tcPr>
            <w:tcW w:w="3000" w:type="dxa"/>
            <w:tcBorders>
              <w:top w:val="nil"/>
              <w:left w:val="nil"/>
              <w:bottom w:val="single" w:color="auto" w:sz="8"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268.75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210</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卫生健康支出</w:t>
            </w:r>
          </w:p>
        </w:tc>
        <w:tc>
          <w:tcPr>
            <w:tcW w:w="3000"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186.98</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12.45</w:t>
            </w:r>
          </w:p>
        </w:tc>
        <w:tc>
          <w:tcPr>
            <w:tcW w:w="3000" w:type="dxa"/>
            <w:tcBorders>
              <w:top w:val="nil"/>
              <w:left w:val="nil"/>
              <w:bottom w:val="single" w:color="auto" w:sz="8"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174.52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21011</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行政事业单位医疗</w:t>
            </w:r>
          </w:p>
        </w:tc>
        <w:tc>
          <w:tcPr>
            <w:tcW w:w="3000"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12.45</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12.45</w:t>
            </w:r>
          </w:p>
        </w:tc>
        <w:tc>
          <w:tcPr>
            <w:tcW w:w="3000" w:type="dxa"/>
            <w:tcBorders>
              <w:top w:val="nil"/>
              <w:left w:val="nil"/>
              <w:bottom w:val="single" w:color="auto" w:sz="8"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2101101</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 xml:space="preserve">  行政单位医疗</w:t>
            </w:r>
          </w:p>
        </w:tc>
        <w:tc>
          <w:tcPr>
            <w:tcW w:w="3000"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12.45</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12.45</w:t>
            </w:r>
          </w:p>
        </w:tc>
        <w:tc>
          <w:tcPr>
            <w:tcW w:w="3000" w:type="dxa"/>
            <w:tcBorders>
              <w:top w:val="nil"/>
              <w:left w:val="nil"/>
              <w:bottom w:val="single" w:color="auto" w:sz="8"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21014</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优抚对象医疗</w:t>
            </w:r>
          </w:p>
        </w:tc>
        <w:tc>
          <w:tcPr>
            <w:tcW w:w="3000"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174.52</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0.00</w:t>
            </w:r>
          </w:p>
        </w:tc>
        <w:tc>
          <w:tcPr>
            <w:tcW w:w="3000" w:type="dxa"/>
            <w:tcBorders>
              <w:top w:val="nil"/>
              <w:left w:val="nil"/>
              <w:bottom w:val="single" w:color="auto" w:sz="8"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174.52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2101401</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 xml:space="preserve">  优抚对象医疗补助</w:t>
            </w:r>
          </w:p>
        </w:tc>
        <w:tc>
          <w:tcPr>
            <w:tcW w:w="3000"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174.52</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0.00</w:t>
            </w:r>
          </w:p>
        </w:tc>
        <w:tc>
          <w:tcPr>
            <w:tcW w:w="3000" w:type="dxa"/>
            <w:tcBorders>
              <w:top w:val="nil"/>
              <w:left w:val="nil"/>
              <w:bottom w:val="single" w:color="auto" w:sz="8"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174.52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221</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住房保障支出</w:t>
            </w:r>
          </w:p>
        </w:tc>
        <w:tc>
          <w:tcPr>
            <w:tcW w:w="3000"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11.75</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11.75</w:t>
            </w:r>
          </w:p>
        </w:tc>
        <w:tc>
          <w:tcPr>
            <w:tcW w:w="3000" w:type="dxa"/>
            <w:tcBorders>
              <w:top w:val="nil"/>
              <w:left w:val="nil"/>
              <w:bottom w:val="single" w:color="auto" w:sz="8"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22102</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住房改革支出</w:t>
            </w:r>
          </w:p>
        </w:tc>
        <w:tc>
          <w:tcPr>
            <w:tcW w:w="3000"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11.75</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11.75</w:t>
            </w:r>
          </w:p>
        </w:tc>
        <w:tc>
          <w:tcPr>
            <w:tcW w:w="3000" w:type="dxa"/>
            <w:tcBorders>
              <w:top w:val="nil"/>
              <w:left w:val="nil"/>
              <w:bottom w:val="single" w:color="auto" w:sz="8"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2210201</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 xml:space="preserve">  住房公积金</w:t>
            </w:r>
          </w:p>
        </w:tc>
        <w:tc>
          <w:tcPr>
            <w:tcW w:w="3000"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11.75</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11.75</w:t>
            </w:r>
          </w:p>
        </w:tc>
        <w:tc>
          <w:tcPr>
            <w:tcW w:w="3000" w:type="dxa"/>
            <w:tcBorders>
              <w:top w:val="nil"/>
              <w:left w:val="nil"/>
              <w:bottom w:val="single" w:color="auto" w:sz="8"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229</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其他支出</w:t>
            </w:r>
          </w:p>
        </w:tc>
        <w:tc>
          <w:tcPr>
            <w:tcW w:w="3000"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64.10</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0.00</w:t>
            </w:r>
          </w:p>
        </w:tc>
        <w:tc>
          <w:tcPr>
            <w:tcW w:w="3000" w:type="dxa"/>
            <w:tcBorders>
              <w:top w:val="nil"/>
              <w:left w:val="nil"/>
              <w:bottom w:val="single" w:color="auto" w:sz="8"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64.10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22999</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其他支出</w:t>
            </w:r>
          </w:p>
        </w:tc>
        <w:tc>
          <w:tcPr>
            <w:tcW w:w="3000"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64.10</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0.00</w:t>
            </w:r>
          </w:p>
        </w:tc>
        <w:tc>
          <w:tcPr>
            <w:tcW w:w="3000" w:type="dxa"/>
            <w:tcBorders>
              <w:top w:val="nil"/>
              <w:left w:val="nil"/>
              <w:bottom w:val="single" w:color="auto" w:sz="8"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64.10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2299999</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 xml:space="preserve">  其他支出</w:t>
            </w:r>
          </w:p>
        </w:tc>
        <w:tc>
          <w:tcPr>
            <w:tcW w:w="3000"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64.10</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0.00</w:t>
            </w:r>
          </w:p>
        </w:tc>
        <w:tc>
          <w:tcPr>
            <w:tcW w:w="3000" w:type="dxa"/>
            <w:tcBorders>
              <w:top w:val="nil"/>
              <w:left w:val="nil"/>
              <w:bottom w:val="single" w:color="auto" w:sz="8"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64.10</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5"/>
        <w:tblW w:w="0" w:type="auto"/>
        <w:tblInd w:w="0" w:type="dxa"/>
        <w:tblLayout w:type="autofit"/>
        <w:tblCellMar>
          <w:top w:w="0" w:type="dxa"/>
          <w:left w:w="108" w:type="dxa"/>
          <w:bottom w:w="0" w:type="dxa"/>
          <w:right w:w="108" w:type="dxa"/>
        </w:tblCellMar>
      </w:tblPr>
      <w:tblGrid>
        <w:gridCol w:w="1003"/>
        <w:gridCol w:w="240"/>
        <w:gridCol w:w="1402"/>
        <w:gridCol w:w="1574"/>
        <w:gridCol w:w="545"/>
        <w:gridCol w:w="587"/>
        <w:gridCol w:w="853"/>
        <w:gridCol w:w="679"/>
        <w:gridCol w:w="1730"/>
        <w:gridCol w:w="389"/>
        <w:gridCol w:w="604"/>
        <w:gridCol w:w="850"/>
        <w:gridCol w:w="665"/>
        <w:gridCol w:w="2119"/>
        <w:gridCol w:w="1327"/>
        <w:gridCol w:w="793"/>
        <w:gridCol w:w="254"/>
      </w:tblGrid>
      <w:tr>
        <w:tblPrEx>
          <w:tblCellMar>
            <w:top w:w="0" w:type="dxa"/>
            <w:left w:w="108" w:type="dxa"/>
            <w:bottom w:w="0" w:type="dxa"/>
            <w:right w:w="108" w:type="dxa"/>
          </w:tblCellMar>
        </w:tblPrEx>
        <w:trPr>
          <w:trHeight w:val="113" w:hRule="atLeast"/>
        </w:trPr>
        <w:tc>
          <w:tcPr>
            <w:tcW w:w="15614" w:type="dxa"/>
            <w:gridSpan w:val="17"/>
            <w:tcBorders>
              <w:top w:val="nil"/>
              <w:left w:val="nil"/>
              <w:bottom w:val="nil"/>
              <w:right w:val="nil"/>
            </w:tcBorders>
            <w:shd w:val="clear" w:color="auto" w:fill="auto"/>
            <w:noWrap/>
            <w:vAlign w:val="center"/>
          </w:tcPr>
          <w:p>
            <w:pPr>
              <w:widowControl/>
              <w:ind w:firstLine="4760" w:firstLineChars="1700"/>
              <w:rPr>
                <w:rFonts w:ascii="华文中宋" w:hAnsi="华文中宋" w:eastAsia="华文中宋" w:cs="宋体"/>
                <w:color w:val="000000"/>
                <w:kern w:val="0"/>
                <w:sz w:val="28"/>
                <w:szCs w:val="18"/>
              </w:rPr>
            </w:pPr>
            <w:bookmarkStart w:id="2" w:name="RANGE!A1:I34"/>
            <w:r>
              <w:rPr>
                <w:rFonts w:hint="eastAsia" w:ascii="华文中宋" w:hAnsi="华文中宋" w:eastAsia="华文中宋" w:cs="宋体"/>
                <w:color w:val="000000"/>
                <w:kern w:val="0"/>
                <w:sz w:val="28"/>
                <w:szCs w:val="18"/>
              </w:rPr>
              <w:t>一般公共预算财政拨款基本支出决算明细表</w:t>
            </w:r>
            <w:bookmarkEnd w:id="2"/>
          </w:p>
          <w:p>
            <w:pPr>
              <w:widowControl/>
              <w:wordWrap w:val="0"/>
              <w:ind w:right="360"/>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 xml:space="preserve"> </w:t>
            </w:r>
            <w:r>
              <w:rPr>
                <w:rFonts w:ascii="Times New Roman" w:hAnsi="Times New Roman" w:eastAsia="仿宋_GB2312" w:cs="Times New Roman"/>
                <w:color w:val="000000"/>
                <w:kern w:val="0"/>
                <w:sz w:val="18"/>
                <w:szCs w:val="18"/>
              </w:rPr>
              <w:t>部门：</w:t>
            </w:r>
            <w:r>
              <w:rPr>
                <w:rFonts w:hint="eastAsia" w:ascii="Times New Roman" w:hAnsi="Times New Roman" w:eastAsia="仿宋_GB2312" w:cs="Times New Roman"/>
                <w:color w:val="000000"/>
                <w:kern w:val="0"/>
                <w:sz w:val="18"/>
                <w:szCs w:val="18"/>
              </w:rPr>
              <w:t>溆浦县退役军人事务局</w:t>
            </w:r>
            <w:r>
              <w:rPr>
                <w:rFonts w:ascii="Times New Roman" w:hAnsi="Times New Roman" w:eastAsia="仿宋_GB2312" w:cs="Times New Roman"/>
                <w:color w:val="000000"/>
                <w:kern w:val="0"/>
                <w:sz w:val="18"/>
                <w:szCs w:val="18"/>
              </w:rPr>
              <w:t xml:space="preserve"> </w:t>
            </w:r>
            <w:r>
              <w:rPr>
                <w:rFonts w:hint="eastAsia" w:ascii="Times New Roman" w:hAnsi="Times New Roman" w:eastAsia="仿宋_GB2312" w:cs="Times New Roman"/>
                <w:color w:val="000000"/>
                <w:kern w:val="0"/>
                <w:sz w:val="18"/>
                <w:szCs w:val="18"/>
              </w:rPr>
              <w:t xml:space="preserve">                                                                                                                             </w:t>
            </w:r>
            <w:r>
              <w:rPr>
                <w:rFonts w:ascii="Times New Roman" w:hAnsi="Times New Roman" w:eastAsia="仿宋_GB2312" w:cs="Times New Roman"/>
                <w:color w:val="000000"/>
                <w:kern w:val="0"/>
                <w:sz w:val="18"/>
                <w:szCs w:val="18"/>
              </w:rPr>
              <w:t xml:space="preserve">  </w:t>
            </w:r>
            <w:r>
              <w:rPr>
                <w:rFonts w:hint="eastAsia" w:ascii="Times New Roman" w:hAnsi="Times New Roman" w:eastAsia="仿宋_GB2312" w:cs="Times New Roman"/>
                <w:color w:val="000000"/>
                <w:kern w:val="0"/>
                <w:sz w:val="18"/>
                <w:szCs w:val="18"/>
              </w:rPr>
              <w:t xml:space="preserve">   公开06表</w:t>
            </w:r>
          </w:p>
          <w:p>
            <w:pPr>
              <w:widowControl/>
              <w:jc w:val="right"/>
              <w:rPr>
                <w:rFonts w:ascii="华文中宋" w:hAnsi="华文中宋" w:eastAsia="华文中宋" w:cs="宋体"/>
                <w:color w:val="000000"/>
                <w:kern w:val="0"/>
                <w:sz w:val="18"/>
                <w:szCs w:val="18"/>
              </w:rPr>
            </w:pPr>
            <w:r>
              <w:rPr>
                <w:rFonts w:hint="eastAsia" w:ascii="Times New Roman" w:hAnsi="Times New Roman" w:eastAsia="仿宋_GB2312" w:cs="Times New Roman"/>
                <w:color w:val="000000"/>
                <w:kern w:val="0"/>
                <w:sz w:val="18"/>
                <w:szCs w:val="18"/>
              </w:rPr>
              <w:t>单位：万元</w:t>
            </w:r>
          </w:p>
        </w:tc>
      </w:tr>
      <w:tr>
        <w:tblPrEx>
          <w:tblCellMar>
            <w:top w:w="0" w:type="dxa"/>
            <w:left w:w="108" w:type="dxa"/>
            <w:bottom w:w="0" w:type="dxa"/>
            <w:right w:w="108" w:type="dxa"/>
          </w:tblCellMar>
        </w:tblPrEx>
        <w:trPr>
          <w:trHeight w:val="747" w:hRule="atLeast"/>
        </w:trPr>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21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3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85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40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9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11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00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2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13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310.88</w:t>
            </w:r>
          </w:p>
        </w:tc>
        <w:tc>
          <w:tcPr>
            <w:tcW w:w="8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40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99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157.12</w:t>
            </w: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411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04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284" w:hRule="exact"/>
        </w:trPr>
        <w:tc>
          <w:tcPr>
            <w:tcW w:w="100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2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13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114.03</w:t>
            </w:r>
          </w:p>
        </w:tc>
        <w:tc>
          <w:tcPr>
            <w:tcW w:w="8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40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99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11.98</w:t>
            </w: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411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04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284" w:hRule="exact"/>
        </w:trPr>
        <w:tc>
          <w:tcPr>
            <w:tcW w:w="100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2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13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55.67</w:t>
            </w:r>
          </w:p>
        </w:tc>
        <w:tc>
          <w:tcPr>
            <w:tcW w:w="8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40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99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24.83</w:t>
            </w: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411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04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284" w:hRule="exact"/>
        </w:trPr>
        <w:tc>
          <w:tcPr>
            <w:tcW w:w="100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2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13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28.33</w:t>
            </w:r>
          </w:p>
        </w:tc>
        <w:tc>
          <w:tcPr>
            <w:tcW w:w="8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40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99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411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04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30.53</w:t>
            </w:r>
          </w:p>
        </w:tc>
      </w:tr>
      <w:tr>
        <w:tblPrEx>
          <w:tblCellMar>
            <w:top w:w="0" w:type="dxa"/>
            <w:left w:w="108" w:type="dxa"/>
            <w:bottom w:w="0" w:type="dxa"/>
            <w:right w:w="108" w:type="dxa"/>
          </w:tblCellMar>
        </w:tblPrEx>
        <w:trPr>
          <w:trHeight w:val="284" w:hRule="exact"/>
        </w:trPr>
        <w:tc>
          <w:tcPr>
            <w:tcW w:w="100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2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13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7.58</w:t>
            </w:r>
          </w:p>
        </w:tc>
        <w:tc>
          <w:tcPr>
            <w:tcW w:w="8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40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99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411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04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284" w:hRule="exact"/>
        </w:trPr>
        <w:tc>
          <w:tcPr>
            <w:tcW w:w="100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2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13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31.28</w:t>
            </w:r>
          </w:p>
        </w:tc>
        <w:tc>
          <w:tcPr>
            <w:tcW w:w="8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40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99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411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04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30.53</w:t>
            </w:r>
          </w:p>
        </w:tc>
      </w:tr>
      <w:tr>
        <w:tblPrEx>
          <w:tblCellMar>
            <w:top w:w="0" w:type="dxa"/>
            <w:left w:w="108" w:type="dxa"/>
            <w:bottom w:w="0" w:type="dxa"/>
            <w:right w:w="108" w:type="dxa"/>
          </w:tblCellMar>
        </w:tblPrEx>
        <w:trPr>
          <w:trHeight w:val="284" w:hRule="exact"/>
        </w:trPr>
        <w:tc>
          <w:tcPr>
            <w:tcW w:w="100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2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13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25.13</w:t>
            </w:r>
          </w:p>
        </w:tc>
        <w:tc>
          <w:tcPr>
            <w:tcW w:w="8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40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99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2.34</w:t>
            </w: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411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04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284" w:hRule="exact"/>
        </w:trPr>
        <w:tc>
          <w:tcPr>
            <w:tcW w:w="100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2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13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8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40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99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0.09</w:t>
            </w: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411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04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284" w:hRule="exact"/>
        </w:trPr>
        <w:tc>
          <w:tcPr>
            <w:tcW w:w="100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2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13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10.23</w:t>
            </w:r>
          </w:p>
        </w:tc>
        <w:tc>
          <w:tcPr>
            <w:tcW w:w="8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40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99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411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04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284" w:hRule="exact"/>
        </w:trPr>
        <w:tc>
          <w:tcPr>
            <w:tcW w:w="100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2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13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8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40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99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411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04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284" w:hRule="exact"/>
        </w:trPr>
        <w:tc>
          <w:tcPr>
            <w:tcW w:w="100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2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13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1.42</w:t>
            </w:r>
          </w:p>
        </w:tc>
        <w:tc>
          <w:tcPr>
            <w:tcW w:w="8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40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99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30.28</w:t>
            </w: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411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04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284" w:hRule="exact"/>
        </w:trPr>
        <w:tc>
          <w:tcPr>
            <w:tcW w:w="100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2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13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37.22</w:t>
            </w:r>
          </w:p>
        </w:tc>
        <w:tc>
          <w:tcPr>
            <w:tcW w:w="8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40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99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411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04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284" w:hRule="exact"/>
        </w:trPr>
        <w:tc>
          <w:tcPr>
            <w:tcW w:w="100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2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13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8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40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99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12.08</w:t>
            </w: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411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04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284" w:hRule="exact"/>
        </w:trPr>
        <w:tc>
          <w:tcPr>
            <w:tcW w:w="100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2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13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8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40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99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0.48</w:t>
            </w: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411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04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284" w:hRule="exact"/>
        </w:trPr>
        <w:tc>
          <w:tcPr>
            <w:tcW w:w="100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2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13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8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40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99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1.17</w:t>
            </w: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411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04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284" w:hRule="exact"/>
        </w:trPr>
        <w:tc>
          <w:tcPr>
            <w:tcW w:w="100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2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13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8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40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99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0.61</w:t>
            </w: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411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04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284" w:hRule="exact"/>
        </w:trPr>
        <w:tc>
          <w:tcPr>
            <w:tcW w:w="100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2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13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8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40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99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1.18</w:t>
            </w: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411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04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284" w:hRule="exact"/>
        </w:trPr>
        <w:tc>
          <w:tcPr>
            <w:tcW w:w="100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2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13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8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40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99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411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04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284" w:hRule="exact"/>
        </w:trPr>
        <w:tc>
          <w:tcPr>
            <w:tcW w:w="100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2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13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8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40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99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411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04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284" w:hRule="exact"/>
        </w:trPr>
        <w:tc>
          <w:tcPr>
            <w:tcW w:w="100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2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13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8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40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99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411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04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284" w:hRule="exact"/>
        </w:trPr>
        <w:tc>
          <w:tcPr>
            <w:tcW w:w="100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2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13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8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40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99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6.09</w:t>
            </w: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411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04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284" w:hRule="exact"/>
        </w:trPr>
        <w:tc>
          <w:tcPr>
            <w:tcW w:w="100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2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13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8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40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99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411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104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284" w:hRule="exact"/>
        </w:trPr>
        <w:tc>
          <w:tcPr>
            <w:tcW w:w="100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2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13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8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40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99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17.63</w:t>
            </w: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411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104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284" w:hRule="exact"/>
        </w:trPr>
        <w:tc>
          <w:tcPr>
            <w:tcW w:w="100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2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13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8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40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99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5.04</w:t>
            </w: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411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104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284" w:hRule="exact"/>
        </w:trPr>
        <w:tc>
          <w:tcPr>
            <w:tcW w:w="100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2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13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8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40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99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411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104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284" w:hRule="exact"/>
        </w:trPr>
        <w:tc>
          <w:tcPr>
            <w:tcW w:w="100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2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13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8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40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99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20.34</w:t>
            </w: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11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0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2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13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8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40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99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11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0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2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3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40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99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22.98</w:t>
            </w: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11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21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13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310.88</w:t>
            </w:r>
          </w:p>
        </w:tc>
        <w:tc>
          <w:tcPr>
            <w:tcW w:w="9216"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047"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Arial"/>
                <w:color w:val="000000"/>
                <w:sz w:val="22"/>
              </w:rPr>
            </w:pPr>
            <w:r>
              <w:rPr>
                <w:rFonts w:hint="eastAsia" w:cs="Arial"/>
                <w:color w:val="000000"/>
                <w:sz w:val="22"/>
              </w:rPr>
              <w:t>187.65</w:t>
            </w:r>
          </w:p>
          <w:p>
            <w:pPr>
              <w:widowControl/>
              <w:jc w:val="left"/>
              <w:rPr>
                <w:rFonts w:ascii="宋体" w:hAnsi="宋体" w:eastAsia="宋体" w:cs="宋体"/>
                <w:color w:val="000000"/>
                <w:kern w:val="0"/>
                <w:szCs w:val="18"/>
              </w:rPr>
            </w:pPr>
          </w:p>
        </w:tc>
      </w:tr>
      <w:tr>
        <w:tblPrEx>
          <w:tblCellMar>
            <w:top w:w="0" w:type="dxa"/>
            <w:left w:w="108" w:type="dxa"/>
            <w:bottom w:w="0" w:type="dxa"/>
            <w:right w:w="108" w:type="dxa"/>
          </w:tblCellMar>
        </w:tblPrEx>
        <w:trPr>
          <w:trHeight w:val="284" w:hRule="exact"/>
        </w:trPr>
        <w:tc>
          <w:tcPr>
            <w:tcW w:w="15614" w:type="dxa"/>
            <w:gridSpan w:val="17"/>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CellMar>
            <w:top w:w="0" w:type="dxa"/>
            <w:left w:w="108" w:type="dxa"/>
            <w:bottom w:w="0" w:type="dxa"/>
            <w:right w:w="108" w:type="dxa"/>
          </w:tblCellMar>
        </w:tblPrEx>
        <w:trPr>
          <w:gridAfter w:val="1"/>
          <w:wAfter w:w="254" w:type="dxa"/>
          <w:trHeight w:val="690" w:hRule="atLeast"/>
        </w:trPr>
        <w:tc>
          <w:tcPr>
            <w:tcW w:w="15360" w:type="dxa"/>
            <w:gridSpan w:val="16"/>
            <w:tcBorders>
              <w:top w:val="nil"/>
              <w:left w:val="nil"/>
              <w:bottom w:val="nil"/>
              <w:right w:val="nil"/>
            </w:tcBorders>
            <w:shd w:val="clear" w:color="auto" w:fill="FFFFFF"/>
            <w:vAlign w:val="center"/>
          </w:tcPr>
          <w:p>
            <w:pPr>
              <w:widowControl/>
              <w:jc w:val="center"/>
              <w:textAlignment w:val="center"/>
              <w:rPr>
                <w:rFonts w:ascii="华文中宋" w:hAnsi="华文中宋" w:eastAsia="华文中宋" w:cs="华文中宋"/>
                <w:color w:val="000000"/>
                <w:kern w:val="0"/>
                <w:sz w:val="32"/>
                <w:szCs w:val="32"/>
              </w:rPr>
            </w:pPr>
          </w:p>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政府性基金预算财政拨款收入支出决算表</w:t>
            </w:r>
          </w:p>
        </w:tc>
      </w:tr>
      <w:tr>
        <w:tblPrEx>
          <w:tblCellMar>
            <w:top w:w="0" w:type="dxa"/>
            <w:left w:w="108" w:type="dxa"/>
            <w:bottom w:w="0" w:type="dxa"/>
            <w:right w:w="108" w:type="dxa"/>
          </w:tblCellMar>
        </w:tblPrEx>
        <w:trPr>
          <w:gridAfter w:val="1"/>
          <w:wAfter w:w="254" w:type="dxa"/>
          <w:trHeight w:val="345" w:hRule="atLeast"/>
        </w:trPr>
        <w:tc>
          <w:tcPr>
            <w:tcW w:w="1003" w:type="dxa"/>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240" w:type="dxa"/>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1402" w:type="dxa"/>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2119" w:type="dxa"/>
            <w:gridSpan w:val="2"/>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119" w:type="dxa"/>
            <w:gridSpan w:val="3"/>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119" w:type="dxa"/>
            <w:gridSpan w:val="2"/>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119" w:type="dxa"/>
            <w:gridSpan w:val="3"/>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119"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120" w:type="dxa"/>
            <w:gridSpan w:val="2"/>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公开07表</w:t>
            </w:r>
          </w:p>
        </w:tc>
      </w:tr>
      <w:tr>
        <w:tblPrEx>
          <w:tblCellMar>
            <w:top w:w="0" w:type="dxa"/>
            <w:left w:w="108" w:type="dxa"/>
            <w:bottom w:w="0" w:type="dxa"/>
            <w:right w:w="108" w:type="dxa"/>
          </w:tblCellMar>
        </w:tblPrEx>
        <w:trPr>
          <w:gridAfter w:val="1"/>
          <w:wAfter w:w="254" w:type="dxa"/>
          <w:trHeight w:val="690" w:hRule="atLeast"/>
        </w:trPr>
        <w:tc>
          <w:tcPr>
            <w:tcW w:w="4764" w:type="dxa"/>
            <w:gridSpan w:val="5"/>
            <w:tcBorders>
              <w:top w:val="nil"/>
              <w:left w:val="nil"/>
              <w:bottom w:val="nil"/>
              <w:right w:val="nil"/>
            </w:tcBorders>
            <w:shd w:val="clear" w:color="auto" w:fill="FFFFFF"/>
            <w:noWrap/>
            <w:vAlign w:val="center"/>
          </w:tcPr>
          <w:p>
            <w:pPr>
              <w:rPr>
                <w:rFonts w:ascii="宋体" w:hAnsi="宋体" w:eastAsia="宋体" w:cs="宋体"/>
                <w:color w:val="000000"/>
                <w:sz w:val="20"/>
                <w:szCs w:val="20"/>
              </w:rPr>
            </w:pPr>
            <w:r>
              <w:rPr>
                <w:rFonts w:hint="eastAsia" w:ascii="宋体" w:hAnsi="宋体" w:eastAsia="宋体" w:cs="宋体"/>
                <w:color w:val="000000"/>
                <w:kern w:val="0"/>
                <w:sz w:val="20"/>
                <w:szCs w:val="20"/>
              </w:rPr>
              <w:t>部门：溆浦县退役军人事务局</w:t>
            </w:r>
          </w:p>
        </w:tc>
        <w:tc>
          <w:tcPr>
            <w:tcW w:w="2119" w:type="dxa"/>
            <w:gridSpan w:val="3"/>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119" w:type="dxa"/>
            <w:gridSpan w:val="2"/>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119" w:type="dxa"/>
            <w:gridSpan w:val="3"/>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119"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120" w:type="dxa"/>
            <w:gridSpan w:val="2"/>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gridAfter w:val="1"/>
          <w:wAfter w:w="254" w:type="dxa"/>
          <w:trHeight w:val="459" w:hRule="atLeast"/>
        </w:trPr>
        <w:tc>
          <w:tcPr>
            <w:tcW w:w="26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项 </w:t>
            </w:r>
            <w:r>
              <w:rPr>
                <w:rStyle w:val="12"/>
                <w:rFonts w:hint="default"/>
              </w:rPr>
              <w:t xml:space="preserve">   </w:t>
            </w:r>
            <w:r>
              <w:rPr>
                <w:rStyle w:val="13"/>
                <w:rFonts w:hint="default"/>
              </w:rPr>
              <w:t>目</w:t>
            </w: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年初结转和结余</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本年收入</w:t>
            </w:r>
          </w:p>
        </w:tc>
        <w:tc>
          <w:tcPr>
            <w:tcW w:w="63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本年支出</w:t>
            </w:r>
          </w:p>
        </w:tc>
        <w:tc>
          <w:tcPr>
            <w:tcW w:w="21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年末结转和结余</w:t>
            </w:r>
          </w:p>
        </w:tc>
      </w:tr>
      <w:tr>
        <w:tblPrEx>
          <w:tblCellMar>
            <w:top w:w="0" w:type="dxa"/>
            <w:left w:w="108" w:type="dxa"/>
            <w:bottom w:w="0" w:type="dxa"/>
            <w:right w:w="108" w:type="dxa"/>
          </w:tblCellMar>
        </w:tblPrEx>
        <w:trPr>
          <w:gridAfter w:val="1"/>
          <w:wAfter w:w="254" w:type="dxa"/>
          <w:trHeight w:val="609" w:hRule="atLeast"/>
        </w:trPr>
        <w:tc>
          <w:tcPr>
            <w:tcW w:w="12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科目代码</w:t>
            </w:r>
          </w:p>
        </w:tc>
        <w:tc>
          <w:tcPr>
            <w:tcW w:w="1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科目名称</w:t>
            </w: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小计</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基本支出  </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项目支出</w:t>
            </w: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254" w:type="dxa"/>
          <w:trHeight w:val="4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254" w:type="dxa"/>
          <w:trHeight w:val="5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254" w:type="dxa"/>
          <w:trHeight w:val="509" w:hRule="atLeast"/>
        </w:trPr>
        <w:tc>
          <w:tcPr>
            <w:tcW w:w="26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栏次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3</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4</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5</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6</w:t>
            </w:r>
          </w:p>
        </w:tc>
      </w:tr>
      <w:tr>
        <w:tblPrEx>
          <w:tblCellMar>
            <w:top w:w="0" w:type="dxa"/>
            <w:left w:w="108" w:type="dxa"/>
            <w:bottom w:w="0" w:type="dxa"/>
            <w:right w:w="108" w:type="dxa"/>
          </w:tblCellMar>
        </w:tblPrEx>
        <w:trPr>
          <w:gridAfter w:val="1"/>
          <w:wAfter w:w="254" w:type="dxa"/>
          <w:trHeight w:val="509" w:hRule="atLeast"/>
        </w:trPr>
        <w:tc>
          <w:tcPr>
            <w:tcW w:w="26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合计</w:t>
            </w:r>
          </w:p>
        </w:tc>
        <w:tc>
          <w:tcPr>
            <w:tcW w:w="1271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r>
              <w:rPr>
                <w:rFonts w:hint="eastAsia" w:ascii="楷体" w:hAnsi="楷体" w:eastAsia="楷体" w:cs="楷体"/>
                <w:b/>
                <w:bCs/>
                <w:kern w:val="0"/>
                <w:sz w:val="24"/>
                <w:szCs w:val="24"/>
              </w:rPr>
              <w:t>我单位没有政府性基金收入，也没有使用政府性基金安排的支出，故本表无数据。</w:t>
            </w:r>
          </w:p>
        </w:tc>
      </w:tr>
      <w:tr>
        <w:tblPrEx>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254" w:type="dxa"/>
          <w:trHeight w:val="725" w:hRule="atLeast"/>
        </w:trPr>
        <w:tc>
          <w:tcPr>
            <w:tcW w:w="15360" w:type="dxa"/>
            <w:gridSpan w:val="16"/>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注：本表反映部门本年度政府性基金预算财政拨款收入、支出及结转和结余情况。</w:t>
            </w:r>
          </w:p>
          <w:p>
            <w:pPr>
              <w:widowControl/>
              <w:jc w:val="left"/>
              <w:textAlignment w:val="center"/>
              <w:rPr>
                <w:rFonts w:ascii="宋体" w:hAnsi="宋体" w:eastAsia="宋体" w:cs="宋体"/>
                <w:color w:val="000000"/>
                <w:kern w:val="0"/>
                <w:sz w:val="24"/>
                <w:szCs w:val="24"/>
              </w:rPr>
            </w:pPr>
          </w:p>
          <w:p>
            <w:pPr>
              <w:widowControl/>
              <w:jc w:val="left"/>
              <w:textAlignment w:val="center"/>
              <w:rPr>
                <w:rFonts w:ascii="宋体" w:hAnsi="宋体" w:eastAsia="宋体" w:cs="宋体"/>
                <w:color w:val="000000"/>
                <w:kern w:val="0"/>
                <w:sz w:val="24"/>
                <w:szCs w:val="24"/>
              </w:rPr>
            </w:pPr>
            <w:r>
              <w:rPr>
                <w:rFonts w:hint="eastAsia" w:ascii="楷体" w:hAnsi="楷体" w:eastAsia="楷体" w:cs="楷体"/>
                <w:b/>
                <w:bCs/>
                <w:kern w:val="0"/>
                <w:sz w:val="24"/>
                <w:szCs w:val="24"/>
              </w:rPr>
              <w:t>说明：我单位没有政府性基金收入，也没有使用政府性基金安排的支出，故本表无数据。</w:t>
            </w:r>
          </w:p>
        </w:tc>
      </w:tr>
    </w:tbl>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tbl>
      <w:tblPr>
        <w:tblStyle w:val="5"/>
        <w:tblW w:w="15120" w:type="dxa"/>
        <w:tblInd w:w="93" w:type="dxa"/>
        <w:tblLayout w:type="autofit"/>
        <w:tblCellMar>
          <w:top w:w="0" w:type="dxa"/>
          <w:left w:w="108" w:type="dxa"/>
          <w:bottom w:w="0" w:type="dxa"/>
          <w:right w:w="108" w:type="dxa"/>
        </w:tblCellMar>
      </w:tblPr>
      <w:tblGrid>
        <w:gridCol w:w="2816"/>
        <w:gridCol w:w="636"/>
        <w:gridCol w:w="2043"/>
        <w:gridCol w:w="2927"/>
        <w:gridCol w:w="2927"/>
        <w:gridCol w:w="3771"/>
      </w:tblGrid>
      <w:tr>
        <w:tblPrEx>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国有资本经营预算财政拨款支出决算表</w:t>
            </w:r>
          </w:p>
        </w:tc>
      </w:tr>
      <w:tr>
        <w:tblPrEx>
          <w:tblCellMar>
            <w:top w:w="0" w:type="dxa"/>
            <w:left w:w="108" w:type="dxa"/>
            <w:bottom w:w="0" w:type="dxa"/>
            <w:right w:w="108" w:type="dxa"/>
          </w:tblCellMar>
        </w:tblPrEx>
        <w:trPr>
          <w:trHeight w:val="417" w:hRule="atLeast"/>
        </w:trPr>
        <w:tc>
          <w:tcPr>
            <w:tcW w:w="2816" w:type="dxa"/>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636" w:type="dxa"/>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2043" w:type="dxa"/>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2927"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927"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公开08表</w:t>
            </w:r>
          </w:p>
        </w:tc>
      </w:tr>
      <w:tr>
        <w:tblPrEx>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部门：溆浦县退役军人事务局</w:t>
            </w:r>
          </w:p>
        </w:tc>
        <w:tc>
          <w:tcPr>
            <w:tcW w:w="636" w:type="dxa"/>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2043" w:type="dxa"/>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2927"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927"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48" w:hRule="atLeast"/>
        </w:trPr>
        <w:tc>
          <w:tcPr>
            <w:tcW w:w="54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项 </w:t>
            </w:r>
            <w:r>
              <w:rPr>
                <w:rFonts w:hint="eastAsia" w:ascii="宋体" w:hAnsi="宋体" w:eastAsia="宋体" w:cs="宋体"/>
                <w:color w:val="000000"/>
                <w:kern w:val="0"/>
                <w:sz w:val="22"/>
              </w:rPr>
              <w:t xml:space="preserve">   </w:t>
            </w:r>
            <w:r>
              <w:rPr>
                <w:rStyle w:val="14"/>
                <w:rFonts w:hint="default"/>
              </w:rPr>
              <w:t>目</w:t>
            </w:r>
          </w:p>
        </w:tc>
        <w:tc>
          <w:tcPr>
            <w:tcW w:w="96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本年支出</w:t>
            </w:r>
          </w:p>
        </w:tc>
      </w:tr>
      <w:tr>
        <w:tblPrEx>
          <w:tblCellMar>
            <w:top w:w="0" w:type="dxa"/>
            <w:left w:w="108" w:type="dxa"/>
            <w:bottom w:w="0" w:type="dxa"/>
            <w:right w:w="108" w:type="dxa"/>
          </w:tblCellMar>
        </w:tblPrEx>
        <w:trPr>
          <w:trHeight w:val="548" w:hRule="atLeast"/>
        </w:trPr>
        <w:tc>
          <w:tcPr>
            <w:tcW w:w="34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科目代码</w:t>
            </w:r>
          </w:p>
        </w:tc>
        <w:tc>
          <w:tcPr>
            <w:tcW w:w="20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科目名称</w:t>
            </w:r>
          </w:p>
        </w:tc>
        <w:tc>
          <w:tcPr>
            <w:tcW w:w="29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合计</w:t>
            </w:r>
          </w:p>
        </w:tc>
        <w:tc>
          <w:tcPr>
            <w:tcW w:w="29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基本支出  </w:t>
            </w:r>
          </w:p>
        </w:tc>
        <w:tc>
          <w:tcPr>
            <w:tcW w:w="37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项目支出</w:t>
            </w:r>
          </w:p>
        </w:tc>
      </w:tr>
      <w:tr>
        <w:tblPrEx>
          <w:tblCellMar>
            <w:top w:w="0" w:type="dxa"/>
            <w:left w:w="108" w:type="dxa"/>
            <w:bottom w:w="0" w:type="dxa"/>
            <w:right w:w="108" w:type="dxa"/>
          </w:tblCellMar>
        </w:tblPrEx>
        <w:trPr>
          <w:trHeight w:val="548" w:hRule="atLeast"/>
        </w:trPr>
        <w:tc>
          <w:tcPr>
            <w:tcW w:w="34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9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9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3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8" w:hRule="atLeast"/>
        </w:trPr>
        <w:tc>
          <w:tcPr>
            <w:tcW w:w="34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9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9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3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8" w:hRule="atLeast"/>
        </w:trPr>
        <w:tc>
          <w:tcPr>
            <w:tcW w:w="54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栏次</w:t>
            </w: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w:t>
            </w: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w:t>
            </w:r>
          </w:p>
        </w:tc>
        <w:tc>
          <w:tcPr>
            <w:tcW w:w="37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3</w:t>
            </w:r>
          </w:p>
        </w:tc>
      </w:tr>
      <w:tr>
        <w:tblPrEx>
          <w:tblCellMar>
            <w:top w:w="0" w:type="dxa"/>
            <w:left w:w="108" w:type="dxa"/>
            <w:bottom w:w="0" w:type="dxa"/>
            <w:right w:w="108" w:type="dxa"/>
          </w:tblCellMar>
        </w:tblPrEx>
        <w:trPr>
          <w:trHeight w:val="548" w:hRule="atLeast"/>
        </w:trPr>
        <w:tc>
          <w:tcPr>
            <w:tcW w:w="54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合计</w:t>
            </w:r>
          </w:p>
        </w:tc>
        <w:tc>
          <w:tcPr>
            <w:tcW w:w="96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r>
              <w:rPr>
                <w:rFonts w:hint="eastAsia" w:ascii="楷体" w:hAnsi="楷体" w:eastAsia="楷体" w:cs="楷体"/>
                <w:b/>
                <w:bCs/>
                <w:kern w:val="0"/>
                <w:sz w:val="24"/>
                <w:szCs w:val="24"/>
              </w:rPr>
              <w:t>我单位没有使用国有资本经营预算安排的支出，故本表无数据</w:t>
            </w:r>
          </w:p>
        </w:tc>
      </w:tr>
      <w:tr>
        <w:tblPrEx>
          <w:tblCellMar>
            <w:top w:w="0" w:type="dxa"/>
            <w:left w:w="108" w:type="dxa"/>
            <w:bottom w:w="0" w:type="dxa"/>
            <w:right w:w="108" w:type="dxa"/>
          </w:tblCellMar>
        </w:tblPrEx>
        <w:trPr>
          <w:trHeight w:val="548" w:hRule="atLeast"/>
        </w:trPr>
        <w:tc>
          <w:tcPr>
            <w:tcW w:w="34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7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8" w:hRule="atLeast"/>
        </w:trPr>
        <w:tc>
          <w:tcPr>
            <w:tcW w:w="34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7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8" w:hRule="atLeast"/>
        </w:trPr>
        <w:tc>
          <w:tcPr>
            <w:tcW w:w="34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7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8" w:hRule="atLeast"/>
        </w:trPr>
        <w:tc>
          <w:tcPr>
            <w:tcW w:w="34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7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8" w:hRule="atLeast"/>
        </w:trPr>
        <w:tc>
          <w:tcPr>
            <w:tcW w:w="34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7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8" w:hRule="atLeast"/>
        </w:trPr>
        <w:tc>
          <w:tcPr>
            <w:tcW w:w="34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7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注：本表反映部门本年度国有资本经营预算财政拨款支出情况。</w:t>
            </w:r>
          </w:p>
          <w:p>
            <w:pPr>
              <w:widowControl/>
              <w:jc w:val="left"/>
              <w:textAlignment w:val="center"/>
              <w:rPr>
                <w:rFonts w:ascii="宋体" w:hAnsi="宋体" w:eastAsia="宋体" w:cs="宋体"/>
                <w:color w:val="000000"/>
                <w:kern w:val="0"/>
                <w:sz w:val="24"/>
                <w:szCs w:val="24"/>
              </w:rPr>
            </w:pPr>
          </w:p>
          <w:p>
            <w:pPr>
              <w:widowControl/>
              <w:jc w:val="left"/>
              <w:textAlignment w:val="center"/>
              <w:rPr>
                <w:rFonts w:ascii="宋体" w:hAnsi="宋体" w:eastAsia="宋体" w:cs="宋体"/>
                <w:color w:val="000000"/>
                <w:kern w:val="0"/>
                <w:sz w:val="24"/>
                <w:szCs w:val="24"/>
              </w:rPr>
            </w:pPr>
            <w:r>
              <w:rPr>
                <w:rFonts w:hint="eastAsia" w:ascii="楷体" w:hAnsi="楷体" w:eastAsia="楷体" w:cs="楷体"/>
                <w:b/>
                <w:bCs/>
                <w:kern w:val="0"/>
                <w:sz w:val="24"/>
                <w:szCs w:val="24"/>
              </w:rPr>
              <w:t>说明：我单位没有使用国有资本经营预算安排的支出，故本表无数据。</w:t>
            </w:r>
          </w:p>
        </w:tc>
      </w:tr>
    </w:tbl>
    <w:p>
      <w:pPr>
        <w:widowControl/>
        <w:jc w:val="center"/>
        <w:rPr>
          <w:rFonts w:ascii="Times New Roman" w:hAnsi="Times New Roman" w:eastAsia="方正小标宋_GBK" w:cs="Times New Roman"/>
          <w:color w:val="000000"/>
          <w:kern w:val="0"/>
          <w:sz w:val="36"/>
          <w:szCs w:val="36"/>
        </w:rPr>
      </w:pPr>
    </w:p>
    <w:tbl>
      <w:tblPr>
        <w:tblStyle w:val="5"/>
        <w:tblW w:w="15140" w:type="dxa"/>
        <w:tblInd w:w="93" w:type="dxa"/>
        <w:tblLayout w:type="autofit"/>
        <w:tblCellMar>
          <w:top w:w="0" w:type="dxa"/>
          <w:left w:w="108" w:type="dxa"/>
          <w:bottom w:w="0" w:type="dxa"/>
          <w:right w:w="108" w:type="dxa"/>
        </w:tblCellMar>
      </w:tblPr>
      <w:tblGrid>
        <w:gridCol w:w="2816"/>
        <w:gridCol w:w="1162"/>
        <w:gridCol w:w="1093"/>
        <w:gridCol w:w="1093"/>
        <w:gridCol w:w="1093"/>
        <w:gridCol w:w="1093"/>
        <w:gridCol w:w="1093"/>
        <w:gridCol w:w="1162"/>
        <w:gridCol w:w="1093"/>
        <w:gridCol w:w="1093"/>
        <w:gridCol w:w="1093"/>
        <w:gridCol w:w="1256"/>
      </w:tblGrid>
      <w:tr>
        <w:tblPrEx>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widowControl/>
              <w:jc w:val="center"/>
              <w:textAlignment w:val="center"/>
              <w:rPr>
                <w:rFonts w:ascii="华文中宋" w:hAnsi="华文中宋" w:eastAsia="华文中宋" w:cs="华文中宋"/>
                <w:color w:val="000000"/>
                <w:kern w:val="0"/>
                <w:sz w:val="32"/>
                <w:szCs w:val="32"/>
              </w:rPr>
            </w:pPr>
          </w:p>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财政拨款“三公”经费支出决算表</w:t>
            </w:r>
          </w:p>
        </w:tc>
      </w:tr>
      <w:tr>
        <w:tblPrEx>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部门：溆浦县退役军人事务局</w:t>
            </w: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r>
      <w:tr>
        <w:tblPrEx>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Arial"/>
                <w:color w:val="000000"/>
                <w:sz w:val="22"/>
              </w:rPr>
            </w:pPr>
            <w:r>
              <w:rPr>
                <w:rFonts w:hint="eastAsia" w:cs="Arial"/>
                <w:color w:val="000000"/>
                <w:sz w:val="22"/>
              </w:rPr>
              <w:t>1.80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Arial"/>
                <w:color w:val="000000"/>
                <w:sz w:val="22"/>
              </w:rPr>
            </w:pPr>
            <w:r>
              <w:rPr>
                <w:rFonts w:hint="eastAsia" w:cs="Arial"/>
                <w:color w:val="000000"/>
                <w:sz w:val="22"/>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Arial"/>
                <w:color w:val="000000"/>
                <w:sz w:val="22"/>
              </w:rPr>
            </w:pPr>
            <w:r>
              <w:rPr>
                <w:rFonts w:hint="eastAsia" w:cs="Arial"/>
                <w:color w:val="000000"/>
                <w:sz w:val="22"/>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Arial"/>
                <w:color w:val="000000"/>
                <w:sz w:val="22"/>
              </w:rPr>
            </w:pPr>
            <w:r>
              <w:rPr>
                <w:rFonts w:hint="eastAsia" w:cs="Arial"/>
                <w:color w:val="000000"/>
                <w:sz w:val="22"/>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Arial"/>
                <w:color w:val="000000"/>
                <w:sz w:val="22"/>
              </w:rPr>
            </w:pPr>
            <w:r>
              <w:rPr>
                <w:rFonts w:hint="eastAsia" w:cs="Arial"/>
                <w:color w:val="000000"/>
                <w:sz w:val="22"/>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Arial"/>
                <w:color w:val="000000"/>
                <w:sz w:val="22"/>
              </w:rPr>
            </w:pPr>
            <w:r>
              <w:rPr>
                <w:rFonts w:hint="eastAsia" w:cs="Arial"/>
                <w:color w:val="000000"/>
                <w:sz w:val="22"/>
              </w:rPr>
              <w:t>1.80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Arial"/>
                <w:color w:val="000000"/>
                <w:sz w:val="22"/>
              </w:rPr>
            </w:pPr>
            <w:r>
              <w:rPr>
                <w:rFonts w:hint="eastAsia" w:cs="Arial"/>
                <w:color w:val="000000"/>
                <w:sz w:val="22"/>
              </w:rPr>
              <w:t>1.18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Arial"/>
                <w:color w:val="000000"/>
                <w:sz w:val="22"/>
              </w:rPr>
            </w:pPr>
            <w:r>
              <w:rPr>
                <w:rFonts w:hint="eastAsia" w:cs="Arial"/>
                <w:color w:val="000000"/>
                <w:sz w:val="22"/>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Arial"/>
                <w:color w:val="000000"/>
                <w:sz w:val="22"/>
              </w:rPr>
            </w:pPr>
            <w:r>
              <w:rPr>
                <w:rFonts w:hint="eastAsia" w:cs="Arial"/>
                <w:color w:val="000000"/>
                <w:sz w:val="22"/>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Arial"/>
                <w:color w:val="000000"/>
                <w:sz w:val="22"/>
              </w:rPr>
            </w:pPr>
            <w:r>
              <w:rPr>
                <w:rFonts w:hint="eastAsia" w:cs="Arial"/>
                <w:color w:val="000000"/>
                <w:sz w:val="22"/>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Arial"/>
                <w:color w:val="000000"/>
                <w:sz w:val="22"/>
              </w:rPr>
            </w:pPr>
            <w:r>
              <w:rPr>
                <w:rFonts w:hint="eastAsia" w:cs="Arial"/>
                <w:color w:val="000000"/>
                <w:sz w:val="22"/>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Arial"/>
                <w:color w:val="000000"/>
                <w:sz w:val="22"/>
              </w:rPr>
            </w:pPr>
            <w:r>
              <w:rPr>
                <w:rFonts w:hint="eastAsia" w:cs="Arial"/>
                <w:color w:val="000000"/>
                <w:sz w:val="22"/>
              </w:rPr>
              <w:t>1.18</w:t>
            </w:r>
          </w:p>
        </w:tc>
      </w:tr>
      <w:tr>
        <w:tblPrEx>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rFonts w:ascii="方正小标宋_GBK" w:hAnsi="方正小标宋_GBK" w:eastAsia="方正小标宋_GBK" w:cs="方正小标宋_GBK"/>
          <w:sz w:val="72"/>
          <w:szCs w:val="72"/>
        </w:rPr>
      </w:pPr>
    </w:p>
    <w:p>
      <w:pPr>
        <w:pStyle w:val="9"/>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9"/>
        <w:jc w:val="center"/>
        <w:rPr>
          <w:rFonts w:ascii="方正小标宋_GBK" w:hAnsi="方正小标宋_GBK" w:eastAsia="方正小标宋_GBK" w:cs="方正小标宋_GBK"/>
          <w:sz w:val="70"/>
          <w:szCs w:val="70"/>
        </w:rPr>
      </w:pPr>
    </w:p>
    <w:p>
      <w:pPr>
        <w:pStyle w:val="9"/>
        <w:jc w:val="center"/>
        <w:rPr>
          <w:rFonts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2022年度部门决算情况说明</w:t>
      </w:r>
    </w:p>
    <w:p>
      <w:pPr>
        <w:widowControl/>
        <w:jc w:val="left"/>
        <w:rPr>
          <w:rFonts w:asciiTheme="minorEastAsia" w:hAnsiTheme="minorEastAsia"/>
          <w:sz w:val="32"/>
          <w:szCs w:val="32"/>
        </w:rPr>
      </w:pPr>
      <w:r>
        <w:rPr>
          <w:rFonts w:hint="eastAsia" w:ascii="方正小标宋_GBK" w:hAnsi="方正小标宋_GBK" w:eastAsia="方正小标宋_GBK" w:cs="方正小标宋_GBK"/>
          <w:sz w:val="70"/>
          <w:szCs w:val="70"/>
        </w:rPr>
        <w:br w:type="page"/>
      </w:r>
    </w:p>
    <w:p>
      <w:pPr>
        <w:pStyle w:val="9"/>
        <w:spacing w:line="600" w:lineRule="exact"/>
        <w:ind w:firstLine="640" w:firstLineChars="200"/>
        <w:rPr>
          <w:rFonts w:ascii="宋体" w:hAnsi="宋体" w:eastAsia="宋体" w:cs="Times New Roman"/>
          <w:b/>
          <w:bCs w:val="0"/>
          <w:color w:val="auto"/>
          <w:sz w:val="32"/>
          <w:szCs w:val="32"/>
        </w:rPr>
      </w:pPr>
      <w:r>
        <w:rPr>
          <w:rFonts w:hint="eastAsia" w:ascii="宋体" w:hAnsi="宋体" w:eastAsia="宋体" w:cs="Times New Roman"/>
          <w:b/>
          <w:bCs w:val="0"/>
          <w:color w:val="auto"/>
          <w:sz w:val="32"/>
          <w:szCs w:val="32"/>
        </w:rPr>
        <w:t>一、收入支出决算总体情况说明</w:t>
      </w:r>
    </w:p>
    <w:p>
      <w:pPr>
        <w:pStyle w:val="9"/>
        <w:spacing w:line="600" w:lineRule="exact"/>
        <w:ind w:firstLine="640" w:firstLineChars="200"/>
        <w:rPr>
          <w:rFonts w:ascii="宋体" w:hAnsi="宋体" w:eastAsia="宋体" w:cs="Times New Roman"/>
          <w:bCs/>
          <w:color w:val="auto"/>
          <w:sz w:val="32"/>
          <w:szCs w:val="32"/>
        </w:rPr>
      </w:pPr>
      <w:r>
        <w:rPr>
          <w:rFonts w:hint="eastAsia" w:ascii="宋体" w:hAnsi="宋体" w:eastAsia="宋体" w:cs="Times New Roman"/>
          <w:bCs/>
          <w:color w:val="auto"/>
          <w:sz w:val="32"/>
          <w:szCs w:val="32"/>
        </w:rPr>
        <w:t>2022年度收、支总计8544.80万元。与上年相比，增加553.99万元，增长6.27%，主要是因为人员经费及优待抚恤金增加。</w:t>
      </w:r>
    </w:p>
    <w:p>
      <w:pPr>
        <w:pStyle w:val="9"/>
        <w:spacing w:line="600" w:lineRule="exact"/>
        <w:ind w:firstLine="640" w:firstLineChars="200"/>
        <w:rPr>
          <w:rFonts w:ascii="宋体" w:hAnsi="宋体" w:eastAsia="宋体" w:cs="Times New Roman"/>
          <w:b/>
          <w:bCs w:val="0"/>
          <w:color w:val="auto"/>
          <w:sz w:val="32"/>
          <w:szCs w:val="32"/>
        </w:rPr>
      </w:pPr>
      <w:r>
        <w:rPr>
          <w:rFonts w:hint="eastAsia" w:ascii="宋体" w:hAnsi="宋体" w:eastAsia="宋体" w:cs="Times New Roman"/>
          <w:b/>
          <w:bCs w:val="0"/>
          <w:color w:val="auto"/>
          <w:sz w:val="32"/>
          <w:szCs w:val="32"/>
        </w:rPr>
        <w:t>二、收入决算情况说明</w:t>
      </w:r>
    </w:p>
    <w:p>
      <w:pPr>
        <w:pStyle w:val="9"/>
        <w:spacing w:line="600" w:lineRule="exact"/>
        <w:ind w:firstLine="640" w:firstLineChars="200"/>
        <w:rPr>
          <w:rFonts w:ascii="宋体" w:hAnsi="宋体" w:eastAsia="宋体" w:cs="Times New Roman"/>
          <w:bCs/>
          <w:color w:val="auto"/>
          <w:sz w:val="32"/>
          <w:szCs w:val="32"/>
        </w:rPr>
      </w:pPr>
      <w:r>
        <w:rPr>
          <w:rFonts w:hint="eastAsia" w:ascii="宋体" w:hAnsi="宋体" w:eastAsia="宋体" w:cs="Times New Roman"/>
          <w:bCs/>
          <w:color w:val="auto"/>
          <w:sz w:val="32"/>
          <w:szCs w:val="32"/>
        </w:rPr>
        <w:t>2022年度收入合计8544.80万元，其中：财政拨款收入8527.22万元，占99.79%；上级补助收入0万元，占0%；事业收入0万元，占0%；经营收入0万元，占0%；附属单位上缴收入0万元，占0%；其他收入17.58万元，占0.21%。</w:t>
      </w:r>
    </w:p>
    <w:p>
      <w:pPr>
        <w:pStyle w:val="9"/>
        <w:spacing w:line="600" w:lineRule="exact"/>
        <w:ind w:firstLine="640" w:firstLineChars="200"/>
        <w:rPr>
          <w:rFonts w:ascii="宋体" w:hAnsi="宋体" w:eastAsia="宋体" w:cs="Times New Roman"/>
          <w:b/>
          <w:bCs w:val="0"/>
          <w:color w:val="auto"/>
          <w:sz w:val="32"/>
          <w:szCs w:val="32"/>
        </w:rPr>
      </w:pPr>
      <w:r>
        <w:rPr>
          <w:rFonts w:hint="eastAsia" w:ascii="宋体" w:hAnsi="宋体" w:eastAsia="宋体" w:cs="Times New Roman"/>
          <w:b/>
          <w:bCs w:val="0"/>
          <w:color w:val="auto"/>
          <w:sz w:val="32"/>
          <w:szCs w:val="32"/>
        </w:rPr>
        <w:t>三、支出决算情况说明</w:t>
      </w:r>
    </w:p>
    <w:p>
      <w:pPr>
        <w:pStyle w:val="9"/>
        <w:spacing w:line="600" w:lineRule="exact"/>
        <w:ind w:firstLine="640" w:firstLineChars="200"/>
        <w:rPr>
          <w:rFonts w:ascii="宋体" w:hAnsi="宋体" w:eastAsia="宋体" w:cs="Times New Roman"/>
          <w:bCs/>
          <w:color w:val="auto"/>
          <w:sz w:val="32"/>
          <w:szCs w:val="32"/>
        </w:rPr>
      </w:pPr>
      <w:r>
        <w:rPr>
          <w:rFonts w:hint="eastAsia" w:ascii="宋体" w:hAnsi="宋体" w:eastAsia="宋体" w:cs="Times New Roman"/>
          <w:bCs/>
          <w:color w:val="auto"/>
          <w:sz w:val="32"/>
          <w:szCs w:val="32"/>
        </w:rPr>
        <w:t>2022年度支出合计8544.80万元，其中：基本支出516.11万元，占6.04%；项目支出8028.69万元，占93.96%；上缴上级支出0万元，占0%；经营支出0万元，占0%；对附属单位补助支出0万元，占0%。</w:t>
      </w:r>
    </w:p>
    <w:p>
      <w:pPr>
        <w:pStyle w:val="9"/>
        <w:spacing w:line="600" w:lineRule="exact"/>
        <w:ind w:firstLine="640" w:firstLineChars="200"/>
        <w:rPr>
          <w:rFonts w:ascii="宋体" w:hAnsi="宋体" w:eastAsia="宋体" w:cs="Times New Roman"/>
          <w:b/>
          <w:bCs w:val="0"/>
          <w:color w:val="auto"/>
          <w:sz w:val="32"/>
          <w:szCs w:val="32"/>
        </w:rPr>
      </w:pPr>
      <w:r>
        <w:rPr>
          <w:rFonts w:hint="eastAsia" w:ascii="宋体" w:hAnsi="宋体" w:eastAsia="宋体" w:cs="Times New Roman"/>
          <w:b/>
          <w:bCs w:val="0"/>
          <w:color w:val="auto"/>
          <w:sz w:val="32"/>
          <w:szCs w:val="32"/>
        </w:rPr>
        <w:t>四、财政拨款收入支出决算总体情况说明</w:t>
      </w:r>
    </w:p>
    <w:p>
      <w:pPr>
        <w:pStyle w:val="9"/>
        <w:spacing w:line="600" w:lineRule="exact"/>
        <w:rPr>
          <w:rFonts w:ascii="宋体" w:hAnsi="宋体" w:eastAsia="宋体" w:cs="Times New Roman"/>
          <w:bCs/>
          <w:color w:val="auto"/>
          <w:sz w:val="32"/>
          <w:szCs w:val="32"/>
        </w:rPr>
      </w:pPr>
      <w:r>
        <w:rPr>
          <w:rFonts w:hint="eastAsia" w:ascii="宋体" w:hAnsi="宋体" w:eastAsia="宋体" w:cs="Times New Roman"/>
          <w:bCs/>
          <w:color w:val="auto"/>
          <w:sz w:val="32"/>
          <w:szCs w:val="32"/>
        </w:rPr>
        <w:t xml:space="preserve">    2022年度财政拨款收、支总计8527.22万元，与上年相比，增加593.65万元,增长6.96%，主要是因为主要是因为人员经费及优待抚恤金增加。</w:t>
      </w:r>
    </w:p>
    <w:p>
      <w:pPr>
        <w:pStyle w:val="9"/>
        <w:spacing w:line="600" w:lineRule="exact"/>
        <w:ind w:firstLine="640" w:firstLineChars="200"/>
        <w:rPr>
          <w:rFonts w:ascii="宋体" w:hAnsi="宋体" w:eastAsia="宋体" w:cs="Times New Roman"/>
          <w:b/>
          <w:bCs w:val="0"/>
          <w:color w:val="auto"/>
          <w:sz w:val="32"/>
          <w:szCs w:val="32"/>
        </w:rPr>
      </w:pPr>
      <w:r>
        <w:rPr>
          <w:rFonts w:hint="eastAsia" w:ascii="宋体" w:hAnsi="宋体" w:eastAsia="宋体" w:cs="Times New Roman"/>
          <w:b/>
          <w:bCs w:val="0"/>
          <w:color w:val="auto"/>
          <w:sz w:val="32"/>
          <w:szCs w:val="32"/>
        </w:rPr>
        <w:t>五、一般公共预算财政拨款支出决算情况说明</w:t>
      </w:r>
    </w:p>
    <w:p>
      <w:pPr>
        <w:pStyle w:val="9"/>
        <w:spacing w:line="600" w:lineRule="exact"/>
        <w:ind w:firstLine="640" w:firstLineChars="200"/>
        <w:rPr>
          <w:rFonts w:ascii="宋体" w:hAnsi="宋体" w:eastAsia="宋体" w:cs="Times New Roman"/>
          <w:b/>
          <w:bCs w:val="0"/>
          <w:color w:val="auto"/>
          <w:sz w:val="32"/>
          <w:szCs w:val="32"/>
        </w:rPr>
      </w:pPr>
      <w:r>
        <w:rPr>
          <w:rFonts w:hint="eastAsia" w:ascii="宋体" w:hAnsi="宋体" w:eastAsia="宋体" w:cs="Times New Roman"/>
          <w:b/>
          <w:bCs w:val="0"/>
          <w:color w:val="auto"/>
          <w:sz w:val="32"/>
          <w:szCs w:val="32"/>
        </w:rPr>
        <w:t>（一）财政拨款支出决算总体情况</w:t>
      </w:r>
    </w:p>
    <w:p>
      <w:pPr>
        <w:pStyle w:val="9"/>
        <w:spacing w:line="600" w:lineRule="exact"/>
        <w:ind w:firstLine="800" w:firstLineChars="250"/>
        <w:rPr>
          <w:rFonts w:ascii="宋体" w:hAnsi="宋体" w:eastAsia="宋体" w:cs="Times New Roman"/>
          <w:bCs/>
          <w:color w:val="auto"/>
          <w:sz w:val="32"/>
          <w:szCs w:val="32"/>
        </w:rPr>
      </w:pPr>
      <w:r>
        <w:rPr>
          <w:rFonts w:hint="eastAsia" w:ascii="宋体" w:hAnsi="宋体" w:eastAsia="宋体" w:cs="Times New Roman"/>
          <w:bCs/>
          <w:color w:val="auto"/>
          <w:sz w:val="32"/>
          <w:szCs w:val="32"/>
        </w:rPr>
        <w:t>2022年度财政拨款支出8527.22万元，占本年支出合计的99.79%，与上年相比，财政拨款支出增加593.65万元，增长6.96%，主要是因为人员经费及优待抚恤金增加。</w:t>
      </w:r>
    </w:p>
    <w:p>
      <w:pPr>
        <w:pStyle w:val="9"/>
        <w:spacing w:line="600" w:lineRule="exact"/>
        <w:ind w:firstLine="480" w:firstLineChars="150"/>
        <w:rPr>
          <w:rFonts w:ascii="宋体" w:hAnsi="宋体" w:eastAsia="宋体" w:cs="Times New Roman"/>
          <w:b/>
          <w:bCs w:val="0"/>
          <w:color w:val="auto"/>
          <w:sz w:val="32"/>
          <w:szCs w:val="32"/>
        </w:rPr>
      </w:pPr>
      <w:r>
        <w:rPr>
          <w:rFonts w:hint="eastAsia" w:ascii="宋体" w:hAnsi="宋体" w:eastAsia="宋体" w:cs="Times New Roman"/>
          <w:b/>
          <w:bCs w:val="0"/>
          <w:color w:val="auto"/>
          <w:sz w:val="32"/>
          <w:szCs w:val="32"/>
        </w:rPr>
        <w:t>（二）财政拨款支出决算结构情况</w:t>
      </w:r>
    </w:p>
    <w:p>
      <w:pPr>
        <w:pStyle w:val="9"/>
        <w:spacing w:line="600" w:lineRule="exact"/>
        <w:ind w:firstLine="640" w:firstLineChars="200"/>
        <w:rPr>
          <w:rFonts w:ascii="宋体" w:hAnsi="宋体" w:eastAsia="宋体" w:cs="Times New Roman"/>
          <w:bCs/>
          <w:color w:val="auto"/>
          <w:sz w:val="32"/>
          <w:szCs w:val="32"/>
        </w:rPr>
      </w:pPr>
      <w:r>
        <w:rPr>
          <w:rFonts w:hint="eastAsia" w:ascii="宋体" w:hAnsi="宋体" w:eastAsia="宋体" w:cs="Times New Roman"/>
          <w:bCs/>
          <w:color w:val="auto"/>
          <w:sz w:val="32"/>
          <w:szCs w:val="32"/>
        </w:rPr>
        <w:t>2022年度财政拨款支出8527.22万元，主要用于以下方面：一般公共服务（类）支出0万元，占0%；教育（类）支出0万元，占0%;社会保障贺就业支出8264.40万元，占96.92%；卫生健康支出186.98万元，占2.19%；住房保障支出11.75万元，占0.14%；其他支出64.10万元，占0.75%。</w:t>
      </w:r>
    </w:p>
    <w:p>
      <w:pPr>
        <w:pStyle w:val="9"/>
        <w:spacing w:line="600" w:lineRule="exact"/>
        <w:ind w:firstLine="640" w:firstLineChars="200"/>
        <w:rPr>
          <w:rFonts w:ascii="宋体" w:hAnsi="宋体" w:eastAsia="宋体" w:cs="Times New Roman"/>
          <w:b/>
          <w:bCs w:val="0"/>
          <w:color w:val="auto"/>
          <w:sz w:val="32"/>
          <w:szCs w:val="32"/>
        </w:rPr>
      </w:pPr>
      <w:r>
        <w:rPr>
          <w:rFonts w:hint="eastAsia" w:ascii="宋体" w:hAnsi="宋体" w:eastAsia="宋体" w:cs="Times New Roman"/>
          <w:b/>
          <w:bCs w:val="0"/>
          <w:color w:val="auto"/>
          <w:sz w:val="32"/>
          <w:szCs w:val="32"/>
        </w:rPr>
        <w:t>（三）财政拨款支出决算具体情况</w:t>
      </w:r>
    </w:p>
    <w:p>
      <w:pPr>
        <w:pStyle w:val="9"/>
        <w:spacing w:line="600" w:lineRule="exact"/>
        <w:ind w:firstLine="800" w:firstLineChars="250"/>
        <w:rPr>
          <w:rFonts w:ascii="宋体" w:hAnsi="宋体" w:eastAsia="宋体" w:cs="Times New Roman"/>
          <w:bCs/>
          <w:color w:val="auto"/>
          <w:sz w:val="32"/>
          <w:szCs w:val="32"/>
        </w:rPr>
      </w:pPr>
      <w:r>
        <w:rPr>
          <w:rFonts w:hint="eastAsia" w:ascii="宋体" w:hAnsi="宋体" w:eastAsia="宋体" w:cs="Times New Roman"/>
          <w:bCs/>
          <w:color w:val="auto"/>
          <w:sz w:val="32"/>
          <w:szCs w:val="32"/>
        </w:rPr>
        <w:t>2022年度财政拨款支出年初预算数为2953.19万元，支出决算数为</w:t>
      </w:r>
      <w:r>
        <w:rPr>
          <w:rFonts w:hint="eastAsia" w:ascii="宋体" w:hAnsi="宋体" w:eastAsia="宋体" w:cs="Times New Roman"/>
          <w:bCs/>
          <w:color w:val="auto"/>
          <w:sz w:val="32"/>
          <w:szCs w:val="32"/>
        </w:rPr>
        <w:t>8527.22</w:t>
      </w:r>
      <w:r>
        <w:rPr>
          <w:rFonts w:hint="eastAsia" w:ascii="宋体" w:hAnsi="宋体" w:eastAsia="宋体" w:cs="Times New Roman"/>
          <w:bCs/>
          <w:color w:val="auto"/>
          <w:sz w:val="32"/>
          <w:szCs w:val="32"/>
        </w:rPr>
        <w:t>万元，完成年初预算的</w:t>
      </w:r>
      <w:r>
        <w:rPr>
          <w:rFonts w:hint="eastAsia" w:ascii="宋体" w:hAnsi="宋体" w:eastAsia="宋体" w:cs="Times New Roman"/>
          <w:bCs/>
          <w:color w:val="auto"/>
          <w:sz w:val="32"/>
          <w:szCs w:val="32"/>
          <w:lang w:val="en-US" w:eastAsia="zh-CN"/>
        </w:rPr>
        <w:t>288.75</w:t>
      </w:r>
      <w:r>
        <w:rPr>
          <w:rFonts w:hint="eastAsia" w:ascii="宋体" w:hAnsi="宋体" w:eastAsia="宋体" w:cs="Times New Roman"/>
          <w:bCs/>
          <w:color w:val="auto"/>
          <w:sz w:val="32"/>
          <w:szCs w:val="32"/>
        </w:rPr>
        <w:t>%，其中：</w:t>
      </w:r>
    </w:p>
    <w:p>
      <w:pPr>
        <w:pStyle w:val="9"/>
        <w:spacing w:line="600" w:lineRule="exact"/>
        <w:ind w:firstLine="800" w:firstLineChars="250"/>
        <w:rPr>
          <w:rFonts w:ascii="宋体" w:hAnsi="宋体" w:eastAsia="宋体" w:cs="Times New Roman"/>
          <w:bCs/>
          <w:color w:val="auto"/>
          <w:sz w:val="32"/>
          <w:szCs w:val="32"/>
        </w:rPr>
      </w:pPr>
      <w:r>
        <w:rPr>
          <w:rFonts w:hint="eastAsia" w:ascii="宋体" w:hAnsi="宋体" w:eastAsia="宋体" w:cs="Times New Roman"/>
          <w:bCs/>
          <w:color w:val="auto"/>
          <w:sz w:val="32"/>
          <w:szCs w:val="32"/>
        </w:rPr>
        <w:t>1、社会保障和就业支出208（类</w:t>
      </w:r>
      <w:r>
        <w:rPr>
          <w:rFonts w:hint="eastAsia" w:ascii="宋体" w:hAnsi="宋体" w:eastAsia="宋体" w:cs="Times New Roman"/>
          <w:bCs/>
          <w:color w:val="auto"/>
          <w:sz w:val="32"/>
          <w:szCs w:val="32"/>
          <w:lang w:eastAsia="zh-CN"/>
        </w:rPr>
        <w:t>）行政事业</w:t>
      </w:r>
      <w:r>
        <w:rPr>
          <w:rFonts w:hint="eastAsia" w:ascii="宋体" w:hAnsi="宋体" w:eastAsia="宋体" w:cs="Times New Roman"/>
          <w:bCs/>
          <w:color w:val="auto"/>
          <w:sz w:val="32"/>
          <w:szCs w:val="32"/>
        </w:rPr>
        <w:t>单位基本养老支出05（款）机关事业单位基本养老保险缴费支出05（项）。</w:t>
      </w:r>
    </w:p>
    <w:p>
      <w:pPr>
        <w:pStyle w:val="9"/>
        <w:spacing w:line="600" w:lineRule="exact"/>
        <w:ind w:firstLine="800" w:firstLineChars="250"/>
        <w:rPr>
          <w:rFonts w:ascii="宋体" w:hAnsi="宋体" w:eastAsia="宋体" w:cs="Times New Roman"/>
          <w:bCs/>
          <w:color w:val="auto"/>
          <w:sz w:val="32"/>
          <w:szCs w:val="32"/>
        </w:rPr>
      </w:pPr>
      <w:r>
        <w:rPr>
          <w:rFonts w:hint="eastAsia" w:ascii="宋体" w:hAnsi="宋体" w:eastAsia="宋体" w:cs="Times New Roman"/>
          <w:bCs/>
          <w:color w:val="auto"/>
          <w:sz w:val="32"/>
          <w:szCs w:val="32"/>
        </w:rPr>
        <w:t>年初预算为23.20万元，支出决算为24.30万元，决算数大于年初预算数的主要原因是：人员经费增加。</w:t>
      </w:r>
    </w:p>
    <w:p>
      <w:pPr>
        <w:pStyle w:val="9"/>
        <w:spacing w:line="600" w:lineRule="exact"/>
        <w:ind w:firstLine="800" w:firstLineChars="250"/>
        <w:rPr>
          <w:rFonts w:ascii="宋体" w:hAnsi="宋体" w:eastAsia="宋体" w:cs="Times New Roman"/>
          <w:bCs/>
          <w:color w:val="auto"/>
          <w:sz w:val="32"/>
          <w:szCs w:val="32"/>
        </w:rPr>
      </w:pPr>
      <w:r>
        <w:rPr>
          <w:rFonts w:hint="eastAsia" w:ascii="宋体" w:hAnsi="宋体" w:eastAsia="宋体" w:cs="Times New Roman"/>
          <w:bCs/>
          <w:color w:val="auto"/>
          <w:sz w:val="32"/>
          <w:szCs w:val="32"/>
        </w:rPr>
        <w:t>2、社会保障和就业支出208（类）抚恤08（款）伤残抚恤02（项）。</w:t>
      </w:r>
    </w:p>
    <w:p>
      <w:pPr>
        <w:pStyle w:val="9"/>
        <w:ind w:left="210" w:leftChars="100" w:firstLine="320" w:firstLineChars="100"/>
        <w:rPr>
          <w:rFonts w:hint="eastAsia" w:ascii="宋体" w:hAnsi="宋体" w:eastAsia="宋体" w:cs="Times New Roman"/>
          <w:bCs/>
          <w:color w:val="auto"/>
          <w:sz w:val="32"/>
          <w:szCs w:val="32"/>
        </w:rPr>
      </w:pPr>
      <w:r>
        <w:rPr>
          <w:rFonts w:hint="eastAsia" w:ascii="宋体" w:hAnsi="宋体" w:eastAsia="宋体" w:cs="Times New Roman"/>
          <w:bCs/>
          <w:color w:val="auto"/>
          <w:sz w:val="32"/>
          <w:szCs w:val="32"/>
        </w:rPr>
        <w:t xml:space="preserve">年初预算为0万元，支出决算为1312.00万元，决算数大于年初预算数的主要原因是：上级指标没有列入当年预算内，此项资金通过惠农一卡通发放。                </w:t>
      </w:r>
    </w:p>
    <w:p>
      <w:pPr>
        <w:pStyle w:val="9"/>
        <w:ind w:left="210" w:leftChars="100" w:firstLine="320" w:firstLineChars="100"/>
        <w:rPr>
          <w:rFonts w:ascii="宋体" w:hAnsi="宋体" w:eastAsia="宋体" w:cs="Times New Roman"/>
          <w:bCs/>
          <w:color w:val="auto"/>
          <w:sz w:val="32"/>
          <w:szCs w:val="32"/>
        </w:rPr>
      </w:pPr>
      <w:r>
        <w:rPr>
          <w:rFonts w:hint="eastAsia" w:ascii="宋体" w:hAnsi="宋体" w:eastAsia="宋体" w:cs="Times New Roman"/>
          <w:bCs/>
          <w:color w:val="auto"/>
          <w:sz w:val="32"/>
          <w:szCs w:val="32"/>
        </w:rPr>
        <w:t>3、社会保障和就业支出208（类）抚恤08（款）在乡复员、退伍军人生活补助03（项）</w:t>
      </w:r>
    </w:p>
    <w:p>
      <w:pPr>
        <w:pStyle w:val="9"/>
        <w:ind w:firstLine="640" w:firstLineChars="200"/>
        <w:rPr>
          <w:rFonts w:ascii="宋体" w:hAnsi="宋体" w:eastAsia="宋体" w:cs="Times New Roman"/>
          <w:bCs/>
          <w:color w:val="auto"/>
          <w:sz w:val="32"/>
          <w:szCs w:val="32"/>
        </w:rPr>
      </w:pPr>
      <w:r>
        <w:rPr>
          <w:rFonts w:hint="eastAsia" w:ascii="宋体" w:hAnsi="宋体" w:eastAsia="宋体" w:cs="Times New Roman"/>
          <w:bCs/>
          <w:color w:val="auto"/>
          <w:sz w:val="32"/>
          <w:szCs w:val="32"/>
        </w:rPr>
        <w:t>年初预算为0万元，支出决算为2589.18万元，决算数大于预算数的主要原因是：上级指标没有列入当年预算内，此项资金通过惠农一卡通发放。</w:t>
      </w:r>
    </w:p>
    <w:p>
      <w:pPr>
        <w:pStyle w:val="9"/>
        <w:ind w:firstLine="640" w:firstLineChars="200"/>
        <w:rPr>
          <w:rFonts w:ascii="宋体" w:hAnsi="宋体" w:eastAsia="宋体" w:cs="Times New Roman"/>
          <w:bCs/>
          <w:color w:val="auto"/>
          <w:sz w:val="32"/>
          <w:szCs w:val="32"/>
        </w:rPr>
      </w:pPr>
      <w:r>
        <w:rPr>
          <w:rFonts w:hint="eastAsia" w:ascii="宋体" w:hAnsi="宋体" w:eastAsia="宋体" w:cs="Times New Roman"/>
          <w:bCs/>
          <w:color w:val="auto"/>
          <w:sz w:val="32"/>
          <w:szCs w:val="32"/>
        </w:rPr>
        <w:t>4、社会保障和就业支出208（类）抚恤08（款）义务兵优待05（项）。</w:t>
      </w:r>
    </w:p>
    <w:p>
      <w:pPr>
        <w:pStyle w:val="9"/>
        <w:ind w:firstLine="640" w:firstLineChars="200"/>
        <w:rPr>
          <w:rFonts w:ascii="宋体" w:hAnsi="宋体" w:eastAsia="宋体" w:cs="Times New Roman"/>
          <w:bCs/>
          <w:color w:val="auto"/>
          <w:sz w:val="32"/>
          <w:szCs w:val="32"/>
        </w:rPr>
      </w:pPr>
      <w:r>
        <w:rPr>
          <w:rFonts w:hint="eastAsia" w:ascii="宋体" w:hAnsi="宋体" w:eastAsia="宋体" w:cs="Times New Roman"/>
          <w:bCs/>
          <w:color w:val="auto"/>
          <w:sz w:val="32"/>
          <w:szCs w:val="32"/>
        </w:rPr>
        <w:t>年初预算为</w:t>
      </w:r>
      <w:r>
        <w:rPr>
          <w:rFonts w:hint="eastAsia" w:ascii="宋体" w:hAnsi="宋体" w:eastAsia="宋体" w:cs="Times New Roman"/>
          <w:bCs/>
          <w:color w:val="000000" w:themeColor="text1"/>
          <w:sz w:val="32"/>
          <w:szCs w:val="32"/>
        </w:rPr>
        <w:t>40万</w:t>
      </w:r>
      <w:r>
        <w:rPr>
          <w:rFonts w:hint="eastAsia" w:ascii="宋体" w:hAnsi="宋体" w:eastAsia="宋体" w:cs="Times New Roman"/>
          <w:bCs/>
          <w:color w:val="auto"/>
          <w:sz w:val="32"/>
          <w:szCs w:val="32"/>
        </w:rPr>
        <w:t>元，支出决算为785.87万元，决算数大于年初预算数的主要原因是：上级指标没有列入当年预算内，此项资金通过惠农一卡通发放。</w:t>
      </w:r>
    </w:p>
    <w:p>
      <w:pPr>
        <w:pStyle w:val="9"/>
        <w:ind w:firstLine="640" w:firstLineChars="200"/>
        <w:rPr>
          <w:rFonts w:ascii="宋体" w:hAnsi="宋体" w:eastAsia="宋体" w:cs="Times New Roman"/>
          <w:bCs/>
          <w:color w:val="auto"/>
          <w:sz w:val="32"/>
          <w:szCs w:val="32"/>
        </w:rPr>
      </w:pPr>
      <w:r>
        <w:rPr>
          <w:rFonts w:hint="eastAsia" w:ascii="宋体" w:hAnsi="宋体" w:eastAsia="宋体" w:cs="Times New Roman"/>
          <w:bCs/>
          <w:color w:val="auto"/>
          <w:sz w:val="32"/>
          <w:szCs w:val="32"/>
        </w:rPr>
        <w:t>5、社会保障和就业支出208（类）抚恤08（款）农村籍退役士兵老年生活补助06（项）。</w:t>
      </w:r>
    </w:p>
    <w:p>
      <w:pPr>
        <w:pStyle w:val="9"/>
        <w:ind w:firstLine="640" w:firstLineChars="200"/>
        <w:rPr>
          <w:rFonts w:ascii="宋体" w:hAnsi="宋体" w:eastAsia="宋体" w:cs="Times New Roman"/>
          <w:bCs/>
          <w:color w:val="auto"/>
          <w:sz w:val="32"/>
          <w:szCs w:val="32"/>
        </w:rPr>
      </w:pPr>
      <w:r>
        <w:rPr>
          <w:rFonts w:hint="eastAsia" w:ascii="宋体" w:hAnsi="宋体" w:eastAsia="宋体" w:cs="Times New Roman"/>
          <w:bCs/>
          <w:color w:val="auto"/>
          <w:sz w:val="32"/>
          <w:szCs w:val="32"/>
        </w:rPr>
        <w:t>年初预算为0万元，支出决算为1705.71万元，决算数大于预算数的主要原因是：上级指标没有列入当年预算内，此项资金通过惠农一卡通发放。</w:t>
      </w:r>
    </w:p>
    <w:p>
      <w:pPr>
        <w:pStyle w:val="9"/>
        <w:ind w:firstLine="640" w:firstLineChars="200"/>
        <w:rPr>
          <w:rFonts w:ascii="宋体" w:hAnsi="宋体" w:eastAsia="宋体" w:cs="Times New Roman"/>
          <w:bCs/>
          <w:color w:val="auto"/>
          <w:sz w:val="32"/>
          <w:szCs w:val="32"/>
        </w:rPr>
      </w:pPr>
      <w:r>
        <w:rPr>
          <w:rFonts w:hint="eastAsia" w:ascii="宋体" w:hAnsi="宋体" w:eastAsia="宋体" w:cs="Times New Roman"/>
          <w:bCs/>
          <w:color w:val="auto"/>
          <w:sz w:val="32"/>
          <w:szCs w:val="32"/>
        </w:rPr>
        <w:t>6、社会保障和就业支出208（类）抚恤08（款）其他优抚支出99（项）。</w:t>
      </w:r>
    </w:p>
    <w:p>
      <w:pPr>
        <w:pStyle w:val="9"/>
        <w:ind w:firstLine="640" w:firstLineChars="200"/>
        <w:rPr>
          <w:rFonts w:ascii="宋体" w:hAnsi="宋体" w:eastAsia="宋体" w:cs="Times New Roman"/>
          <w:bCs/>
          <w:color w:val="auto"/>
          <w:sz w:val="32"/>
          <w:szCs w:val="32"/>
        </w:rPr>
      </w:pPr>
      <w:r>
        <w:rPr>
          <w:rFonts w:hint="eastAsia" w:ascii="宋体" w:hAnsi="宋体" w:eastAsia="宋体" w:cs="Times New Roman"/>
          <w:bCs/>
          <w:color w:val="auto"/>
          <w:sz w:val="32"/>
          <w:szCs w:val="32"/>
        </w:rPr>
        <w:t>年初预算为</w:t>
      </w:r>
      <w:r>
        <w:rPr>
          <w:rFonts w:hint="eastAsia" w:ascii="宋体" w:hAnsi="宋体" w:eastAsia="宋体" w:cs="Times New Roman"/>
          <w:bCs/>
          <w:color w:val="auto"/>
          <w:sz w:val="32"/>
          <w:szCs w:val="32"/>
          <w:lang w:val="en-US" w:eastAsia="zh-CN"/>
        </w:rPr>
        <w:t>200</w:t>
      </w:r>
      <w:r>
        <w:rPr>
          <w:rFonts w:hint="eastAsia" w:ascii="宋体" w:hAnsi="宋体" w:eastAsia="宋体" w:cs="Times New Roman"/>
          <w:bCs/>
          <w:color w:val="auto"/>
          <w:sz w:val="32"/>
          <w:szCs w:val="32"/>
        </w:rPr>
        <w:t>万元，支出决算为479.53万元，决算数大于预算数的主要原因是：上级指标没有列入当年预算内，此项资金通过惠农一卡通发放。7、社会保障和就业支出208（类）退役安置09（款）退役士兵安置01（项）。</w:t>
      </w:r>
    </w:p>
    <w:p>
      <w:pPr>
        <w:pStyle w:val="9"/>
        <w:ind w:firstLine="640" w:firstLineChars="200"/>
        <w:rPr>
          <w:rFonts w:ascii="宋体" w:hAnsi="宋体" w:eastAsia="宋体" w:cs="Times New Roman"/>
          <w:bCs/>
          <w:color w:val="auto"/>
          <w:sz w:val="32"/>
          <w:szCs w:val="32"/>
        </w:rPr>
      </w:pPr>
      <w:r>
        <w:rPr>
          <w:rFonts w:hint="eastAsia" w:ascii="宋体" w:hAnsi="宋体" w:eastAsia="宋体" w:cs="Times New Roman"/>
          <w:bCs/>
          <w:color w:val="auto"/>
          <w:sz w:val="32"/>
          <w:szCs w:val="32"/>
        </w:rPr>
        <w:t>年初预算为706.00万元，支出决算为451.13万元，决算数</w:t>
      </w:r>
      <w:r>
        <w:rPr>
          <w:rFonts w:hint="eastAsia" w:ascii="宋体" w:hAnsi="宋体" w:eastAsia="宋体" w:cs="Times New Roman"/>
          <w:bCs/>
          <w:color w:val="auto"/>
          <w:sz w:val="32"/>
          <w:szCs w:val="32"/>
          <w:lang w:eastAsia="zh-CN"/>
        </w:rPr>
        <w:t>小</w:t>
      </w:r>
      <w:r>
        <w:rPr>
          <w:rFonts w:hint="eastAsia" w:ascii="宋体" w:hAnsi="宋体" w:eastAsia="宋体" w:cs="Times New Roman"/>
          <w:bCs/>
          <w:color w:val="auto"/>
          <w:sz w:val="32"/>
          <w:szCs w:val="32"/>
        </w:rPr>
        <w:t>于预算数的主要原因</w:t>
      </w:r>
      <w:r>
        <w:rPr>
          <w:rFonts w:hint="eastAsia" w:ascii="宋体" w:hAnsi="宋体" w:eastAsia="宋体" w:cs="Times New Roman"/>
          <w:bCs/>
          <w:color w:val="auto"/>
          <w:sz w:val="32"/>
          <w:szCs w:val="32"/>
          <w:lang w:eastAsia="zh-CN"/>
        </w:rPr>
        <w:t>：</w:t>
      </w:r>
      <w:r>
        <w:rPr>
          <w:rFonts w:hint="eastAsia" w:ascii="宋体" w:hAnsi="宋体" w:eastAsia="宋体" w:cs="Times New Roman"/>
          <w:bCs/>
          <w:color w:val="auto"/>
          <w:sz w:val="32"/>
          <w:szCs w:val="32"/>
        </w:rPr>
        <w:t>是有退役军人未及时办理手续资金未及时发放。</w:t>
      </w:r>
    </w:p>
    <w:p>
      <w:pPr>
        <w:pStyle w:val="9"/>
        <w:ind w:firstLine="640" w:firstLineChars="200"/>
        <w:rPr>
          <w:rFonts w:ascii="宋体" w:hAnsi="宋体" w:eastAsia="宋体" w:cs="Times New Roman"/>
          <w:bCs/>
          <w:color w:val="auto"/>
          <w:sz w:val="32"/>
          <w:szCs w:val="32"/>
        </w:rPr>
      </w:pPr>
      <w:r>
        <w:rPr>
          <w:rFonts w:hint="eastAsia" w:ascii="宋体" w:hAnsi="宋体" w:eastAsia="宋体" w:cs="Times New Roman"/>
          <w:bCs/>
          <w:color w:val="auto"/>
          <w:sz w:val="32"/>
          <w:szCs w:val="32"/>
        </w:rPr>
        <w:t>8、社会保障和就业支出208（类）退役安置09（款）军队移交政府离退休干部管理机构03（项）。</w:t>
      </w:r>
    </w:p>
    <w:p>
      <w:pPr>
        <w:pStyle w:val="9"/>
        <w:ind w:firstLine="640" w:firstLineChars="200"/>
        <w:rPr>
          <w:rFonts w:ascii="宋体" w:hAnsi="宋体" w:eastAsia="宋体" w:cs="Times New Roman"/>
          <w:bCs/>
          <w:color w:val="auto"/>
          <w:sz w:val="32"/>
          <w:szCs w:val="32"/>
        </w:rPr>
      </w:pPr>
      <w:r>
        <w:rPr>
          <w:rFonts w:hint="eastAsia" w:ascii="宋体" w:hAnsi="宋体" w:eastAsia="宋体" w:cs="Times New Roman"/>
          <w:bCs/>
          <w:color w:val="auto"/>
          <w:sz w:val="32"/>
          <w:szCs w:val="32"/>
        </w:rPr>
        <w:t>年初预算为0万元，支出决算为3万元。决算数大于预算数的主要原因是：支出功能科目分类不详，年终进行调整。</w:t>
      </w:r>
    </w:p>
    <w:p>
      <w:pPr>
        <w:pStyle w:val="9"/>
        <w:ind w:firstLine="640" w:firstLineChars="200"/>
        <w:rPr>
          <w:rFonts w:ascii="宋体" w:hAnsi="宋体" w:eastAsia="宋体" w:cs="Times New Roman"/>
          <w:bCs/>
          <w:color w:val="auto"/>
          <w:sz w:val="32"/>
          <w:szCs w:val="32"/>
        </w:rPr>
      </w:pPr>
      <w:r>
        <w:rPr>
          <w:rFonts w:hint="eastAsia" w:ascii="宋体" w:hAnsi="宋体" w:eastAsia="宋体" w:cs="Times New Roman"/>
          <w:bCs/>
          <w:color w:val="auto"/>
          <w:sz w:val="32"/>
          <w:szCs w:val="32"/>
        </w:rPr>
        <w:t>9、社会保障和就业支出208（类）退役安置09（款）军队转业干部安置05（项）。</w:t>
      </w:r>
    </w:p>
    <w:p>
      <w:pPr>
        <w:pStyle w:val="9"/>
        <w:ind w:firstLine="640" w:firstLineChars="200"/>
        <w:rPr>
          <w:rFonts w:ascii="宋体" w:hAnsi="宋体" w:eastAsia="宋体" w:cs="Times New Roman"/>
          <w:bCs/>
          <w:color w:val="auto"/>
          <w:sz w:val="32"/>
          <w:szCs w:val="32"/>
        </w:rPr>
      </w:pPr>
      <w:r>
        <w:rPr>
          <w:rFonts w:hint="eastAsia" w:ascii="宋体" w:hAnsi="宋体" w:eastAsia="宋体" w:cs="Times New Roman"/>
          <w:bCs/>
          <w:color w:val="auto"/>
          <w:sz w:val="32"/>
          <w:szCs w:val="32"/>
        </w:rPr>
        <w:t>年初预算为0万元，支出决算为22.94万元。决算数大于预算数的主要原因是：上级指标没有列入当年预算内，此项资金通过惠农一卡通发放。</w:t>
      </w:r>
    </w:p>
    <w:p>
      <w:pPr>
        <w:pStyle w:val="9"/>
        <w:ind w:firstLine="640" w:firstLineChars="200"/>
        <w:rPr>
          <w:rFonts w:ascii="宋体" w:hAnsi="宋体" w:eastAsia="宋体" w:cs="Times New Roman"/>
          <w:bCs/>
          <w:color w:val="auto"/>
          <w:sz w:val="32"/>
          <w:szCs w:val="32"/>
        </w:rPr>
      </w:pPr>
      <w:r>
        <w:rPr>
          <w:rFonts w:hint="eastAsia" w:ascii="宋体" w:hAnsi="宋体" w:eastAsia="宋体" w:cs="Times New Roman"/>
          <w:bCs/>
          <w:color w:val="auto"/>
          <w:sz w:val="32"/>
          <w:szCs w:val="32"/>
        </w:rPr>
        <w:t>10、社会保障和就业支出208（类）退役安置09（款）其他退役安置支出99（项）。</w:t>
      </w:r>
    </w:p>
    <w:p>
      <w:pPr>
        <w:pStyle w:val="9"/>
        <w:ind w:firstLine="640" w:firstLineChars="200"/>
        <w:rPr>
          <w:rFonts w:ascii="宋体" w:hAnsi="宋体" w:eastAsia="宋体" w:cs="Times New Roman"/>
          <w:bCs/>
          <w:color w:val="auto"/>
          <w:sz w:val="32"/>
          <w:szCs w:val="32"/>
        </w:rPr>
      </w:pPr>
      <w:r>
        <w:rPr>
          <w:rFonts w:hint="eastAsia" w:ascii="宋体" w:hAnsi="宋体" w:eastAsia="宋体" w:cs="Times New Roman"/>
          <w:bCs/>
          <w:color w:val="auto"/>
          <w:sz w:val="32"/>
          <w:szCs w:val="32"/>
        </w:rPr>
        <w:t>年初预算为</w:t>
      </w:r>
      <w:r>
        <w:rPr>
          <w:rFonts w:hint="eastAsia" w:ascii="宋体" w:hAnsi="宋体" w:eastAsia="宋体" w:cs="Times New Roman"/>
          <w:bCs/>
          <w:color w:val="auto"/>
          <w:sz w:val="32"/>
          <w:szCs w:val="32"/>
          <w:lang w:val="en-US" w:eastAsia="zh-CN"/>
        </w:rPr>
        <w:t>0</w:t>
      </w:r>
      <w:r>
        <w:rPr>
          <w:rFonts w:hint="eastAsia" w:ascii="宋体" w:hAnsi="宋体" w:eastAsia="宋体" w:cs="Times New Roman"/>
          <w:bCs/>
          <w:color w:val="auto"/>
          <w:sz w:val="32"/>
          <w:szCs w:val="32"/>
        </w:rPr>
        <w:t>万元，支出决算为259.43万元，决算数大于预算数的主要原因是：上级指标没有列入当年预算内，此项资金通过惠农一卡通发放。</w:t>
      </w:r>
    </w:p>
    <w:p>
      <w:pPr>
        <w:pStyle w:val="9"/>
        <w:ind w:firstLine="640" w:firstLineChars="200"/>
        <w:rPr>
          <w:rFonts w:ascii="宋体" w:hAnsi="宋体" w:eastAsia="宋体" w:cs="Times New Roman"/>
          <w:bCs/>
          <w:color w:val="auto"/>
          <w:sz w:val="32"/>
          <w:szCs w:val="32"/>
        </w:rPr>
      </w:pPr>
      <w:r>
        <w:rPr>
          <w:rFonts w:hint="eastAsia" w:ascii="宋体" w:hAnsi="宋体" w:eastAsia="宋体" w:cs="Times New Roman"/>
          <w:bCs/>
          <w:color w:val="auto"/>
          <w:sz w:val="32"/>
          <w:szCs w:val="32"/>
        </w:rPr>
        <w:t>11、社会保障和就业支出208（类）其他生活救助25（款）其他城市生活救助01（项）。</w:t>
      </w:r>
    </w:p>
    <w:p>
      <w:pPr>
        <w:pStyle w:val="9"/>
        <w:ind w:firstLine="640" w:firstLineChars="200"/>
        <w:rPr>
          <w:rFonts w:ascii="宋体" w:hAnsi="宋体" w:eastAsia="宋体" w:cs="Times New Roman"/>
          <w:bCs/>
          <w:color w:val="auto"/>
          <w:sz w:val="32"/>
          <w:szCs w:val="32"/>
        </w:rPr>
      </w:pPr>
      <w:r>
        <w:rPr>
          <w:rFonts w:hint="eastAsia" w:ascii="宋体" w:hAnsi="宋体" w:eastAsia="宋体" w:cs="Times New Roman"/>
          <w:bCs/>
          <w:color w:val="auto"/>
          <w:sz w:val="32"/>
          <w:szCs w:val="32"/>
        </w:rPr>
        <w:t>年初预算为0万元，支出决算为7.47万元。决算数大于预算数的主要原因是：支出功能科目分类不详，年终进行调整。</w:t>
      </w:r>
    </w:p>
    <w:p>
      <w:pPr>
        <w:pStyle w:val="9"/>
        <w:ind w:firstLine="640" w:firstLineChars="200"/>
        <w:rPr>
          <w:rFonts w:ascii="宋体" w:hAnsi="宋体" w:eastAsia="宋体" w:cs="Times New Roman"/>
          <w:bCs/>
          <w:color w:val="auto"/>
          <w:sz w:val="32"/>
          <w:szCs w:val="32"/>
        </w:rPr>
      </w:pPr>
      <w:r>
        <w:rPr>
          <w:rFonts w:hint="eastAsia" w:ascii="宋体" w:hAnsi="宋体" w:eastAsia="宋体" w:cs="Times New Roman"/>
          <w:bCs/>
          <w:color w:val="auto"/>
          <w:sz w:val="32"/>
          <w:szCs w:val="32"/>
        </w:rPr>
        <w:t>12、社会保障和就业支出208（类）退役军人管理事务28（款）行政运行01（项）。</w:t>
      </w:r>
    </w:p>
    <w:p>
      <w:pPr>
        <w:pStyle w:val="9"/>
        <w:ind w:firstLine="640" w:firstLineChars="200"/>
        <w:rPr>
          <w:rFonts w:hint="eastAsia" w:ascii="宋体" w:hAnsi="宋体" w:eastAsia="宋体" w:cs="Times New Roman"/>
          <w:bCs/>
          <w:color w:val="auto"/>
          <w:sz w:val="32"/>
          <w:szCs w:val="32"/>
          <w:lang w:eastAsia="zh-CN"/>
        </w:rPr>
      </w:pPr>
      <w:r>
        <w:rPr>
          <w:rFonts w:hint="eastAsia" w:ascii="宋体" w:hAnsi="宋体" w:eastAsia="宋体" w:cs="Times New Roman"/>
          <w:bCs/>
          <w:color w:val="auto"/>
          <w:sz w:val="32"/>
          <w:szCs w:val="32"/>
        </w:rPr>
        <w:t>年初预算为</w:t>
      </w:r>
      <w:r>
        <w:rPr>
          <w:rFonts w:hint="eastAsia" w:ascii="宋体" w:hAnsi="宋体" w:eastAsia="宋体" w:cs="Times New Roman"/>
          <w:bCs/>
          <w:color w:val="auto"/>
          <w:sz w:val="32"/>
          <w:szCs w:val="32"/>
          <w:lang w:val="en-US" w:eastAsia="zh-CN"/>
        </w:rPr>
        <w:t>280</w:t>
      </w:r>
      <w:r>
        <w:rPr>
          <w:rFonts w:hint="eastAsia" w:ascii="宋体" w:hAnsi="宋体" w:eastAsia="宋体" w:cs="Times New Roman"/>
          <w:bCs/>
          <w:color w:val="auto"/>
          <w:sz w:val="32"/>
          <w:szCs w:val="32"/>
        </w:rPr>
        <w:t>万元，支出决算为</w:t>
      </w:r>
      <w:r>
        <w:rPr>
          <w:rFonts w:hint="eastAsia" w:ascii="宋体" w:hAnsi="宋体" w:eastAsia="宋体" w:cs="Times New Roman"/>
          <w:bCs/>
          <w:color w:val="auto"/>
          <w:sz w:val="32"/>
          <w:szCs w:val="32"/>
          <w:lang w:val="en-US" w:eastAsia="zh-CN"/>
        </w:rPr>
        <w:t>277.39</w:t>
      </w:r>
      <w:r>
        <w:rPr>
          <w:rFonts w:hint="eastAsia" w:ascii="宋体" w:hAnsi="宋体" w:eastAsia="宋体" w:cs="Times New Roman"/>
          <w:bCs/>
          <w:color w:val="auto"/>
          <w:sz w:val="32"/>
          <w:szCs w:val="32"/>
        </w:rPr>
        <w:t>万元。</w:t>
      </w:r>
      <w:r>
        <w:rPr>
          <w:rFonts w:hint="eastAsia" w:ascii="宋体" w:hAnsi="宋体" w:eastAsia="宋体" w:cs="Times New Roman"/>
          <w:bCs/>
          <w:color w:val="auto"/>
          <w:sz w:val="32"/>
          <w:szCs w:val="32"/>
          <w:lang w:eastAsia="zh-CN"/>
        </w:rPr>
        <w:t>决算数与年初预算数基本持平。</w:t>
      </w:r>
    </w:p>
    <w:p>
      <w:pPr>
        <w:pStyle w:val="9"/>
        <w:ind w:firstLine="640" w:firstLineChars="200"/>
        <w:rPr>
          <w:rFonts w:ascii="宋体" w:hAnsi="宋体" w:eastAsia="宋体" w:cs="Times New Roman"/>
          <w:bCs/>
          <w:color w:val="auto"/>
          <w:sz w:val="32"/>
          <w:szCs w:val="32"/>
        </w:rPr>
      </w:pPr>
      <w:r>
        <w:rPr>
          <w:rFonts w:hint="eastAsia" w:ascii="宋体" w:hAnsi="宋体" w:eastAsia="宋体" w:cs="Times New Roman"/>
          <w:bCs/>
          <w:color w:val="auto"/>
          <w:sz w:val="32"/>
          <w:szCs w:val="32"/>
        </w:rPr>
        <w:t>13、社会保障和就业支出208（类）退役军人管理事务28（款）其他退役军人事务管理支出99（项）。</w:t>
      </w:r>
    </w:p>
    <w:p>
      <w:pPr>
        <w:pStyle w:val="9"/>
        <w:ind w:firstLine="640" w:firstLineChars="200"/>
        <w:rPr>
          <w:rFonts w:hint="eastAsia" w:ascii="宋体" w:hAnsi="宋体" w:eastAsia="宋体" w:cs="Times New Roman"/>
          <w:bCs/>
          <w:color w:val="auto"/>
          <w:sz w:val="32"/>
          <w:szCs w:val="32"/>
          <w:lang w:eastAsia="zh-CN"/>
        </w:rPr>
      </w:pPr>
      <w:r>
        <w:rPr>
          <w:rFonts w:hint="eastAsia" w:ascii="宋体" w:hAnsi="宋体" w:eastAsia="宋体" w:cs="Times New Roman"/>
          <w:bCs/>
          <w:color w:val="auto"/>
          <w:sz w:val="32"/>
          <w:szCs w:val="32"/>
        </w:rPr>
        <w:t>年初预算为</w:t>
      </w:r>
      <w:r>
        <w:rPr>
          <w:rFonts w:hint="eastAsia" w:ascii="宋体" w:hAnsi="宋体" w:eastAsia="宋体" w:cs="Times New Roman"/>
          <w:bCs/>
          <w:color w:val="auto"/>
          <w:sz w:val="32"/>
          <w:szCs w:val="32"/>
          <w:lang w:val="en-US" w:eastAsia="zh-CN"/>
        </w:rPr>
        <w:t>350</w:t>
      </w:r>
      <w:r>
        <w:rPr>
          <w:rFonts w:hint="eastAsia" w:ascii="宋体" w:hAnsi="宋体" w:eastAsia="宋体" w:cs="Times New Roman"/>
          <w:bCs/>
          <w:color w:val="auto"/>
          <w:sz w:val="32"/>
          <w:szCs w:val="32"/>
        </w:rPr>
        <w:t>万元，支出决算为346.47万元。</w:t>
      </w:r>
      <w:r>
        <w:rPr>
          <w:rFonts w:hint="eastAsia" w:ascii="宋体" w:hAnsi="宋体" w:eastAsia="宋体" w:cs="Times New Roman"/>
          <w:bCs/>
          <w:color w:val="auto"/>
          <w:sz w:val="32"/>
          <w:szCs w:val="32"/>
          <w:lang w:eastAsia="zh-CN"/>
        </w:rPr>
        <w:t>决算数与年初预算数基本持平。</w:t>
      </w:r>
    </w:p>
    <w:p>
      <w:pPr>
        <w:pStyle w:val="9"/>
        <w:ind w:firstLine="640" w:firstLineChars="200"/>
        <w:rPr>
          <w:rFonts w:ascii="宋体" w:hAnsi="宋体" w:eastAsia="宋体" w:cs="Times New Roman"/>
          <w:bCs/>
          <w:color w:val="auto"/>
          <w:sz w:val="32"/>
          <w:szCs w:val="32"/>
        </w:rPr>
      </w:pPr>
      <w:r>
        <w:rPr>
          <w:rFonts w:hint="eastAsia" w:ascii="宋体" w:hAnsi="宋体" w:eastAsia="宋体" w:cs="Times New Roman"/>
          <w:bCs/>
          <w:color w:val="auto"/>
          <w:sz w:val="32"/>
          <w:szCs w:val="32"/>
        </w:rPr>
        <w:t>14、卫生健康支出210（类）行政事业单位医疗支出11（款）行政单位医疗支出01（项）。</w:t>
      </w:r>
    </w:p>
    <w:p>
      <w:pPr>
        <w:pStyle w:val="9"/>
        <w:ind w:firstLine="640" w:firstLineChars="200"/>
        <w:rPr>
          <w:rFonts w:ascii="宋体" w:hAnsi="宋体" w:eastAsia="宋体" w:cs="Times New Roman"/>
          <w:bCs/>
          <w:color w:val="auto"/>
          <w:sz w:val="32"/>
          <w:szCs w:val="32"/>
        </w:rPr>
      </w:pPr>
      <w:r>
        <w:rPr>
          <w:rFonts w:hint="eastAsia" w:ascii="宋体" w:hAnsi="宋体" w:eastAsia="宋体" w:cs="Times New Roman"/>
          <w:bCs/>
          <w:color w:val="auto"/>
          <w:sz w:val="32"/>
          <w:szCs w:val="32"/>
        </w:rPr>
        <w:t>年初预算为12.33万元，支出决算为12.45万元。决算数大于预算数的主要原因是：人员经费增加。</w:t>
      </w:r>
    </w:p>
    <w:p>
      <w:pPr>
        <w:pStyle w:val="9"/>
        <w:ind w:firstLine="640" w:firstLineChars="200"/>
        <w:rPr>
          <w:rFonts w:ascii="宋体" w:hAnsi="宋体" w:eastAsia="宋体" w:cs="Times New Roman"/>
          <w:bCs/>
          <w:color w:val="auto"/>
          <w:sz w:val="32"/>
          <w:szCs w:val="32"/>
        </w:rPr>
      </w:pPr>
      <w:r>
        <w:rPr>
          <w:rFonts w:hint="eastAsia" w:ascii="宋体" w:hAnsi="宋体" w:eastAsia="宋体" w:cs="Times New Roman"/>
          <w:bCs/>
          <w:color w:val="auto"/>
          <w:sz w:val="32"/>
          <w:szCs w:val="32"/>
        </w:rPr>
        <w:t>15、卫生健康支出210（类）优抚对象医疗支出14（款）优抚对象医疗补助01（项）。</w:t>
      </w:r>
    </w:p>
    <w:p>
      <w:pPr>
        <w:pStyle w:val="9"/>
        <w:ind w:firstLine="640" w:firstLineChars="200"/>
        <w:rPr>
          <w:rFonts w:ascii="宋体" w:hAnsi="宋体" w:eastAsia="宋体" w:cs="Times New Roman"/>
          <w:bCs/>
          <w:color w:val="auto"/>
          <w:sz w:val="32"/>
          <w:szCs w:val="32"/>
        </w:rPr>
      </w:pPr>
      <w:r>
        <w:rPr>
          <w:rFonts w:hint="eastAsia" w:ascii="宋体" w:hAnsi="宋体" w:eastAsia="宋体" w:cs="Times New Roman"/>
          <w:bCs/>
          <w:color w:val="auto"/>
          <w:sz w:val="32"/>
          <w:szCs w:val="32"/>
        </w:rPr>
        <w:t>年初预算为0万元，支出决算为174.52万元。决算数大于预算数的主要原因是：上级指标没有列入当年预算内。</w:t>
      </w:r>
    </w:p>
    <w:p>
      <w:pPr>
        <w:pStyle w:val="9"/>
        <w:ind w:firstLine="640" w:firstLineChars="200"/>
        <w:rPr>
          <w:rFonts w:ascii="宋体" w:hAnsi="宋体" w:eastAsia="宋体" w:cs="Times New Roman"/>
          <w:bCs/>
          <w:color w:val="auto"/>
          <w:sz w:val="32"/>
          <w:szCs w:val="32"/>
        </w:rPr>
      </w:pPr>
      <w:r>
        <w:rPr>
          <w:rFonts w:hint="eastAsia" w:ascii="宋体" w:hAnsi="宋体" w:eastAsia="宋体" w:cs="Times New Roman"/>
          <w:bCs/>
          <w:color w:val="auto"/>
          <w:sz w:val="32"/>
          <w:szCs w:val="32"/>
        </w:rPr>
        <w:t>16、住房保障支出221（类）政府改革支出02（款）住房公积金01（项）。</w:t>
      </w:r>
    </w:p>
    <w:p>
      <w:pPr>
        <w:pStyle w:val="9"/>
        <w:ind w:firstLine="640" w:firstLineChars="200"/>
        <w:rPr>
          <w:rFonts w:ascii="宋体" w:hAnsi="宋体" w:eastAsia="宋体" w:cs="Times New Roman"/>
          <w:bCs/>
          <w:color w:val="auto"/>
          <w:sz w:val="32"/>
          <w:szCs w:val="32"/>
        </w:rPr>
      </w:pPr>
      <w:r>
        <w:rPr>
          <w:rFonts w:hint="eastAsia" w:ascii="宋体" w:hAnsi="宋体" w:eastAsia="宋体" w:cs="Times New Roman"/>
          <w:bCs/>
          <w:color w:val="auto"/>
          <w:sz w:val="32"/>
          <w:szCs w:val="32"/>
        </w:rPr>
        <w:t>年初预算为10.15万元，支出决算为11.75万元。决算数大于预算数的主要原因是：人员经费增加。</w:t>
      </w:r>
    </w:p>
    <w:p>
      <w:pPr>
        <w:pStyle w:val="9"/>
        <w:ind w:firstLine="640" w:firstLineChars="200"/>
        <w:rPr>
          <w:rFonts w:ascii="宋体" w:hAnsi="宋体" w:eastAsia="宋体" w:cs="Times New Roman"/>
          <w:bCs/>
          <w:color w:val="auto"/>
          <w:sz w:val="32"/>
          <w:szCs w:val="32"/>
        </w:rPr>
      </w:pPr>
      <w:r>
        <w:rPr>
          <w:rFonts w:hint="eastAsia" w:ascii="宋体" w:hAnsi="宋体" w:eastAsia="宋体" w:cs="Times New Roman"/>
          <w:bCs/>
          <w:color w:val="auto"/>
          <w:sz w:val="32"/>
          <w:szCs w:val="32"/>
        </w:rPr>
        <w:t>17、其他支出229（类）其他支出支出99（款）其他支出99（项）。</w:t>
      </w:r>
    </w:p>
    <w:p>
      <w:pPr>
        <w:pStyle w:val="9"/>
        <w:ind w:firstLine="640" w:firstLineChars="200"/>
        <w:rPr>
          <w:rFonts w:ascii="宋体" w:hAnsi="宋体" w:eastAsia="宋体" w:cs="Times New Roman"/>
          <w:bCs/>
          <w:color w:val="auto"/>
          <w:sz w:val="32"/>
          <w:szCs w:val="32"/>
        </w:rPr>
      </w:pPr>
      <w:r>
        <w:rPr>
          <w:rFonts w:hint="eastAsia" w:ascii="宋体" w:hAnsi="宋体" w:eastAsia="宋体" w:cs="Times New Roman"/>
          <w:bCs/>
          <w:color w:val="auto"/>
          <w:sz w:val="32"/>
          <w:szCs w:val="32"/>
        </w:rPr>
        <w:t>年初预算为0万元，支出决算为64.10万元。决算数大于预算数的主要原因是：上级指标没有列入当年预算内。</w:t>
      </w:r>
    </w:p>
    <w:p>
      <w:pPr>
        <w:pStyle w:val="9"/>
        <w:spacing w:line="600" w:lineRule="exact"/>
        <w:ind w:firstLine="640" w:firstLineChars="200"/>
        <w:rPr>
          <w:rFonts w:ascii="宋体" w:hAnsi="宋体" w:eastAsia="宋体" w:cs="Times New Roman"/>
          <w:b/>
          <w:bCs w:val="0"/>
          <w:color w:val="auto"/>
          <w:sz w:val="32"/>
          <w:szCs w:val="32"/>
        </w:rPr>
      </w:pPr>
      <w:r>
        <w:rPr>
          <w:rFonts w:hint="eastAsia" w:ascii="宋体" w:hAnsi="宋体" w:eastAsia="宋体" w:cs="Times New Roman"/>
          <w:b/>
          <w:bCs w:val="0"/>
          <w:color w:val="auto"/>
          <w:sz w:val="32"/>
          <w:szCs w:val="32"/>
        </w:rPr>
        <w:t>六、一般公共预算财政拨款基本支出决算情况说明</w:t>
      </w:r>
    </w:p>
    <w:p>
      <w:pPr>
        <w:pStyle w:val="9"/>
        <w:spacing w:line="600" w:lineRule="exact"/>
        <w:ind w:firstLine="640" w:firstLineChars="200"/>
        <w:rPr>
          <w:rFonts w:ascii="宋体" w:hAnsi="宋体" w:eastAsia="宋体" w:cs="Times New Roman"/>
          <w:bCs/>
          <w:color w:val="auto"/>
          <w:sz w:val="32"/>
          <w:szCs w:val="32"/>
        </w:rPr>
      </w:pPr>
      <w:r>
        <w:rPr>
          <w:rFonts w:hint="eastAsia" w:ascii="宋体" w:hAnsi="宋体" w:eastAsia="宋体" w:cs="Times New Roman"/>
          <w:bCs/>
          <w:color w:val="auto"/>
          <w:sz w:val="32"/>
          <w:szCs w:val="32"/>
        </w:rPr>
        <w:t>2022年度财政拨款基本支出498.53万元，其中：</w:t>
      </w:r>
    </w:p>
    <w:p>
      <w:pPr>
        <w:pStyle w:val="9"/>
        <w:spacing w:line="600" w:lineRule="exact"/>
        <w:ind w:firstLine="640" w:firstLineChars="200"/>
        <w:rPr>
          <w:rFonts w:ascii="宋体" w:hAnsi="宋体" w:eastAsia="宋体" w:cs="Times New Roman"/>
          <w:bCs/>
          <w:color w:val="auto"/>
          <w:sz w:val="32"/>
          <w:szCs w:val="32"/>
        </w:rPr>
      </w:pPr>
      <w:r>
        <w:rPr>
          <w:rFonts w:hint="eastAsia" w:ascii="宋体" w:hAnsi="宋体" w:eastAsia="宋体" w:cs="Times New Roman"/>
          <w:bCs/>
          <w:color w:val="auto"/>
          <w:sz w:val="32"/>
          <w:szCs w:val="32"/>
        </w:rPr>
        <w:t>人员经费310.88万元，占基本支出的62.36%,主要包括基本工资114.03万元、津贴补贴55.67万元、奖金28.33万元、伙食补助费7.58万元、绩效工资31.28万元、机关事业单位基本养老保险缴费25.13万元，职工基本医疗保险缴费10.23万元，其他社会保障缴费1.42万元，住房公积金37.22万元。</w:t>
      </w:r>
    </w:p>
    <w:p>
      <w:pPr>
        <w:pStyle w:val="9"/>
        <w:ind w:firstLine="640" w:firstLineChars="200"/>
        <w:rPr>
          <w:rFonts w:ascii="宋体" w:hAnsi="宋体" w:eastAsia="宋体" w:cs="Times New Roman"/>
          <w:bCs/>
          <w:color w:val="auto"/>
          <w:sz w:val="32"/>
          <w:szCs w:val="32"/>
        </w:rPr>
      </w:pPr>
      <w:r>
        <w:rPr>
          <w:rFonts w:hint="eastAsia" w:ascii="宋体" w:hAnsi="宋体" w:eastAsia="宋体" w:cs="Times New Roman"/>
          <w:bCs/>
          <w:color w:val="auto"/>
          <w:sz w:val="32"/>
          <w:szCs w:val="32"/>
        </w:rPr>
        <w:t>公用经费187.65万元，占基本支出的37.64%，主要包括办公费11.98万元、印刷费24.83万元、电费2.34万元、邮电费0.09万元、差旅费30.28万元、维修费12.08万元、租赁费0.48万元、会议费1.17万元、培训费0.61万元、公务接待费1.18万元、劳务费6.09万元、工会经费17.63万元、福利费5.04万元、其他交通费20.34万元、其他商品和服务支出22.98万元、办公设备购置30.53万元。</w:t>
      </w:r>
    </w:p>
    <w:p>
      <w:pPr>
        <w:pStyle w:val="9"/>
        <w:spacing w:line="600" w:lineRule="exact"/>
        <w:ind w:firstLine="640" w:firstLineChars="200"/>
        <w:rPr>
          <w:rFonts w:ascii="宋体" w:hAnsi="宋体" w:eastAsia="宋体" w:cs="Times New Roman"/>
          <w:b/>
          <w:bCs w:val="0"/>
          <w:color w:val="auto"/>
          <w:sz w:val="32"/>
          <w:szCs w:val="32"/>
        </w:rPr>
      </w:pPr>
      <w:r>
        <w:rPr>
          <w:rFonts w:hint="eastAsia" w:ascii="宋体" w:hAnsi="宋体" w:eastAsia="宋体" w:cs="Times New Roman"/>
          <w:b/>
          <w:bCs w:val="0"/>
          <w:color w:val="auto"/>
          <w:sz w:val="32"/>
          <w:szCs w:val="32"/>
        </w:rPr>
        <w:t>七、财政拨款三公经费支出决算情况说明</w:t>
      </w:r>
    </w:p>
    <w:p>
      <w:pPr>
        <w:pStyle w:val="9"/>
        <w:spacing w:line="600" w:lineRule="exact"/>
        <w:ind w:firstLine="640" w:firstLineChars="200"/>
        <w:rPr>
          <w:rFonts w:ascii="宋体" w:hAnsi="宋体" w:eastAsia="宋体" w:cs="Times New Roman"/>
          <w:b/>
          <w:bCs w:val="0"/>
          <w:color w:val="auto"/>
          <w:sz w:val="32"/>
          <w:szCs w:val="32"/>
        </w:rPr>
      </w:pPr>
      <w:r>
        <w:rPr>
          <w:rFonts w:hint="eastAsia" w:ascii="宋体" w:hAnsi="宋体" w:eastAsia="宋体" w:cs="Times New Roman"/>
          <w:b/>
          <w:bCs w:val="0"/>
          <w:color w:val="auto"/>
          <w:sz w:val="32"/>
          <w:szCs w:val="32"/>
        </w:rPr>
        <w:t>（一）“三公”经费财政拨款支出决算总体情况说明</w:t>
      </w:r>
    </w:p>
    <w:p>
      <w:pPr>
        <w:pStyle w:val="9"/>
        <w:spacing w:line="600" w:lineRule="exact"/>
        <w:ind w:firstLine="800" w:firstLineChars="250"/>
        <w:rPr>
          <w:rFonts w:ascii="宋体" w:hAnsi="宋体" w:eastAsia="宋体" w:cs="Times New Roman"/>
          <w:bCs/>
          <w:color w:val="auto"/>
          <w:sz w:val="32"/>
          <w:szCs w:val="32"/>
        </w:rPr>
      </w:pPr>
      <w:r>
        <w:rPr>
          <w:rFonts w:hint="eastAsia" w:ascii="宋体" w:hAnsi="宋体" w:eastAsia="宋体" w:cs="Times New Roman"/>
          <w:bCs/>
          <w:color w:val="auto"/>
          <w:sz w:val="32"/>
          <w:szCs w:val="32"/>
        </w:rPr>
        <w:t>“三公”经费财政拨款支出预算为1.80万元，支出决算为1.18万元，完成预算的65.56%，其中：</w:t>
      </w:r>
    </w:p>
    <w:p>
      <w:pPr>
        <w:pStyle w:val="9"/>
        <w:spacing w:line="600" w:lineRule="exact"/>
        <w:ind w:firstLine="800" w:firstLineChars="250"/>
        <w:rPr>
          <w:rFonts w:ascii="宋体" w:hAnsi="宋体" w:eastAsia="宋体" w:cs="Times New Roman"/>
          <w:bCs/>
          <w:color w:val="auto"/>
          <w:sz w:val="32"/>
          <w:szCs w:val="32"/>
        </w:rPr>
      </w:pPr>
      <w:r>
        <w:rPr>
          <w:rFonts w:hint="eastAsia" w:ascii="宋体" w:hAnsi="宋体" w:eastAsia="宋体" w:cs="Times New Roman"/>
          <w:bCs/>
          <w:color w:val="auto"/>
          <w:sz w:val="32"/>
          <w:szCs w:val="32"/>
        </w:rPr>
        <w:t>因公出国（境）费支出预算为0万元，支出决算为0万元，完成预算的0%，</w:t>
      </w:r>
      <w:r>
        <w:rPr>
          <w:rFonts w:hint="eastAsia" w:ascii="宋体" w:hAnsi="宋体" w:eastAsia="宋体" w:cs="Times New Roman"/>
          <w:bCs/>
          <w:color w:val="auto"/>
          <w:sz w:val="32"/>
          <w:szCs w:val="32"/>
          <w:lang w:eastAsia="zh-CN"/>
        </w:rPr>
        <w:t>决算数等于预算数，</w:t>
      </w:r>
      <w:r>
        <w:rPr>
          <w:rFonts w:hint="eastAsia" w:ascii="宋体" w:hAnsi="宋体" w:eastAsia="宋体" w:cs="Times New Roman"/>
          <w:bCs/>
          <w:color w:val="auto"/>
          <w:sz w:val="32"/>
          <w:szCs w:val="32"/>
        </w:rPr>
        <w:t>与上年一致。</w:t>
      </w:r>
    </w:p>
    <w:p>
      <w:pPr>
        <w:pStyle w:val="9"/>
        <w:ind w:firstLine="800" w:firstLineChars="250"/>
        <w:rPr>
          <w:rFonts w:ascii="宋体" w:hAnsi="宋体" w:eastAsia="宋体" w:cs="Times New Roman"/>
          <w:bCs/>
          <w:color w:val="auto"/>
          <w:sz w:val="32"/>
          <w:szCs w:val="32"/>
        </w:rPr>
      </w:pPr>
      <w:r>
        <w:rPr>
          <w:rFonts w:hint="eastAsia" w:ascii="宋体" w:hAnsi="宋体" w:eastAsia="宋体" w:cs="Times New Roman"/>
          <w:bCs/>
          <w:color w:val="auto"/>
          <w:sz w:val="32"/>
          <w:szCs w:val="32"/>
        </w:rPr>
        <w:t>公务接待费支出预算为1.80万元，支出决算为1.18万元，完成预算的65.56%，决算数小于预算数的主要原因是厉行节约，有效控制公务接待开支，与上年相比增加0.35万元，增加的主要原因是</w:t>
      </w:r>
      <w:r>
        <w:rPr>
          <w:rFonts w:hint="eastAsia" w:ascii="宋体" w:hAnsi="宋体" w:eastAsia="宋体" w:cs="Times New Roman"/>
          <w:bCs/>
          <w:color w:val="auto"/>
          <w:sz w:val="32"/>
          <w:szCs w:val="32"/>
          <w:lang w:val="en-US" w:eastAsia="zh-CN"/>
        </w:rPr>
        <w:t>:</w:t>
      </w:r>
      <w:r>
        <w:rPr>
          <w:rFonts w:hint="eastAsia" w:ascii="宋体" w:hAnsi="宋体" w:eastAsia="宋体" w:cs="Times New Roman"/>
          <w:bCs/>
          <w:color w:val="auto"/>
          <w:sz w:val="32"/>
          <w:szCs w:val="32"/>
        </w:rPr>
        <w:t>公务接待次数增加。</w:t>
      </w:r>
    </w:p>
    <w:p>
      <w:pPr>
        <w:pStyle w:val="9"/>
        <w:spacing w:line="600" w:lineRule="exact"/>
        <w:ind w:firstLine="640" w:firstLineChars="200"/>
        <w:rPr>
          <w:rFonts w:ascii="宋体" w:hAnsi="宋体" w:eastAsia="宋体" w:cs="Times New Roman"/>
          <w:bCs/>
          <w:color w:val="auto"/>
          <w:sz w:val="32"/>
          <w:szCs w:val="32"/>
        </w:rPr>
      </w:pPr>
      <w:r>
        <w:rPr>
          <w:rFonts w:hint="eastAsia" w:ascii="宋体" w:hAnsi="宋体" w:eastAsia="宋体" w:cs="Times New Roman"/>
          <w:bCs/>
          <w:color w:val="auto"/>
          <w:sz w:val="32"/>
          <w:szCs w:val="32"/>
        </w:rPr>
        <w:t>公务用车购置费支出预算为0万元，支出决算为0万元，完成预算的0%，</w:t>
      </w:r>
      <w:r>
        <w:rPr>
          <w:rFonts w:hint="eastAsia" w:ascii="宋体" w:hAnsi="宋体" w:eastAsia="宋体" w:cs="Times New Roman"/>
          <w:bCs/>
          <w:color w:val="auto"/>
          <w:sz w:val="32"/>
          <w:szCs w:val="32"/>
          <w:lang w:eastAsia="zh-CN"/>
        </w:rPr>
        <w:t>决算数等于预算数，</w:t>
      </w:r>
      <w:r>
        <w:rPr>
          <w:rFonts w:hint="eastAsia" w:ascii="宋体" w:hAnsi="宋体" w:eastAsia="宋体" w:cs="Times New Roman"/>
          <w:bCs/>
          <w:color w:val="auto"/>
          <w:sz w:val="32"/>
          <w:szCs w:val="32"/>
        </w:rPr>
        <w:t>与上年一致。</w:t>
      </w:r>
    </w:p>
    <w:p>
      <w:pPr>
        <w:pStyle w:val="9"/>
        <w:spacing w:line="600" w:lineRule="exact"/>
        <w:ind w:firstLine="640" w:firstLineChars="200"/>
        <w:rPr>
          <w:rFonts w:ascii="宋体" w:hAnsi="宋体" w:eastAsia="宋体" w:cs="Times New Roman"/>
          <w:bCs/>
          <w:color w:val="auto"/>
          <w:sz w:val="32"/>
          <w:szCs w:val="32"/>
        </w:rPr>
      </w:pPr>
      <w:r>
        <w:rPr>
          <w:rFonts w:hint="eastAsia" w:ascii="宋体" w:hAnsi="宋体" w:eastAsia="宋体" w:cs="Times New Roman"/>
          <w:bCs/>
          <w:color w:val="auto"/>
          <w:sz w:val="32"/>
          <w:szCs w:val="32"/>
        </w:rPr>
        <w:t>公务用车运行维护费支出预算为0万元，支出决算为0万元，完成预算的0%，</w:t>
      </w:r>
      <w:r>
        <w:rPr>
          <w:rFonts w:hint="eastAsia" w:ascii="宋体" w:hAnsi="宋体" w:eastAsia="宋体" w:cs="Times New Roman"/>
          <w:bCs/>
          <w:color w:val="auto"/>
          <w:sz w:val="32"/>
          <w:szCs w:val="32"/>
          <w:lang w:eastAsia="zh-CN"/>
        </w:rPr>
        <w:t>决算数等于预算数，</w:t>
      </w:r>
      <w:r>
        <w:rPr>
          <w:rFonts w:hint="eastAsia" w:ascii="宋体" w:hAnsi="宋体" w:eastAsia="宋体" w:cs="Times New Roman"/>
          <w:bCs/>
          <w:color w:val="auto"/>
          <w:sz w:val="32"/>
          <w:szCs w:val="32"/>
        </w:rPr>
        <w:t>与上年一致。</w:t>
      </w:r>
    </w:p>
    <w:p>
      <w:pPr>
        <w:pStyle w:val="9"/>
        <w:spacing w:line="600" w:lineRule="exact"/>
        <w:ind w:firstLine="640" w:firstLineChars="200"/>
        <w:rPr>
          <w:rFonts w:ascii="宋体" w:hAnsi="宋体" w:eastAsia="宋体" w:cs="Times New Roman"/>
          <w:b/>
          <w:bCs w:val="0"/>
          <w:color w:val="auto"/>
          <w:sz w:val="32"/>
          <w:szCs w:val="32"/>
        </w:rPr>
      </w:pPr>
      <w:r>
        <w:rPr>
          <w:rFonts w:hint="eastAsia" w:ascii="宋体" w:hAnsi="宋体" w:eastAsia="宋体" w:cs="Times New Roman"/>
          <w:b/>
          <w:bCs w:val="0"/>
          <w:color w:val="auto"/>
          <w:sz w:val="32"/>
          <w:szCs w:val="32"/>
        </w:rPr>
        <w:t>（二）“三公”经费财政拨款支出决算具体情况说明</w:t>
      </w:r>
    </w:p>
    <w:p>
      <w:pPr>
        <w:pStyle w:val="9"/>
        <w:spacing w:line="600" w:lineRule="exact"/>
        <w:ind w:firstLine="640" w:firstLineChars="200"/>
        <w:rPr>
          <w:rFonts w:ascii="宋体" w:hAnsi="宋体" w:eastAsia="宋体" w:cs="Times New Roman"/>
          <w:bCs/>
          <w:color w:val="auto"/>
          <w:sz w:val="32"/>
          <w:szCs w:val="32"/>
        </w:rPr>
      </w:pPr>
      <w:r>
        <w:rPr>
          <w:rFonts w:hint="eastAsia" w:ascii="宋体" w:hAnsi="宋体" w:eastAsia="宋体" w:cs="Times New Roman"/>
          <w:bCs/>
          <w:color w:val="auto"/>
          <w:sz w:val="32"/>
          <w:szCs w:val="32"/>
        </w:rPr>
        <w:t>2022年度“三公”经费财政拨款支出决算中，公务接待费支出决算1.18万元，占65.56%,因公出国（境）费支出决算0万元，占0%,公务用车购置费及运行维护费支出决算0万元，占0%。其中：</w:t>
      </w:r>
    </w:p>
    <w:p>
      <w:pPr>
        <w:pStyle w:val="9"/>
        <w:spacing w:line="600" w:lineRule="exact"/>
        <w:ind w:firstLine="640" w:firstLineChars="200"/>
        <w:rPr>
          <w:rFonts w:ascii="宋体" w:hAnsi="宋体" w:eastAsia="宋体" w:cs="Times New Roman"/>
          <w:bCs/>
          <w:color w:val="auto"/>
          <w:sz w:val="32"/>
          <w:szCs w:val="32"/>
        </w:rPr>
      </w:pPr>
      <w:r>
        <w:rPr>
          <w:rFonts w:hint="eastAsia" w:ascii="宋体" w:hAnsi="宋体" w:eastAsia="宋体" w:cs="Times New Roman"/>
          <w:bCs/>
          <w:color w:val="auto"/>
          <w:sz w:val="32"/>
          <w:szCs w:val="32"/>
        </w:rPr>
        <w:t>1、因公出国（境）费支出决算为0万元，全年安排因公出国（境）团组0个，累计0人次。</w:t>
      </w:r>
    </w:p>
    <w:p>
      <w:pPr>
        <w:pStyle w:val="9"/>
        <w:spacing w:line="600" w:lineRule="exact"/>
        <w:ind w:firstLine="800" w:firstLineChars="250"/>
        <w:rPr>
          <w:rFonts w:ascii="宋体" w:hAnsi="宋体" w:eastAsia="宋体" w:cs="Times New Roman"/>
          <w:bCs/>
          <w:color w:val="auto"/>
          <w:sz w:val="32"/>
          <w:szCs w:val="32"/>
        </w:rPr>
      </w:pPr>
      <w:r>
        <w:rPr>
          <w:rFonts w:hint="eastAsia" w:ascii="宋体" w:hAnsi="宋体" w:eastAsia="宋体" w:cs="Times New Roman"/>
          <w:bCs/>
          <w:color w:val="auto"/>
          <w:sz w:val="32"/>
          <w:szCs w:val="32"/>
        </w:rPr>
        <w:t>2、公务接待费支出决算为1.18万元，全年共接待来访团组9个、来宾82人次，主要是调研市退役军人工作，开展退役军人领域潜在风险隐患排查督查、交流信访维权接待等支出。</w:t>
      </w:r>
    </w:p>
    <w:p>
      <w:pPr>
        <w:spacing w:line="600" w:lineRule="exact"/>
        <w:ind w:firstLine="800" w:firstLineChars="250"/>
        <w:rPr>
          <w:rFonts w:ascii="宋体" w:hAnsi="宋体" w:eastAsia="宋体" w:cs="Times New Roman"/>
          <w:bCs/>
          <w:kern w:val="0"/>
          <w:sz w:val="32"/>
          <w:szCs w:val="32"/>
        </w:rPr>
      </w:pPr>
      <w:r>
        <w:rPr>
          <w:rFonts w:hint="eastAsia" w:ascii="宋体" w:hAnsi="宋体" w:eastAsia="宋体" w:cs="Times New Roman"/>
          <w:bCs/>
          <w:kern w:val="0"/>
          <w:sz w:val="32"/>
          <w:szCs w:val="32"/>
        </w:rPr>
        <w:t>3、公务用车购置费及运行维护费支出决算为0万元，其中：公务用车购置费0万元，溆浦县退役军人事务局更新公务用0辆。公务用车运行维护费0万元，截止2022年12月31日，我单位开支财政拨款的公务用车保有量为0辆。</w:t>
      </w:r>
    </w:p>
    <w:p>
      <w:pPr>
        <w:pStyle w:val="9"/>
        <w:spacing w:line="600" w:lineRule="exact"/>
        <w:ind w:firstLine="640" w:firstLineChars="200"/>
        <w:rPr>
          <w:rFonts w:ascii="宋体" w:hAnsi="宋体" w:eastAsia="宋体" w:cs="Times New Roman"/>
          <w:b/>
          <w:bCs w:val="0"/>
          <w:color w:val="auto"/>
          <w:sz w:val="32"/>
          <w:szCs w:val="32"/>
        </w:rPr>
      </w:pPr>
      <w:r>
        <w:rPr>
          <w:rFonts w:hint="eastAsia" w:ascii="宋体" w:hAnsi="宋体" w:eastAsia="宋体" w:cs="Times New Roman"/>
          <w:b/>
          <w:bCs w:val="0"/>
          <w:color w:val="auto"/>
          <w:sz w:val="32"/>
          <w:szCs w:val="32"/>
        </w:rPr>
        <w:t>八、政府性基金预算收入支出决算情况</w:t>
      </w:r>
    </w:p>
    <w:p>
      <w:pPr>
        <w:pStyle w:val="9"/>
        <w:spacing w:line="600" w:lineRule="exact"/>
        <w:rPr>
          <w:rFonts w:ascii="宋体" w:hAnsi="宋体" w:eastAsia="宋体" w:cs="Times New Roman"/>
          <w:bCs/>
          <w:color w:val="auto"/>
          <w:sz w:val="32"/>
          <w:szCs w:val="32"/>
        </w:rPr>
      </w:pPr>
      <w:r>
        <w:rPr>
          <w:rFonts w:hint="eastAsia" w:ascii="宋体" w:hAnsi="宋体" w:eastAsia="宋体" w:cs="Times New Roman"/>
          <w:bCs/>
          <w:color w:val="auto"/>
          <w:sz w:val="32"/>
          <w:szCs w:val="32"/>
        </w:rPr>
        <w:t xml:space="preserve">     2022年度政府性基金预算财政拨款收入0万元；年初结转和结余0万元；支出0万元，其中基本支出0万元，项目支出0万元；年末结转和结余0万元。本单位无政府性基金收支。</w:t>
      </w:r>
    </w:p>
    <w:p>
      <w:pPr>
        <w:pStyle w:val="9"/>
        <w:spacing w:line="600" w:lineRule="exact"/>
        <w:ind w:firstLine="640" w:firstLineChars="200"/>
        <w:rPr>
          <w:rFonts w:ascii="宋体" w:hAnsi="宋体" w:eastAsia="宋体" w:cs="Times New Roman"/>
          <w:b/>
          <w:bCs w:val="0"/>
          <w:color w:val="auto"/>
          <w:sz w:val="32"/>
          <w:szCs w:val="32"/>
        </w:rPr>
      </w:pPr>
      <w:r>
        <w:rPr>
          <w:rFonts w:hint="eastAsia" w:ascii="宋体" w:hAnsi="宋体" w:eastAsia="宋体" w:cs="Times New Roman"/>
          <w:b/>
          <w:bCs w:val="0"/>
          <w:color w:val="auto"/>
          <w:sz w:val="32"/>
          <w:szCs w:val="32"/>
        </w:rPr>
        <w:t>九、关于机关运行经费支出说明</w:t>
      </w:r>
    </w:p>
    <w:p>
      <w:pPr>
        <w:pStyle w:val="9"/>
        <w:ind w:firstLine="640" w:firstLineChars="200"/>
        <w:rPr>
          <w:rFonts w:ascii="宋体" w:hAnsi="宋体" w:eastAsia="宋体" w:cs="Times New Roman"/>
          <w:bCs/>
          <w:color w:val="auto"/>
          <w:sz w:val="32"/>
          <w:szCs w:val="32"/>
        </w:rPr>
      </w:pPr>
      <w:r>
        <w:rPr>
          <w:rFonts w:hint="eastAsia" w:ascii="宋体" w:hAnsi="宋体" w:eastAsia="宋体" w:cs="Times New Roman"/>
          <w:bCs/>
          <w:color w:val="auto"/>
          <w:sz w:val="32"/>
          <w:szCs w:val="32"/>
        </w:rPr>
        <w:t>本部门2022年度机关运行经费支出187.65万元，比上年决算数减少24.58 万元，降低13.1%。主要原因是：印刷费增加4.51万元，咨询费增加3.00万元，差旅费增加4.98万元，培训费减少48.39万元，其他交通费用增加3.51万元，其他商品和服务支出减少36.84万元，租赁费支出减少2.12万元，</w:t>
      </w:r>
      <w:r>
        <w:rPr>
          <w:rFonts w:hint="eastAsia" w:ascii="宋体" w:hAnsi="宋体" w:eastAsia="宋体" w:cs="Times New Roman"/>
          <w:bCs/>
          <w:color w:val="auto"/>
          <w:sz w:val="32"/>
          <w:szCs w:val="32"/>
          <w:lang w:eastAsia="zh-CN"/>
        </w:rPr>
        <w:t>办公</w:t>
      </w:r>
      <w:r>
        <w:rPr>
          <w:rFonts w:hint="eastAsia" w:ascii="宋体" w:hAnsi="宋体" w:eastAsia="宋体" w:cs="Times New Roman"/>
          <w:bCs/>
          <w:color w:val="auto"/>
          <w:sz w:val="32"/>
          <w:szCs w:val="32"/>
        </w:rPr>
        <w:t>设备购置增加28.76万元。</w:t>
      </w:r>
    </w:p>
    <w:p>
      <w:pPr>
        <w:pStyle w:val="9"/>
        <w:spacing w:line="600" w:lineRule="exact"/>
        <w:ind w:firstLine="640" w:firstLineChars="200"/>
        <w:rPr>
          <w:rFonts w:ascii="宋体" w:hAnsi="宋体" w:eastAsia="宋体" w:cs="Times New Roman"/>
          <w:b/>
          <w:bCs w:val="0"/>
          <w:color w:val="auto"/>
          <w:sz w:val="32"/>
          <w:szCs w:val="32"/>
        </w:rPr>
      </w:pPr>
      <w:r>
        <w:rPr>
          <w:rFonts w:hint="eastAsia" w:ascii="宋体" w:hAnsi="宋体" w:eastAsia="宋体" w:cs="Times New Roman"/>
          <w:b/>
          <w:bCs w:val="0"/>
          <w:color w:val="auto"/>
          <w:sz w:val="32"/>
          <w:szCs w:val="32"/>
        </w:rPr>
        <w:t>十、一般性支出情况说明</w:t>
      </w:r>
    </w:p>
    <w:p>
      <w:pPr>
        <w:pStyle w:val="9"/>
        <w:spacing w:line="600" w:lineRule="exact"/>
        <w:ind w:firstLine="640" w:firstLineChars="200"/>
        <w:rPr>
          <w:rFonts w:hint="eastAsia" w:ascii="宋体" w:hAnsi="宋体" w:eastAsia="宋体" w:cs="Times New Roman"/>
          <w:bCs/>
          <w:color w:val="auto"/>
          <w:sz w:val="32"/>
          <w:szCs w:val="32"/>
        </w:rPr>
      </w:pPr>
      <w:r>
        <w:rPr>
          <w:rFonts w:hint="eastAsia" w:ascii="宋体" w:hAnsi="宋体" w:eastAsia="宋体" w:cs="Times New Roman"/>
          <w:bCs/>
          <w:color w:val="auto"/>
          <w:sz w:val="32"/>
          <w:szCs w:val="32"/>
        </w:rPr>
        <w:t>2022年本部门开支会议费1.17元，用于召开2022年退役安置人员选岗会议，人数220人，内容为2020年度退役安置人员选岗，提升基层服务站长业务能力和水平会议；</w:t>
      </w:r>
    </w:p>
    <w:p>
      <w:pPr>
        <w:pStyle w:val="9"/>
        <w:spacing w:line="600" w:lineRule="exact"/>
        <w:ind w:firstLine="640" w:firstLineChars="200"/>
        <w:rPr>
          <w:rFonts w:hint="eastAsia" w:ascii="宋体" w:hAnsi="宋体" w:eastAsia="宋体" w:cs="Times New Roman"/>
          <w:bCs/>
          <w:color w:val="auto"/>
          <w:sz w:val="32"/>
          <w:szCs w:val="32"/>
        </w:rPr>
      </w:pPr>
      <w:r>
        <w:rPr>
          <w:rFonts w:hint="eastAsia" w:ascii="宋体" w:hAnsi="宋体" w:eastAsia="宋体" w:cs="Times New Roman"/>
          <w:bCs/>
          <w:color w:val="auto"/>
          <w:sz w:val="32"/>
          <w:szCs w:val="32"/>
        </w:rPr>
        <w:t>开支培训费0.61万元，用于开展机关事业单位人员培训，人数20人，内容为2022年机关事业单位人员培训；</w:t>
      </w:r>
    </w:p>
    <w:p>
      <w:pPr>
        <w:pStyle w:val="9"/>
        <w:spacing w:line="600" w:lineRule="exact"/>
        <w:ind w:firstLine="640" w:firstLineChars="200"/>
        <w:rPr>
          <w:rFonts w:ascii="宋体" w:hAnsi="宋体" w:eastAsia="宋体" w:cs="Times New Roman"/>
          <w:bCs/>
          <w:color w:val="auto"/>
          <w:sz w:val="32"/>
          <w:szCs w:val="32"/>
        </w:rPr>
      </w:pPr>
      <w:r>
        <w:rPr>
          <w:rFonts w:hint="eastAsia" w:ascii="宋体" w:hAnsi="宋体" w:eastAsia="宋体" w:cs="Times New Roman"/>
          <w:bCs/>
          <w:color w:val="auto"/>
          <w:sz w:val="32"/>
          <w:szCs w:val="32"/>
        </w:rPr>
        <w:t>举办0节庆、晚会、论坛、赛事活动，开支0万元。</w:t>
      </w:r>
    </w:p>
    <w:p>
      <w:pPr>
        <w:pStyle w:val="9"/>
        <w:spacing w:line="600" w:lineRule="exact"/>
        <w:ind w:firstLine="640" w:firstLineChars="200"/>
        <w:rPr>
          <w:rFonts w:ascii="宋体" w:hAnsi="宋体" w:eastAsia="宋体" w:cs="Times New Roman"/>
          <w:b/>
          <w:bCs w:val="0"/>
          <w:color w:val="auto"/>
          <w:sz w:val="32"/>
          <w:szCs w:val="32"/>
        </w:rPr>
      </w:pPr>
      <w:r>
        <w:rPr>
          <w:rFonts w:hint="eastAsia" w:ascii="宋体" w:hAnsi="宋体" w:eastAsia="宋体" w:cs="Times New Roman"/>
          <w:b/>
          <w:bCs w:val="0"/>
          <w:color w:val="auto"/>
          <w:sz w:val="32"/>
          <w:szCs w:val="32"/>
        </w:rPr>
        <w:t>十一、关于政府采购支出说明</w:t>
      </w:r>
    </w:p>
    <w:p>
      <w:pPr>
        <w:pStyle w:val="9"/>
        <w:spacing w:line="600" w:lineRule="exact"/>
        <w:ind w:firstLine="640" w:firstLineChars="200"/>
        <w:rPr>
          <w:rFonts w:ascii="宋体" w:hAnsi="宋体" w:eastAsia="宋体" w:cs="Times New Roman"/>
          <w:bCs/>
          <w:color w:val="auto"/>
          <w:sz w:val="32"/>
          <w:szCs w:val="32"/>
        </w:rPr>
      </w:pPr>
      <w:r>
        <w:rPr>
          <w:rFonts w:hint="eastAsia" w:ascii="宋体" w:hAnsi="宋体" w:eastAsia="宋体" w:cs="Times New Roman"/>
          <w:bCs/>
          <w:color w:val="auto"/>
          <w:sz w:val="32"/>
          <w:szCs w:val="32"/>
        </w:rPr>
        <w:t xml:space="preserve">本部门2022年度政府采购支出总额0万元，其中：政府采购货物支出0万元、政府采购工程支出0万元、政府采购服务支出0万元。授予中小企业合同金额0万元，占政府采购支出总额的0%，其中：授予小微企业合同金额0万元，占政府采购支出总额的0%。货物采购授予中小企业合同金额占货物支出金额的0%，工程采购授予中小企业合同金额占工程支出金额的0%，服务采购授予中小企业合同金额占服务支出金额的0%。              </w:t>
      </w:r>
    </w:p>
    <w:p>
      <w:pPr>
        <w:pStyle w:val="9"/>
        <w:spacing w:line="600" w:lineRule="exact"/>
        <w:ind w:firstLine="640" w:firstLineChars="200"/>
        <w:rPr>
          <w:rFonts w:ascii="宋体" w:hAnsi="宋体" w:eastAsia="宋体" w:cs="Times New Roman"/>
          <w:b/>
          <w:bCs w:val="0"/>
          <w:color w:val="auto"/>
          <w:sz w:val="32"/>
          <w:szCs w:val="32"/>
        </w:rPr>
      </w:pPr>
      <w:r>
        <w:rPr>
          <w:rFonts w:hint="eastAsia" w:ascii="宋体" w:hAnsi="宋体" w:eastAsia="宋体" w:cs="Times New Roman"/>
          <w:b/>
          <w:bCs w:val="0"/>
          <w:color w:val="auto"/>
          <w:sz w:val="32"/>
          <w:szCs w:val="32"/>
        </w:rPr>
        <w:t>十二、关于国有资产占用情况说明</w:t>
      </w:r>
    </w:p>
    <w:p>
      <w:pPr>
        <w:pStyle w:val="9"/>
        <w:spacing w:line="600" w:lineRule="exact"/>
        <w:ind w:firstLine="640" w:firstLineChars="200"/>
        <w:rPr>
          <w:rFonts w:ascii="宋体" w:hAnsi="宋体" w:eastAsia="宋体" w:cs="Times New Roman"/>
          <w:bCs/>
          <w:color w:val="auto"/>
          <w:sz w:val="32"/>
          <w:szCs w:val="32"/>
        </w:rPr>
      </w:pPr>
      <w:r>
        <w:rPr>
          <w:rFonts w:hint="eastAsia" w:ascii="宋体" w:hAnsi="宋体" w:eastAsia="宋体" w:cs="Times New Roman"/>
          <w:bCs/>
          <w:color w:val="auto"/>
          <w:sz w:val="32"/>
          <w:szCs w:val="32"/>
        </w:rPr>
        <w:t>截至2022年12月31日，本单位共有车辆0辆，其中，主要领导干部用车0辆，机要通信用车0辆、应急保障用车0辆、执法执勤用车0辆、特种专业技术用车0辆、其他用车0辆，单位价值50万元以上通用设备0台（套）；单位价值100万元以上专用设备0台（套）。</w:t>
      </w:r>
    </w:p>
    <w:p>
      <w:pPr>
        <w:pStyle w:val="9"/>
        <w:spacing w:line="600" w:lineRule="exact"/>
        <w:ind w:firstLine="640" w:firstLineChars="200"/>
        <w:rPr>
          <w:rFonts w:ascii="宋体" w:hAnsi="宋体" w:eastAsia="宋体" w:cs="Times New Roman"/>
          <w:b/>
          <w:bCs w:val="0"/>
          <w:color w:val="auto"/>
          <w:sz w:val="32"/>
          <w:szCs w:val="32"/>
        </w:rPr>
      </w:pPr>
      <w:r>
        <w:rPr>
          <w:rFonts w:hint="eastAsia" w:ascii="宋体" w:hAnsi="宋体" w:eastAsia="宋体" w:cs="Times New Roman"/>
          <w:b/>
          <w:bCs w:val="0"/>
          <w:color w:val="auto"/>
          <w:sz w:val="32"/>
          <w:szCs w:val="32"/>
        </w:rPr>
        <w:t>十三、关于2022年度预算绩效情况的说明</w:t>
      </w:r>
    </w:p>
    <w:p>
      <w:pPr>
        <w:pStyle w:val="9"/>
        <w:spacing w:line="600" w:lineRule="exact"/>
        <w:ind w:firstLine="640" w:firstLineChars="200"/>
        <w:rPr>
          <w:rFonts w:ascii="宋体" w:hAnsi="宋体" w:eastAsia="宋体" w:cs="Times New Roman"/>
          <w:b/>
          <w:bCs w:val="0"/>
          <w:color w:val="auto"/>
          <w:sz w:val="32"/>
          <w:szCs w:val="32"/>
        </w:rPr>
      </w:pPr>
      <w:r>
        <w:rPr>
          <w:rFonts w:hint="eastAsia" w:ascii="宋体" w:hAnsi="宋体" w:eastAsia="宋体" w:cs="Times New Roman"/>
          <w:b/>
          <w:bCs w:val="0"/>
          <w:color w:val="auto"/>
          <w:sz w:val="32"/>
          <w:szCs w:val="32"/>
        </w:rPr>
        <w:t>（一）部门整体支出绩效情况</w:t>
      </w:r>
    </w:p>
    <w:p>
      <w:pPr>
        <w:autoSpaceDE w:val="0"/>
        <w:autoSpaceDN w:val="0"/>
        <w:adjustRightInd w:val="0"/>
        <w:ind w:firstLine="640" w:firstLineChars="200"/>
        <w:jc w:val="left"/>
        <w:rPr>
          <w:rFonts w:ascii="宋体" w:hAnsi="宋体" w:eastAsia="宋体" w:cs="Times New Roman"/>
          <w:bCs/>
          <w:kern w:val="0"/>
          <w:sz w:val="32"/>
          <w:szCs w:val="32"/>
        </w:rPr>
      </w:pPr>
      <w:r>
        <w:rPr>
          <w:rFonts w:hint="eastAsia" w:ascii="宋体" w:hAnsi="宋体" w:eastAsia="宋体" w:cs="Times New Roman"/>
          <w:bCs/>
          <w:kern w:val="0"/>
          <w:sz w:val="32"/>
          <w:szCs w:val="32"/>
        </w:rPr>
        <w:t>根据预算绩效管理要求，我部门组织对</w:t>
      </w:r>
      <w:r>
        <w:rPr>
          <w:rFonts w:ascii="宋体" w:hAnsi="宋体" w:eastAsia="宋体" w:cs="Times New Roman"/>
          <w:bCs/>
          <w:kern w:val="0"/>
          <w:sz w:val="32"/>
          <w:szCs w:val="32"/>
        </w:rPr>
        <w:t>2</w:t>
      </w:r>
      <w:r>
        <w:rPr>
          <w:rFonts w:hint="eastAsia" w:ascii="宋体" w:hAnsi="宋体" w:eastAsia="宋体" w:cs="Times New Roman"/>
          <w:bCs/>
          <w:kern w:val="0"/>
          <w:sz w:val="32"/>
          <w:szCs w:val="32"/>
        </w:rPr>
        <w:t>022年度一般公共预算项目支出全面开展绩效自评，预算项目14个，共涉及资金8028.69万元，占一般公共预算项目支出总额的100%。组织对2022年度政府性基金预算项目支出开展绩效自评，共涉及资金0万元，占政府性基金预算项目支出总额的0%。组织对2022年度国有资本经营预算项目支出开展绩效自评，共涉及资金0万元，占国有资本经营预算项目支出总额的0%。</w:t>
      </w:r>
    </w:p>
    <w:p>
      <w:pPr>
        <w:autoSpaceDE w:val="0"/>
        <w:autoSpaceDN w:val="0"/>
        <w:adjustRightInd w:val="0"/>
        <w:ind w:firstLine="640" w:firstLineChars="200"/>
        <w:jc w:val="left"/>
        <w:rPr>
          <w:rFonts w:ascii="宋体" w:hAnsi="宋体" w:eastAsia="宋体" w:cs="Times New Roman"/>
          <w:bCs/>
          <w:kern w:val="0"/>
          <w:sz w:val="32"/>
          <w:szCs w:val="32"/>
        </w:rPr>
      </w:pPr>
      <w:r>
        <w:rPr>
          <w:rFonts w:hint="eastAsia" w:ascii="宋体" w:hAnsi="宋体" w:eastAsia="宋体" w:cs="Times New Roman"/>
          <w:bCs/>
          <w:kern w:val="0"/>
          <w:sz w:val="32"/>
          <w:szCs w:val="32"/>
        </w:rPr>
        <w:t>组织对14个项目开展了部门评价，涉及一般公共预算支出8028.69万元，政府性基金预算支出0万元，国有资本经营预算支出0万元。从评价情况来看，项目立项比较规范，绩效目标明确，预算编制合理，总体完成情况良好。</w:t>
      </w:r>
    </w:p>
    <w:p>
      <w:pPr>
        <w:autoSpaceDE w:val="0"/>
        <w:autoSpaceDN w:val="0"/>
        <w:adjustRightInd w:val="0"/>
        <w:ind w:firstLine="640" w:firstLineChars="200"/>
        <w:jc w:val="left"/>
        <w:rPr>
          <w:rFonts w:ascii="宋体" w:hAnsi="宋体" w:eastAsia="宋体" w:cs="Times New Roman"/>
          <w:bCs/>
          <w:kern w:val="0"/>
          <w:sz w:val="32"/>
          <w:szCs w:val="32"/>
        </w:rPr>
      </w:pPr>
      <w:r>
        <w:rPr>
          <w:rFonts w:hint="eastAsia" w:ascii="宋体" w:hAnsi="宋体" w:eastAsia="宋体" w:cs="Times New Roman"/>
          <w:bCs/>
          <w:kern w:val="0"/>
          <w:sz w:val="32"/>
          <w:szCs w:val="32"/>
        </w:rPr>
        <w:t>组织对本单位开展整体支出绩效评价，涉及一般公共预算支出8028.69万元，政府性基金预算支出0万元。从评价情况来看，所有项目支出符合国家政策，项目管理有效，社会效益明显，满意度较高。项目实施有相应的资金保障，项目能够可持续的影响。</w:t>
      </w:r>
    </w:p>
    <w:p>
      <w:pPr>
        <w:pStyle w:val="9"/>
        <w:spacing w:line="600" w:lineRule="exact"/>
        <w:ind w:firstLine="640" w:firstLineChars="200"/>
        <w:rPr>
          <w:rFonts w:ascii="宋体" w:hAnsi="宋体" w:eastAsia="宋体" w:cs="Times New Roman"/>
          <w:b/>
          <w:bCs w:val="0"/>
          <w:color w:val="auto"/>
          <w:sz w:val="32"/>
          <w:szCs w:val="32"/>
        </w:rPr>
      </w:pPr>
      <w:r>
        <w:rPr>
          <w:rFonts w:hint="eastAsia" w:ascii="宋体" w:hAnsi="宋体" w:eastAsia="宋体" w:cs="Times New Roman"/>
          <w:b/>
          <w:bCs w:val="0"/>
          <w:color w:val="auto"/>
          <w:sz w:val="32"/>
          <w:szCs w:val="32"/>
        </w:rPr>
        <w:t>（二）存在的问题及原因分析</w:t>
      </w:r>
    </w:p>
    <w:p>
      <w:pPr>
        <w:autoSpaceDE w:val="0"/>
        <w:autoSpaceDN w:val="0"/>
        <w:adjustRightInd w:val="0"/>
        <w:ind w:firstLine="640" w:firstLineChars="200"/>
        <w:jc w:val="left"/>
        <w:rPr>
          <w:rFonts w:ascii="宋体" w:hAnsi="宋体" w:eastAsia="宋体" w:cs="Times New Roman"/>
          <w:bCs/>
          <w:kern w:val="0"/>
          <w:sz w:val="32"/>
          <w:szCs w:val="32"/>
        </w:rPr>
      </w:pPr>
      <w:r>
        <w:rPr>
          <w:rFonts w:hint="eastAsia" w:ascii="宋体" w:hAnsi="宋体" w:eastAsia="宋体" w:cs="Times New Roman"/>
          <w:bCs/>
          <w:kern w:val="0"/>
          <w:sz w:val="32"/>
          <w:szCs w:val="32"/>
        </w:rPr>
        <w:t>进一步推进县退役军人事务局工作的制度化、规范化和程序化建设，充分发挥部门职能作用。</w:t>
      </w:r>
    </w:p>
    <w:p>
      <w:pPr>
        <w:pStyle w:val="9"/>
        <w:jc w:val="center"/>
        <w:rPr>
          <w:rFonts w:ascii="宋体" w:hAnsi="宋体" w:eastAsia="宋体" w:cs="Times New Roman"/>
          <w:bCs/>
          <w:color w:val="auto"/>
          <w:sz w:val="32"/>
          <w:szCs w:val="32"/>
        </w:rPr>
      </w:pPr>
    </w:p>
    <w:p>
      <w:pPr>
        <w:pStyle w:val="9"/>
        <w:jc w:val="center"/>
        <w:rPr>
          <w:rFonts w:ascii="宋体" w:hAnsi="宋体" w:eastAsia="宋体" w:cs="Times New Roman"/>
          <w:bCs/>
          <w:color w:val="auto"/>
          <w:sz w:val="32"/>
          <w:szCs w:val="32"/>
        </w:rPr>
      </w:pPr>
    </w:p>
    <w:p>
      <w:pPr>
        <w:pStyle w:val="9"/>
        <w:jc w:val="center"/>
        <w:rPr>
          <w:rFonts w:ascii="宋体" w:hAnsi="宋体" w:eastAsia="宋体" w:cs="Times New Roman"/>
          <w:bCs/>
          <w:color w:val="auto"/>
          <w:sz w:val="32"/>
          <w:szCs w:val="32"/>
        </w:rPr>
      </w:pPr>
    </w:p>
    <w:p>
      <w:pPr>
        <w:pStyle w:val="9"/>
        <w:jc w:val="center"/>
        <w:rPr>
          <w:rFonts w:ascii="宋体" w:hAnsi="宋体" w:eastAsia="宋体" w:cs="Times New Roman"/>
          <w:bCs/>
          <w:color w:val="auto"/>
          <w:sz w:val="32"/>
          <w:szCs w:val="32"/>
        </w:rPr>
      </w:pPr>
    </w:p>
    <w:p>
      <w:pPr>
        <w:pStyle w:val="9"/>
        <w:ind w:firstLine="3600" w:firstLineChars="500"/>
        <w:rPr>
          <w:rFonts w:ascii="宋体" w:hAnsi="宋体" w:eastAsia="宋体" w:cs="Times New Roman"/>
          <w:bCs/>
          <w:color w:val="auto"/>
          <w:sz w:val="72"/>
          <w:szCs w:val="32"/>
        </w:rPr>
      </w:pPr>
    </w:p>
    <w:p>
      <w:pPr>
        <w:pStyle w:val="9"/>
        <w:ind w:firstLine="3600" w:firstLineChars="500"/>
        <w:rPr>
          <w:rFonts w:ascii="宋体" w:hAnsi="宋体" w:eastAsia="宋体" w:cs="Times New Roman"/>
          <w:bCs/>
          <w:color w:val="auto"/>
          <w:sz w:val="72"/>
          <w:szCs w:val="32"/>
        </w:rPr>
      </w:pPr>
    </w:p>
    <w:p>
      <w:pPr>
        <w:pStyle w:val="9"/>
        <w:ind w:firstLine="3600" w:firstLineChars="500"/>
        <w:rPr>
          <w:rFonts w:ascii="宋体" w:hAnsi="宋体" w:eastAsia="宋体" w:cs="Times New Roman"/>
          <w:b/>
          <w:bCs w:val="0"/>
          <w:color w:val="auto"/>
          <w:sz w:val="72"/>
          <w:szCs w:val="32"/>
        </w:rPr>
      </w:pPr>
    </w:p>
    <w:p>
      <w:pPr>
        <w:pStyle w:val="9"/>
        <w:ind w:firstLine="3600" w:firstLineChars="500"/>
        <w:rPr>
          <w:rFonts w:ascii="宋体" w:hAnsi="宋体" w:eastAsia="宋体" w:cs="Times New Roman"/>
          <w:b/>
          <w:bCs w:val="0"/>
          <w:color w:val="auto"/>
          <w:sz w:val="72"/>
          <w:szCs w:val="32"/>
        </w:rPr>
      </w:pPr>
      <w:r>
        <w:rPr>
          <w:rFonts w:hint="eastAsia" w:ascii="宋体" w:hAnsi="宋体" w:eastAsia="宋体" w:cs="Times New Roman"/>
          <w:b/>
          <w:bCs w:val="0"/>
          <w:color w:val="auto"/>
          <w:sz w:val="72"/>
          <w:szCs w:val="32"/>
        </w:rPr>
        <w:t>第四部分</w:t>
      </w:r>
    </w:p>
    <w:p>
      <w:pPr>
        <w:jc w:val="center"/>
        <w:rPr>
          <w:rFonts w:ascii="宋体" w:hAnsi="宋体" w:eastAsia="宋体" w:cs="Times New Roman"/>
          <w:b/>
          <w:bCs w:val="0"/>
          <w:kern w:val="0"/>
          <w:sz w:val="72"/>
          <w:szCs w:val="32"/>
        </w:rPr>
      </w:pPr>
    </w:p>
    <w:p>
      <w:pPr>
        <w:jc w:val="center"/>
        <w:rPr>
          <w:rFonts w:ascii="宋体" w:hAnsi="宋体" w:eastAsia="宋体" w:cs="Times New Roman"/>
          <w:b/>
          <w:bCs w:val="0"/>
          <w:kern w:val="0"/>
          <w:sz w:val="72"/>
          <w:szCs w:val="32"/>
        </w:rPr>
      </w:pPr>
      <w:r>
        <w:rPr>
          <w:rFonts w:hint="eastAsia" w:ascii="宋体" w:hAnsi="宋体" w:eastAsia="宋体" w:cs="Times New Roman"/>
          <w:b/>
          <w:bCs w:val="0"/>
          <w:kern w:val="0"/>
          <w:sz w:val="72"/>
          <w:szCs w:val="32"/>
        </w:rPr>
        <w:t>名词解释</w:t>
      </w:r>
    </w:p>
    <w:p>
      <w:pPr>
        <w:widowControl/>
        <w:jc w:val="left"/>
        <w:rPr>
          <w:rFonts w:ascii="宋体" w:hAnsi="宋体" w:eastAsia="宋体" w:cs="Times New Roman"/>
          <w:bCs/>
          <w:kern w:val="0"/>
          <w:sz w:val="72"/>
          <w:szCs w:val="32"/>
        </w:rPr>
      </w:pPr>
      <w:r>
        <w:rPr>
          <w:rFonts w:hint="eastAsia" w:ascii="宋体" w:hAnsi="宋体" w:eastAsia="宋体" w:cs="Times New Roman"/>
          <w:bCs/>
          <w:kern w:val="0"/>
          <w:sz w:val="72"/>
          <w:szCs w:val="32"/>
        </w:rPr>
        <w:br w:type="page"/>
      </w:r>
    </w:p>
    <w:p>
      <w:pPr>
        <w:widowControl/>
        <w:ind w:firstLine="640" w:firstLineChars="200"/>
        <w:jc w:val="left"/>
        <w:rPr>
          <w:rFonts w:ascii="宋体" w:hAnsi="宋体" w:eastAsia="宋体" w:cs="Times New Roman"/>
          <w:bCs/>
          <w:kern w:val="0"/>
          <w:sz w:val="32"/>
          <w:szCs w:val="32"/>
        </w:rPr>
      </w:pPr>
      <w:r>
        <w:rPr>
          <w:rFonts w:hint="eastAsia" w:ascii="宋体" w:hAnsi="宋体" w:eastAsia="宋体" w:cs="Times New Roman"/>
          <w:bCs/>
          <w:kern w:val="0"/>
          <w:sz w:val="32"/>
          <w:szCs w:val="32"/>
        </w:rPr>
        <w:t>1、财政拨款收入：指县财政当年拨付的资金。</w:t>
      </w:r>
    </w:p>
    <w:p>
      <w:pPr>
        <w:widowControl/>
        <w:ind w:firstLine="640" w:firstLineChars="200"/>
        <w:jc w:val="left"/>
        <w:rPr>
          <w:rFonts w:ascii="宋体" w:hAnsi="宋体" w:eastAsia="宋体" w:cs="Times New Roman"/>
          <w:bCs/>
          <w:kern w:val="0"/>
          <w:sz w:val="32"/>
          <w:szCs w:val="32"/>
        </w:rPr>
      </w:pPr>
      <w:r>
        <w:rPr>
          <w:rFonts w:hint="eastAsia" w:ascii="宋体" w:hAnsi="宋体" w:eastAsia="宋体" w:cs="Times New Roman"/>
          <w:bCs/>
          <w:kern w:val="0"/>
          <w:sz w:val="32"/>
          <w:szCs w:val="32"/>
        </w:rPr>
        <w:t>2、基本支出：指部门为保障其机构正常运转、完成日常工作任务的年度基本支出，包括人员经费和公用经费两部分。</w:t>
      </w:r>
    </w:p>
    <w:p>
      <w:pPr>
        <w:widowControl/>
        <w:ind w:firstLine="640" w:firstLineChars="200"/>
        <w:jc w:val="left"/>
        <w:rPr>
          <w:rFonts w:ascii="宋体" w:hAnsi="宋体" w:eastAsia="宋体" w:cs="Times New Roman"/>
          <w:bCs/>
          <w:kern w:val="0"/>
          <w:sz w:val="32"/>
          <w:szCs w:val="32"/>
        </w:rPr>
      </w:pPr>
      <w:r>
        <w:rPr>
          <w:rFonts w:hint="eastAsia" w:ascii="宋体" w:hAnsi="宋体" w:eastAsia="宋体" w:cs="Times New Roman"/>
          <w:bCs/>
          <w:kern w:val="0"/>
          <w:sz w:val="32"/>
          <w:szCs w:val="32"/>
        </w:rPr>
        <w:t>3、“三公”经费:包括因公出国（境）费、公务接待费和公务用车购置及运行费。因公出国（境）费，指单位工作人员公务出国（境）的住宿费、旅费、伙食补助费、杂费、培训费等支出。公务接待费，指单位按规定开支的各类公务接待（含外宾接待）支出。公务用车购置及运行费，指单位公务用车购置费及租用费、燃料费、维修费、过路过桥费、保险费、安全奖励费用等支出，公务用车指用于履行公务的机动车辆。</w:t>
      </w:r>
    </w:p>
    <w:p>
      <w:pPr>
        <w:widowControl/>
        <w:ind w:firstLine="640" w:firstLineChars="200"/>
        <w:jc w:val="left"/>
        <w:rPr>
          <w:rFonts w:ascii="宋体" w:hAnsi="宋体" w:eastAsia="宋体" w:cs="Times New Roman"/>
          <w:bCs/>
          <w:kern w:val="0"/>
          <w:sz w:val="32"/>
          <w:szCs w:val="32"/>
        </w:rPr>
      </w:pPr>
      <w:r>
        <w:rPr>
          <w:rFonts w:hint="eastAsia" w:ascii="宋体" w:hAnsi="宋体" w:eastAsia="宋体" w:cs="Times New Roman"/>
          <w:bCs/>
          <w:kern w:val="0"/>
          <w:sz w:val="32"/>
          <w:szCs w:val="32"/>
        </w:rPr>
        <w:t>4、机关运行经费：是指为保障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9"/>
        <w:jc w:val="center"/>
        <w:rPr>
          <w:rFonts w:ascii="宋体" w:hAnsi="宋体" w:eastAsia="宋体" w:cs="Times New Roman"/>
          <w:bCs/>
          <w:color w:val="auto"/>
          <w:sz w:val="32"/>
          <w:szCs w:val="3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bookmarkStart w:id="3" w:name="_GoBack"/>
      <w:bookmarkEnd w:id="3"/>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Q0MmQ0MTc5MDQ5ZDk2NjU3YjUxOTg0MGZhM2M3ZGQifQ=="/>
  </w:docVars>
  <w:rsids>
    <w:rsidRoot w:val="004506F9"/>
    <w:rsid w:val="00010B15"/>
    <w:rsid w:val="0002229B"/>
    <w:rsid w:val="000273BD"/>
    <w:rsid w:val="00030C39"/>
    <w:rsid w:val="00030C6D"/>
    <w:rsid w:val="00040CBC"/>
    <w:rsid w:val="000415B7"/>
    <w:rsid w:val="00041E3F"/>
    <w:rsid w:val="00046055"/>
    <w:rsid w:val="00055DAA"/>
    <w:rsid w:val="00061F7B"/>
    <w:rsid w:val="000658A3"/>
    <w:rsid w:val="00071BC8"/>
    <w:rsid w:val="00074155"/>
    <w:rsid w:val="000A3F69"/>
    <w:rsid w:val="000A7B1A"/>
    <w:rsid w:val="000B0F46"/>
    <w:rsid w:val="000B553C"/>
    <w:rsid w:val="00103957"/>
    <w:rsid w:val="00135FEF"/>
    <w:rsid w:val="00143789"/>
    <w:rsid w:val="00147EB2"/>
    <w:rsid w:val="00152C6D"/>
    <w:rsid w:val="0015560E"/>
    <w:rsid w:val="00162D39"/>
    <w:rsid w:val="001678BD"/>
    <w:rsid w:val="00177884"/>
    <w:rsid w:val="00182373"/>
    <w:rsid w:val="001A67DB"/>
    <w:rsid w:val="001B6FFE"/>
    <w:rsid w:val="001C0798"/>
    <w:rsid w:val="001C3C29"/>
    <w:rsid w:val="001D51E5"/>
    <w:rsid w:val="001E080D"/>
    <w:rsid w:val="001E53D0"/>
    <w:rsid w:val="001F0C3B"/>
    <w:rsid w:val="00202C82"/>
    <w:rsid w:val="00214427"/>
    <w:rsid w:val="00226CB7"/>
    <w:rsid w:val="00230461"/>
    <w:rsid w:val="00247A58"/>
    <w:rsid w:val="00264552"/>
    <w:rsid w:val="00264EF9"/>
    <w:rsid w:val="00265724"/>
    <w:rsid w:val="00271CBD"/>
    <w:rsid w:val="0027426B"/>
    <w:rsid w:val="002851DE"/>
    <w:rsid w:val="00293F9D"/>
    <w:rsid w:val="002C3F3E"/>
    <w:rsid w:val="002E0A30"/>
    <w:rsid w:val="002F2D54"/>
    <w:rsid w:val="003130C4"/>
    <w:rsid w:val="0031346B"/>
    <w:rsid w:val="00316C4B"/>
    <w:rsid w:val="00317374"/>
    <w:rsid w:val="0032192B"/>
    <w:rsid w:val="003221FE"/>
    <w:rsid w:val="003479BD"/>
    <w:rsid w:val="00350FDA"/>
    <w:rsid w:val="0035171E"/>
    <w:rsid w:val="0035200A"/>
    <w:rsid w:val="00354EB6"/>
    <w:rsid w:val="00356CD5"/>
    <w:rsid w:val="0037197D"/>
    <w:rsid w:val="003768D5"/>
    <w:rsid w:val="003926B9"/>
    <w:rsid w:val="00397E9E"/>
    <w:rsid w:val="003B06EF"/>
    <w:rsid w:val="003C47E6"/>
    <w:rsid w:val="003C4FC2"/>
    <w:rsid w:val="003D448A"/>
    <w:rsid w:val="003D5772"/>
    <w:rsid w:val="003F4C2E"/>
    <w:rsid w:val="0041070A"/>
    <w:rsid w:val="00411CCC"/>
    <w:rsid w:val="00416E61"/>
    <w:rsid w:val="00417950"/>
    <w:rsid w:val="0042790C"/>
    <w:rsid w:val="004436B8"/>
    <w:rsid w:val="004506F9"/>
    <w:rsid w:val="00466F8E"/>
    <w:rsid w:val="004717A2"/>
    <w:rsid w:val="00473DF3"/>
    <w:rsid w:val="00487911"/>
    <w:rsid w:val="00491741"/>
    <w:rsid w:val="00496E9D"/>
    <w:rsid w:val="004A7512"/>
    <w:rsid w:val="004B0CEE"/>
    <w:rsid w:val="004C1ED2"/>
    <w:rsid w:val="004D6934"/>
    <w:rsid w:val="004F0B3F"/>
    <w:rsid w:val="004F5F2D"/>
    <w:rsid w:val="00500E5F"/>
    <w:rsid w:val="005054EC"/>
    <w:rsid w:val="005122EF"/>
    <w:rsid w:val="0051441A"/>
    <w:rsid w:val="00517C33"/>
    <w:rsid w:val="00517D5F"/>
    <w:rsid w:val="00523644"/>
    <w:rsid w:val="0054069E"/>
    <w:rsid w:val="00544866"/>
    <w:rsid w:val="005767CC"/>
    <w:rsid w:val="00590D9F"/>
    <w:rsid w:val="00593076"/>
    <w:rsid w:val="00595D26"/>
    <w:rsid w:val="005A74E6"/>
    <w:rsid w:val="005B404E"/>
    <w:rsid w:val="005C3C6D"/>
    <w:rsid w:val="005C77E6"/>
    <w:rsid w:val="005D411F"/>
    <w:rsid w:val="005D4D55"/>
    <w:rsid w:val="005E2CFB"/>
    <w:rsid w:val="005F2103"/>
    <w:rsid w:val="005F3D1C"/>
    <w:rsid w:val="00601790"/>
    <w:rsid w:val="00602A7A"/>
    <w:rsid w:val="00615265"/>
    <w:rsid w:val="0062378F"/>
    <w:rsid w:val="00641842"/>
    <w:rsid w:val="00651EEC"/>
    <w:rsid w:val="00663120"/>
    <w:rsid w:val="00686673"/>
    <w:rsid w:val="00691E8C"/>
    <w:rsid w:val="006A22C4"/>
    <w:rsid w:val="006A351B"/>
    <w:rsid w:val="006B0422"/>
    <w:rsid w:val="006B515E"/>
    <w:rsid w:val="006C1B53"/>
    <w:rsid w:val="006D7730"/>
    <w:rsid w:val="006E5284"/>
    <w:rsid w:val="006F3EB5"/>
    <w:rsid w:val="006F409E"/>
    <w:rsid w:val="00702E34"/>
    <w:rsid w:val="00704395"/>
    <w:rsid w:val="00710FE7"/>
    <w:rsid w:val="00717621"/>
    <w:rsid w:val="00720FF1"/>
    <w:rsid w:val="00724222"/>
    <w:rsid w:val="00727A53"/>
    <w:rsid w:val="00731888"/>
    <w:rsid w:val="007450CF"/>
    <w:rsid w:val="007732BD"/>
    <w:rsid w:val="00787B42"/>
    <w:rsid w:val="007A1872"/>
    <w:rsid w:val="007C4539"/>
    <w:rsid w:val="007F3657"/>
    <w:rsid w:val="007F71E9"/>
    <w:rsid w:val="00812ED5"/>
    <w:rsid w:val="008277D9"/>
    <w:rsid w:val="0084478C"/>
    <w:rsid w:val="00851EA4"/>
    <w:rsid w:val="00864E2D"/>
    <w:rsid w:val="0086638C"/>
    <w:rsid w:val="00895B53"/>
    <w:rsid w:val="008A3E8D"/>
    <w:rsid w:val="008F28F1"/>
    <w:rsid w:val="00902ABD"/>
    <w:rsid w:val="009232FB"/>
    <w:rsid w:val="009237C4"/>
    <w:rsid w:val="009253D2"/>
    <w:rsid w:val="00944C48"/>
    <w:rsid w:val="00950252"/>
    <w:rsid w:val="00955AAD"/>
    <w:rsid w:val="00967F5D"/>
    <w:rsid w:val="00987F1B"/>
    <w:rsid w:val="009A0F95"/>
    <w:rsid w:val="009B3ADF"/>
    <w:rsid w:val="009C3B52"/>
    <w:rsid w:val="009D1006"/>
    <w:rsid w:val="009D5E37"/>
    <w:rsid w:val="009E6817"/>
    <w:rsid w:val="009E6E9A"/>
    <w:rsid w:val="00A01D2B"/>
    <w:rsid w:val="00A42218"/>
    <w:rsid w:val="00A70249"/>
    <w:rsid w:val="00A70B02"/>
    <w:rsid w:val="00A71D9F"/>
    <w:rsid w:val="00A92E9F"/>
    <w:rsid w:val="00AB18FF"/>
    <w:rsid w:val="00AB3659"/>
    <w:rsid w:val="00AF26D7"/>
    <w:rsid w:val="00B31ECE"/>
    <w:rsid w:val="00B33BEA"/>
    <w:rsid w:val="00B44BD2"/>
    <w:rsid w:val="00B57C9F"/>
    <w:rsid w:val="00B602F7"/>
    <w:rsid w:val="00B63572"/>
    <w:rsid w:val="00B72934"/>
    <w:rsid w:val="00B845B3"/>
    <w:rsid w:val="00B85D8B"/>
    <w:rsid w:val="00B92F18"/>
    <w:rsid w:val="00BA2B8F"/>
    <w:rsid w:val="00BB4A40"/>
    <w:rsid w:val="00BB6197"/>
    <w:rsid w:val="00BC5B32"/>
    <w:rsid w:val="00BD6C3E"/>
    <w:rsid w:val="00BE3674"/>
    <w:rsid w:val="00C038E7"/>
    <w:rsid w:val="00C10681"/>
    <w:rsid w:val="00C12B51"/>
    <w:rsid w:val="00C241CF"/>
    <w:rsid w:val="00C3049A"/>
    <w:rsid w:val="00C31B1E"/>
    <w:rsid w:val="00C52EE5"/>
    <w:rsid w:val="00C77645"/>
    <w:rsid w:val="00C851FE"/>
    <w:rsid w:val="00CA609E"/>
    <w:rsid w:val="00CE04C3"/>
    <w:rsid w:val="00CE76A0"/>
    <w:rsid w:val="00D148C6"/>
    <w:rsid w:val="00D17A8A"/>
    <w:rsid w:val="00D415BA"/>
    <w:rsid w:val="00D63780"/>
    <w:rsid w:val="00D644EE"/>
    <w:rsid w:val="00DB4A9A"/>
    <w:rsid w:val="00DD06FF"/>
    <w:rsid w:val="00DD53BD"/>
    <w:rsid w:val="00DD5FE9"/>
    <w:rsid w:val="00DE0FBA"/>
    <w:rsid w:val="00DF76AF"/>
    <w:rsid w:val="00E00C7A"/>
    <w:rsid w:val="00E07913"/>
    <w:rsid w:val="00E35D89"/>
    <w:rsid w:val="00E37D6C"/>
    <w:rsid w:val="00E55B68"/>
    <w:rsid w:val="00E561AE"/>
    <w:rsid w:val="00E67BE6"/>
    <w:rsid w:val="00E8683C"/>
    <w:rsid w:val="00E878CA"/>
    <w:rsid w:val="00E935E9"/>
    <w:rsid w:val="00EA0139"/>
    <w:rsid w:val="00EA0EB6"/>
    <w:rsid w:val="00EA2B72"/>
    <w:rsid w:val="00EC0AEE"/>
    <w:rsid w:val="00ED61BA"/>
    <w:rsid w:val="00EF0533"/>
    <w:rsid w:val="00EF1CC9"/>
    <w:rsid w:val="00EF3302"/>
    <w:rsid w:val="00F1526F"/>
    <w:rsid w:val="00F74360"/>
    <w:rsid w:val="00FB462F"/>
    <w:rsid w:val="00FE0E72"/>
    <w:rsid w:val="00FE16FA"/>
    <w:rsid w:val="00FE328A"/>
    <w:rsid w:val="00FE6269"/>
    <w:rsid w:val="00FF06DF"/>
    <w:rsid w:val="00FF45F0"/>
    <w:rsid w:val="00FF5CD6"/>
    <w:rsid w:val="0FD51B64"/>
    <w:rsid w:val="11CA1547"/>
    <w:rsid w:val="32CE589D"/>
    <w:rsid w:val="5777D4F5"/>
    <w:rsid w:val="5FC6BB1E"/>
    <w:rsid w:val="5FF720F1"/>
    <w:rsid w:val="623B3F70"/>
    <w:rsid w:val="737D59BA"/>
    <w:rsid w:val="77C37683"/>
    <w:rsid w:val="7852655C"/>
    <w:rsid w:val="79FF515B"/>
    <w:rsid w:val="7E9F11B4"/>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 w:type="character" w:customStyle="1" w:styleId="12">
    <w:name w:val="font01"/>
    <w:basedOn w:val="6"/>
    <w:qFormat/>
    <w:uiPriority w:val="0"/>
    <w:rPr>
      <w:rFonts w:hint="eastAsia" w:ascii="宋体" w:hAnsi="宋体" w:eastAsia="宋体" w:cs="宋体"/>
      <w:color w:val="000000"/>
      <w:sz w:val="22"/>
      <w:szCs w:val="22"/>
      <w:u w:val="none"/>
    </w:rPr>
  </w:style>
  <w:style w:type="character" w:customStyle="1" w:styleId="13">
    <w:name w:val="font21"/>
    <w:basedOn w:val="6"/>
    <w:qFormat/>
    <w:uiPriority w:val="0"/>
    <w:rPr>
      <w:rFonts w:hint="eastAsia" w:ascii="宋体" w:hAnsi="宋体" w:eastAsia="宋体" w:cs="宋体"/>
      <w:color w:val="000000"/>
      <w:sz w:val="24"/>
      <w:szCs w:val="24"/>
      <w:u w:val="none"/>
    </w:rPr>
  </w:style>
  <w:style w:type="character" w:customStyle="1" w:styleId="14">
    <w:name w:val="font1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06B978F-2EAB-4737-AC41-03F4CE8D515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29</Pages>
  <Words>8979</Words>
  <Characters>12213</Characters>
  <Lines>108</Lines>
  <Paragraphs>30</Paragraphs>
  <TotalTime>7</TotalTime>
  <ScaleCrop>false</ScaleCrop>
  <LinksUpToDate>false</LinksUpToDate>
  <CharactersWithSpaces>13163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cry1416141497</cp:lastModifiedBy>
  <cp:lastPrinted>2023-08-15T09:28:00Z</cp:lastPrinted>
  <dcterms:modified xsi:type="dcterms:W3CDTF">2023-10-24T01:43:53Z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0A1CDE3E96E746EBA500B5C0A2FE9609</vt:lpwstr>
  </property>
</Properties>
</file>