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16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pStyle w:val="2"/>
        <w:rPr>
          <w:rFonts w:ascii="仿宋_GB2312" w:hAnsi="宋体" w:eastAsia="仿宋_GB2312"/>
          <w:sz w:val="32"/>
          <w:szCs w:val="32"/>
        </w:rPr>
      </w:pPr>
    </w:p>
    <w:p>
      <w:pPr>
        <w:pStyle w:val="2"/>
        <w:rPr>
          <w:rFonts w:ascii="仿宋_GB2312" w:hAnsi="宋体" w:eastAsia="仿宋_GB2312"/>
          <w:sz w:val="32"/>
          <w:szCs w:val="32"/>
        </w:rPr>
      </w:pPr>
    </w:p>
    <w:p>
      <w:pPr>
        <w:pStyle w:val="2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45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0"/>
          <w:w w:val="45"/>
          <w:sz w:val="144"/>
          <w:szCs w:val="144"/>
          <w:lang w:eastAsia="zh-CN"/>
        </w:rPr>
        <w:t>溆浦县退役军人事务局文件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16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溆退役军人发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〔</w:t>
      </w:r>
      <w:r>
        <w:rPr>
          <w:rFonts w:hint="eastAsia" w:ascii="楷体_GB2312" w:hAnsi="楷体_GB2312" w:eastAsia="楷体_GB2312" w:cs="楷体_GB2312"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号</w:t>
      </w:r>
    </w:p>
    <w:p>
      <w:pPr>
        <w:spacing w:line="50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36830</wp:posOffset>
                </wp:positionV>
                <wp:extent cx="5466080" cy="3810"/>
                <wp:effectExtent l="0" t="13970" r="1270" b="2032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6080" cy="381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pt;margin-top:2.9pt;height:0.3pt;width:430.4pt;z-index:251662336;mso-width-relative:page;mso-height-relative:page;" filled="f" stroked="t" coordsize="21600,21600" o:gfxdata="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ZVlajUAAAABQEAAA8AAAAAAAAAAQAgAAAAIgAAAGRy&#10;cy9kb3ducmV2LnhtbFBLAQIUABQAAAAIAIdO4kAGCBjTCQIAAPoDAAAOAAAAAAAAAAEAIAAAACMB&#10;AABkcnMvZTJvRG9jLnhtbFBLBQYAAAAABgAGAFkBAACeBQAAAAA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ind w:firstLine="640"/>
        <w:jc w:val="right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溆浦县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退役军人事务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pacing w:val="-8"/>
          <w:sz w:val="44"/>
          <w:szCs w:val="44"/>
        </w:rPr>
        <w:t>关于印发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溆浦县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退役军人、其他优抚对象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优待证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制发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工作实施方案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的通知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cs="Times New Roman"/>
          <w:sz w:val="32"/>
          <w:szCs w:val="32"/>
          <w:lang w:eastAsia="zh-CN"/>
        </w:rPr>
        <w:t>各乡镇退役军人服务站，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局属各单位、各股室：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溆浦县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退役军人、其他优抚对象优待证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制发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工作实施方案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》已经局党组同意，现印发给你们，请认真遵照执行。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wordWrap/>
        <w:spacing w:line="600" w:lineRule="exact"/>
        <w:ind w:firstLine="640" w:firstLineChars="200"/>
        <w:jc w:val="righ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溆浦县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退役军人事务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局          </w:t>
      </w:r>
    </w:p>
    <w:p>
      <w:pPr>
        <w:wordWrap/>
        <w:spacing w:line="60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2022年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24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日    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footerReference r:id="rId5" w:type="default"/>
          <w:pgSz w:w="11906" w:h="16838"/>
          <w:pgMar w:top="1417" w:right="1701" w:bottom="1134" w:left="170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溆浦县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退役军人、其他优抚对象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优待证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制发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为贯彻落实《退役军人事务部关于印发〈退役军人、其他优抚对象优待证管理办法（试行）&gt;的通知》（退役军人部发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67号）文件精神，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退役军人事务部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省退役军人事务厅</w:t>
      </w:r>
      <w:r>
        <w:rPr>
          <w:rFonts w:hint="eastAsia" w:ascii="仿宋_GB2312" w:hAnsi="仿宋_GB2312" w:eastAsia="仿宋_GB2312" w:cs="仿宋_GB2312"/>
          <w:sz w:val="32"/>
          <w:szCs w:val="32"/>
        </w:rPr>
        <w:t>和市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退役军人事务局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统一</w:t>
      </w:r>
      <w:r>
        <w:rPr>
          <w:rFonts w:hint="eastAsia" w:ascii="仿宋_GB2312" w:hAnsi="仿宋_GB2312" w:eastAsia="仿宋_GB2312" w:cs="仿宋_GB2312"/>
          <w:sz w:val="32"/>
          <w:szCs w:val="32"/>
        </w:rPr>
        <w:t>部署，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怀化</w:t>
      </w:r>
      <w:r>
        <w:rPr>
          <w:rFonts w:hint="eastAsia" w:ascii="仿宋_GB2312" w:hAnsi="仿宋_GB2312" w:eastAsia="仿宋_GB2312" w:cs="仿宋_GB2312"/>
          <w:sz w:val="32"/>
          <w:szCs w:val="32"/>
        </w:rPr>
        <w:t>市退役军人事务局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怀化市退役军人、其他优抚对象优待证制发工作实施方案》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退役军人办发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3号）的要求，稳妥有序准确高效开展我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退役军人、其他优抚对象优待证制发工作（以下简称优待证工作），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结合我县工作实际，特制定本方案。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规范退役军人、其他优抚对象优待证制发、使用和服务管理，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切实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维护持证对象权益，提高优待服务管理水平，在 2022年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12月15日前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集中完成我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退役军人、其他优抚对象建档立卡、优待证制发工作，让退役军人、其他优抚对象真切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受到荣誉感、获得感、幸福感，形成关心支持国防和军队建设，关心关爱优抚对象的良好社会氛围。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二、工作机制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（一）成立优待证工作领导小组。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为加强优待证工作的组织领导，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局成立优待证工作领导小组。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黄谋延 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退役军人事务局党组书记、局长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副组长∶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舒新军 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退役军人事务局党组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覃　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退役军人事务局党组成员、副局长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成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员∶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周芳红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县军休服务中心主任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3200" w:leftChars="60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向宪开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退役军人事务局拥军优抚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3200" w:leftChars="60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　勇 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退役军人事务局思想政治和权益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维护股股长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谌若维 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退役军人事务局办公室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贺喜菊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退役军人事务局规划财务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股负责人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920" w:leftChars="60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向一鸣 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退役军人事务局移交安置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股负责人王茂华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退役军人事务局就业创业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股负责人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（二）组建优待证工作专班。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领导小组下设工作专班，具体负责指导、督办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开展工作，协调解决工作中出现的具体问题等。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退役军人事务局党组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、副局长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覃安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兼任专班负责人，具体工作由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退役军人事务局拥军优抚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退役军人服务中心指定专人负责建档立卡工作。工作专班组成人员如下∶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覃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退役军人事务局党组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920" w:leftChars="20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王  勇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退役军人事务局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思想政治和权益维护股股长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向宪开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退役军人事务局拥军优抚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股负责人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向一鸣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退役军人事务局移交安置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股负责人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张海滨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退役军人服务中心工作人员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　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退役军人服务中心工作人员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李佑源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退役军人服务中心工作人员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退役军人服务中心工作人员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沈小健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退役军人服务中心工作人员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张  媛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退役军人服务中心工作人员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君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退役军人服务中心工作人员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退役军人服务中心工作人员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工作专班下设3个业务组，分别负责有关工作。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综合组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 长∶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向宪开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 员∶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张海滨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、张 志、王芝君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主要任务∶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①牵头拟制实施方案，构建运行机制;②对接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关于优待证工作的相关政策，及时向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传达优待证工作相关信息;③研究优待证制发过程中存在的问题，提出解决问题的方法举措;④组织指导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工作人员进行业务培训;⑤定期汇总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进展情况，向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退役军人事务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汇报工作情况;⑥做好退役军人事务部综合管理平台业务管理和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级管理员账号开设工作，指导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做好辖区内账号维护管理工作;⑦指导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开展优待证制发宣传工作;⑧负责退役军人、其他优抚对象优待证申请的审核;⑨工作专班交办的其他事项。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服务组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 长∶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向一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鸣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 员∶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　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、张 媛、刘泳春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主要任务∶①负责建档立卡工作，整合我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退役军人、其他优抚对象的数据，对接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建档立卡系统;②对接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服务中心，协调信息系统、设备相关问题;③指导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做好面向对象的政策解释工作;④指导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专人签收优待证，做好签收台账，按要求将优待证送达申请人本人;⑤制定规范化窗口服务流程，避免出现服务不到位问题;⑥负责建档立卡数据审核;⑦工作专班交办的其他事项。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3.权益组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组 长∶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王 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成 员∶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李佑源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沈小健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主要任务∶①提前分析研究，预判在优待证制发、使用过程中可能出现的情况，组织做好风险防控工作;②组织做好相关人员的接访、息访息诉等工作;③协调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网信部门，做好涉优待证的舆情监控工作;④出现涉及优待证突发敏感舆情时，联合政法、网信、公安、信访等部门，第一时间开展应对处置，防止舆情发酵升级;⑤工作专班交办的其他事项。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（三）建立优待证工作联系制度。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建立领导小组组长、副组长联系乡镇制度，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精准掌握各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优待证工作进展情况，协调解决工作中的重难点问题，制定相应的措施办法，督促指导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稳妥推进工作。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具体</w:t>
      </w:r>
      <w:r>
        <w:rPr>
          <w:rFonts w:hint="eastAsia" w:ascii="仿宋_GB2312" w:hAnsi="宋体" w:cs="宋体"/>
          <w:sz w:val="32"/>
          <w:szCs w:val="32"/>
          <w:lang w:eastAsia="zh-CN"/>
        </w:rPr>
        <w:t>联系乡镇</w:t>
      </w:r>
      <w:r>
        <w:rPr>
          <w:rFonts w:hint="eastAsia" w:ascii="仿宋_GB2312" w:hAnsi="宋体" w:eastAsia="仿宋_GB2312" w:cs="宋体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黄谋延</w:t>
      </w:r>
      <w:r>
        <w:rPr>
          <w:rFonts w:hint="eastAsia" w:ascii="仿宋_GB2312" w:hAnsi="宋体" w:cs="宋体"/>
          <w:sz w:val="32"/>
          <w:szCs w:val="32"/>
          <w:lang w:val="en-US" w:eastAsia="zh-CN"/>
        </w:rPr>
        <w:t>:</w:t>
      </w:r>
      <w:r>
        <w:rPr>
          <w:rFonts w:hint="eastAsia" w:ascii="仿宋_GB2312" w:hAnsi="宋体" w:eastAsia="仿宋_GB2312" w:cs="宋体"/>
          <w:sz w:val="32"/>
          <w:szCs w:val="32"/>
        </w:rPr>
        <w:t>联系低庄镇、深子湖镇、双井镇、祖师殿镇、</w:t>
      </w:r>
      <w:r>
        <w:rPr>
          <w:rFonts w:hint="eastAsia" w:ascii="仿宋_GB2312" w:hAnsi="宋体" w:cs="宋体"/>
          <w:sz w:val="32"/>
          <w:szCs w:val="32"/>
          <w:lang w:eastAsia="zh-CN"/>
        </w:rPr>
        <w:t>卢峰镇、观音阁镇、均坪镇</w:t>
      </w:r>
      <w:r>
        <w:rPr>
          <w:rFonts w:hint="eastAsia" w:ascii="仿宋_GB2312" w:hAnsi="宋体" w:eastAsia="仿宋_GB2312" w:cs="宋体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舒新军</w:t>
      </w:r>
      <w:r>
        <w:rPr>
          <w:rFonts w:hint="eastAsia" w:ascii="仿宋_GB2312" w:hAnsi="宋体" w:cs="宋体"/>
          <w:sz w:val="32"/>
          <w:szCs w:val="32"/>
          <w:lang w:val="en-US" w:eastAsia="zh-CN"/>
        </w:rPr>
        <w:t>:</w:t>
      </w:r>
      <w:r>
        <w:rPr>
          <w:rFonts w:hint="eastAsia" w:ascii="仿宋_GB2312" w:hAnsi="宋体" w:eastAsia="仿宋_GB2312" w:cs="宋体"/>
          <w:sz w:val="32"/>
          <w:szCs w:val="32"/>
        </w:rPr>
        <w:t>联系三江镇、桥江镇、油洋乡</w:t>
      </w:r>
      <w:r>
        <w:rPr>
          <w:rFonts w:hint="eastAsia" w:ascii="仿宋_GB2312" w:hAnsi="宋体" w:cs="宋体"/>
          <w:sz w:val="32"/>
          <w:szCs w:val="32"/>
          <w:lang w:eastAsia="zh-CN"/>
        </w:rPr>
        <w:t>、舒溶溪乡、淘金坪乡、两丫坪镇、沿溪乡、中都乡、水东镇、统溪河镇</w:t>
      </w:r>
      <w:r>
        <w:rPr>
          <w:rFonts w:hint="eastAsia" w:ascii="仿宋_GB2312" w:hAnsi="宋体" w:eastAsia="仿宋_GB2312" w:cs="宋体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覃</w:t>
      </w:r>
      <w:r>
        <w:rPr>
          <w:rFonts w:hint="eastAsia" w:ascii="仿宋_GB2312" w:hAnsi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安</w:t>
      </w:r>
      <w:r>
        <w:rPr>
          <w:rFonts w:hint="eastAsia" w:ascii="仿宋_GB2312" w:hAnsi="宋体" w:cs="宋体"/>
          <w:sz w:val="32"/>
          <w:szCs w:val="32"/>
          <w:lang w:val="en-US" w:eastAsia="zh-CN"/>
        </w:rPr>
        <w:t>:</w:t>
      </w:r>
      <w:r>
        <w:rPr>
          <w:rFonts w:hint="eastAsia" w:ascii="仿宋_GB2312" w:hAnsi="宋体" w:eastAsia="仿宋_GB2312" w:cs="宋体"/>
          <w:sz w:val="32"/>
          <w:szCs w:val="32"/>
        </w:rPr>
        <w:t>联系龙潭镇、黄茅园镇、葛竹坪镇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z w:val="32"/>
          <w:szCs w:val="32"/>
        </w:rPr>
        <w:t>龙庄湾乡</w:t>
      </w:r>
      <w:r>
        <w:rPr>
          <w:rFonts w:hint="eastAsia" w:ascii="仿宋_GB2312" w:hAnsi="宋体" w:cs="宋体"/>
          <w:sz w:val="32"/>
          <w:szCs w:val="32"/>
          <w:lang w:eastAsia="zh-CN"/>
        </w:rPr>
        <w:t>、北斗溪镇、</w:t>
      </w:r>
      <w:r>
        <w:rPr>
          <w:rFonts w:hint="eastAsia" w:ascii="仿宋_GB2312" w:hAnsi="宋体" w:eastAsia="仿宋_GB2312" w:cs="宋体"/>
          <w:sz w:val="32"/>
          <w:szCs w:val="32"/>
        </w:rPr>
        <w:t>小横垅乡</w:t>
      </w:r>
      <w:r>
        <w:rPr>
          <w:rFonts w:hint="eastAsia" w:ascii="仿宋_GB2312" w:hAnsi="宋体" w:cs="宋体"/>
          <w:sz w:val="32"/>
          <w:szCs w:val="32"/>
          <w:lang w:eastAsia="zh-CN"/>
        </w:rPr>
        <w:t>、江口镇、思蒙镇</w:t>
      </w:r>
      <w:r>
        <w:rPr>
          <w:rFonts w:hint="eastAsia" w:ascii="仿宋_GB2312" w:hAnsi="宋体" w:eastAsia="仿宋_GB2312" w:cs="宋体"/>
          <w:sz w:val="32"/>
          <w:szCs w:val="32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三、实施步骤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（一）准备阶段（2022年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25日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一是成立领导小组和工作专班。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传达学习退役军人事务部、省退役军人事务厅、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退役军人事务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有关通知精神，成立优待证工作领导小组和工作专班，明确责任分工和人员安排。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二是建档立卡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。对接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建档立卡系统，做好退役军人、其他优抚对象基础数据准备，指导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完善相关设备。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三是组织开展培训。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工作人员熟悉系统操作流程，熟悉政策问答口径。前期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退役军人事务综合管理平台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将退役军人事务部优待证工作手册、系统操作、优待证宣传折页、海报等材料下载。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四是动员部署。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退役军人事务局将召开专题会议进行安排部署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线上或线下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局优待证工作制发方案及相关要求，制定本地区具体实施方案;召开优待证工作专题会议，研究部署优待证工作，提出明确要求;认真做好宣传动员、人员培训及经费保障工作，确保优待证工作顺利进行。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（二）培训阶段（2022年3月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计划安排，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将在3月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旬采取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线上培训的方式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务培训。乡镇退役军人服务站工作人员熟悉建档立卡信息登记内容、优待证政策、工作流程、表格填写要求;建立退役军人、其他优抚对象的建档立卡台账及电子照片，本辖区内退役军人、其他优抚对象全覆盖，确保优待证制发工作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（三）实施阶段（2022年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至 12月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15日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是做好宣传引导。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要通过广播、电视、网络等媒体发布公告，在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全县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内大力营造优待证工作的宣传声势，形成浓厚的舆论氛围。乡镇和村（社区）充分运用横幅、标语、宣传栏、信息推送等多种形式，力争使退役军人和其他优抚对象对优待证工作人人知晓。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是全面开展优待证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制证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2022年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，乡镇服务站开始受理退役军人、其他优抚对象优待证申请材料，按规定逐级审核，制证后寄发优待证。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三是适时检查督导。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精准掌握优待证工作进展情况，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在优待证工作推进中遇到问题，及时整理上报，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局及时给予答复。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局采取定期和不定期方式对优待证工作开展情况进行检查督导，推广先进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的好经验好做法，对落后的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进行督导，制定整改措施。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（四）总结阶段（2022年12月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日前）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对优待证工作进行查漏补缺，确保符合条件的申请人如期拿到优待证，在2022年12月15日前将书面总结（含电子版）报送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局将对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优待证工作完成情况进行评估，纳入年度绩效考核。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优待证工作转入常态化运行后，每年新增退役军人、其他优抚对象信息，主动告知申请人，常态化开展优待证申领工作。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（一）加强组织领导。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优待证是持证人彰显荣誉的载体、享受优待的凭证，涉及退役军人、其他优抚对象的切身利益，优待证工作是当前全系统的一项重要任务。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要高度重视，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指定专干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，周密组织部署，积极稳妥推进，要树立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一盘棋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思想，主动担当、密切配合、协调联动，全力做好各项工作。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（二）确保精准高效。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严格按照国家和省规定的人员范围、申领流程开展优待证工作，乡镇服务站、银行窗口服务热情、规范，线上审核及时准确，电话回复清晰明白，对有需要的对象，主动上门服务。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（三）做好风险防控。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属地管理、分级负责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的原则，采取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先易后难、先简后繁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的办法，确保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待证工作规范有序开展。要坚持阳光操作，按照相关规定要求，申请人根据省厅合作银行范围自主选择本人优待证的制证银行，不准以行政方式进行干预。要加强信息之间的沟通和共享，及时摸排工作中存在的稳定隐患，掌握苗头性问题，制定应急预案，做好风险防控，采取有力措施，确保不发生规模性集访，不发生网上炒作和负面舆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（四）营造良好氛围。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要统一政策宣讲口径，做好正面宣传，结合走访慰问等活动，主动送政策上门，形成广大退役军人引领良好道德风尚、珍惜维护荣誉、全社会关心关爱退役军人的良好社会氛围。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/>
          <w:sz w:val="30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（五）强化安全保密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要增强保密意识和依法行政，充分尊重退役军人、其他优抚对象意愿，按照程序依法行政。工作人员依法履行保密义务，加强对优待证工作内部资料和个人信息的保护，确保优待证工作安全无差错。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342900</wp:posOffset>
                </wp:positionV>
                <wp:extent cx="529082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15pt;margin-top:27pt;height:0.05pt;width:416.6pt;z-index:251659264;mso-width-relative:page;mso-height-relative:page;" filled="f" stroked="t" coordsize="21600,21600" o:gfxdata="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1NkrdNUAAAAHAQAADwAAAAAAAAABACAAAAAiAAAAZHJzL2Rvd25yZXYueG1sUEsBAhQA&#10;FAAAAAgAh07iQL9J7Wf1AQAA5g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300" w:firstLineChars="1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FFFF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335915</wp:posOffset>
                </wp:positionV>
                <wp:extent cx="5342255" cy="698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42255" cy="6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26.45pt;height:0.55pt;width:420.65pt;z-index:251660288;mso-width-relative:page;mso-height-relative:page;" filled="f" stroked="t" coordsize="21600,21600" o:gfxdata="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E+i10NUAAAAGAQAADwAAAAAAAAABACAAAAAiAAAAZHJzL2Rvd25yZXYu&#10;eG1sUEsBAhQAFAAAAAgAh07iQMTGSRX+AQAA8QMAAA4AAAAAAAAAAQAgAAAAJA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</w:rPr>
        <w:t>溆浦县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退役军人事务局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办公室  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0"/>
          <w:szCs w:val="30"/>
        </w:rPr>
        <w:t>日印</w:t>
      </w:r>
    </w:p>
    <w:sectPr>
      <w:footerReference r:id="rId6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  <w:szCs w:val="28"/>
      </w:rPr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NzIwZTA5ZmEwNmIwNjllOTgyM2NkODE4YzQxOGIifQ=="/>
  </w:docVars>
  <w:rsids>
    <w:rsidRoot w:val="00000000"/>
    <w:rsid w:val="00EC5001"/>
    <w:rsid w:val="01981D96"/>
    <w:rsid w:val="03EE0393"/>
    <w:rsid w:val="045B52FD"/>
    <w:rsid w:val="04BC2E15"/>
    <w:rsid w:val="06053AFE"/>
    <w:rsid w:val="065F6B2D"/>
    <w:rsid w:val="07060CE0"/>
    <w:rsid w:val="09BA3EB5"/>
    <w:rsid w:val="09BF1E8A"/>
    <w:rsid w:val="0B04224A"/>
    <w:rsid w:val="109F1ADB"/>
    <w:rsid w:val="11570859"/>
    <w:rsid w:val="12673EBC"/>
    <w:rsid w:val="18B94403"/>
    <w:rsid w:val="1D813BCE"/>
    <w:rsid w:val="1E786350"/>
    <w:rsid w:val="1F366E49"/>
    <w:rsid w:val="20BC06E0"/>
    <w:rsid w:val="23757D31"/>
    <w:rsid w:val="24942498"/>
    <w:rsid w:val="275B7B18"/>
    <w:rsid w:val="27AB55BE"/>
    <w:rsid w:val="2CB03B88"/>
    <w:rsid w:val="2D1B7676"/>
    <w:rsid w:val="2D2F71A3"/>
    <w:rsid w:val="2FED7BA7"/>
    <w:rsid w:val="32EE25EF"/>
    <w:rsid w:val="3333106F"/>
    <w:rsid w:val="338418CB"/>
    <w:rsid w:val="34AB3558"/>
    <w:rsid w:val="38F17A02"/>
    <w:rsid w:val="3A5C2E18"/>
    <w:rsid w:val="3B41571A"/>
    <w:rsid w:val="3B6A75F8"/>
    <w:rsid w:val="3BD6188A"/>
    <w:rsid w:val="3E4F07A5"/>
    <w:rsid w:val="3FCE63A8"/>
    <w:rsid w:val="41076015"/>
    <w:rsid w:val="4320516C"/>
    <w:rsid w:val="44BA514C"/>
    <w:rsid w:val="460E39A2"/>
    <w:rsid w:val="462E24A2"/>
    <w:rsid w:val="48A979B2"/>
    <w:rsid w:val="48B30830"/>
    <w:rsid w:val="4986127D"/>
    <w:rsid w:val="49DA4360"/>
    <w:rsid w:val="4AFB40D3"/>
    <w:rsid w:val="4B7C0C4F"/>
    <w:rsid w:val="4BF4363A"/>
    <w:rsid w:val="4F355850"/>
    <w:rsid w:val="50414CA6"/>
    <w:rsid w:val="513400AE"/>
    <w:rsid w:val="51EB2DE9"/>
    <w:rsid w:val="5244074B"/>
    <w:rsid w:val="532E3E4B"/>
    <w:rsid w:val="557A79A9"/>
    <w:rsid w:val="55862CB9"/>
    <w:rsid w:val="559519EA"/>
    <w:rsid w:val="55B160F8"/>
    <w:rsid w:val="57AE0B41"/>
    <w:rsid w:val="582B2191"/>
    <w:rsid w:val="58324250"/>
    <w:rsid w:val="5ADD08AB"/>
    <w:rsid w:val="5CBF10FA"/>
    <w:rsid w:val="5EC2484E"/>
    <w:rsid w:val="5ED115B9"/>
    <w:rsid w:val="5F1D2E7B"/>
    <w:rsid w:val="5FA910F2"/>
    <w:rsid w:val="5FFD62D0"/>
    <w:rsid w:val="604E0DFF"/>
    <w:rsid w:val="606F1089"/>
    <w:rsid w:val="61C471B3"/>
    <w:rsid w:val="68807076"/>
    <w:rsid w:val="68DC3034"/>
    <w:rsid w:val="6ACB391D"/>
    <w:rsid w:val="6B7A4F67"/>
    <w:rsid w:val="6C6977EE"/>
    <w:rsid w:val="6D4A7116"/>
    <w:rsid w:val="6F915094"/>
    <w:rsid w:val="6FD66A2F"/>
    <w:rsid w:val="6FF86CF2"/>
    <w:rsid w:val="70757A03"/>
    <w:rsid w:val="74251D33"/>
    <w:rsid w:val="750F2613"/>
    <w:rsid w:val="79B1784C"/>
    <w:rsid w:val="7E7933A7"/>
    <w:rsid w:val="7FB0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qFormat="1" w:uiPriority="3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semiHidden/>
    <w:unhideWhenUsed/>
    <w:qFormat/>
    <w:uiPriority w:val="39"/>
  </w:style>
  <w:style w:type="paragraph" w:styleId="8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段"/>
    <w:basedOn w:val="1"/>
    <w:qFormat/>
    <w:uiPriority w:val="0"/>
    <w:pPr>
      <w:spacing w:line="288" w:lineRule="auto"/>
      <w:ind w:firstLine="20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3682</Words>
  <Characters>3734</Characters>
  <Lines>0</Lines>
  <Paragraphs>0</Paragraphs>
  <TotalTime>22</TotalTime>
  <ScaleCrop>false</ScaleCrop>
  <LinksUpToDate>false</LinksUpToDate>
  <CharactersWithSpaces>3852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2021-07-27T00:07:00Z</dcterms:created>
  <dc:creator>Administrator</dc:creator>
  <cp:lastModifiedBy>Administrator</cp:lastModifiedBy>
  <cp:lastPrinted>2022-04-07T03:21:00Z</cp:lastPrinted>
  <dcterms:modified xsi:type="dcterms:W3CDTF">2022-07-01T02:15:53Z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F21A9C7D830D45A4BF8DE4435EA90998</vt:lpwstr>
  </property>
</Properties>
</file>