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lang w:val="en-US" w:eastAsia="zh-CN" w:bidi="ar-SA"/>
        </w:rPr>
        <w:t>2026年一季度全县经济运行情况分析</w:t>
      </w:r>
    </w:p>
    <w:p>
      <w:pPr>
        <w:rPr>
          <w:rFonts w:hint="eastAsia"/>
          <w:lang w:val="en-US" w:eastAsia="zh-CN"/>
        </w:rPr>
      </w:pP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一季度，全县上下坚持稳中求进工作总基调，全面贯彻新发展理念，经济运行开局良好，一季度完成地区生产总值55.55亿元，同比增长4.5%。主要经济运行情况如下：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农业形势稳定。一季度，农林牧渔业总产值16.59亿元亿元，按可比价计算，同比增长4.6%。其中，农业产值7.66亿元，同比增长5.1%；林业产值0.97亿元，同比增长4.6%；牧业产值6.87亿元，同比增长3.9%；渔业产值0.56亿元，同比增长5.2%；农林牧渔专业及辅助性活动产值5324万元，同比增长7.1%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规模工业总体向好。一季度，规模以上工业增加值同比增长6.5%，全县26个行业大类中，17个行业实现正向增长，增长面达到65%，分行业来看，非金属矿物制品业同比增长5.8%，电力、热力生产和供应业同比增长21%，较大程度拉动了规模工业的增长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3.消费市场稳中有进。一季度，全社会消费品零售总额同比增长0.3%。限上商品零售额中， 粮油、食品类同比下降7.56%，饮料类、烟酒类分别增长14.99%、3.78%。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4.投资稳中有升。一季度，全县固定资产投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资同比增长3.6%。其中国有投资同比增长17.1%，民间投资同比下降4.8%。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5、人均收入增幅稳定。城乡居民可支配收入7151元，同比增长5.2%；其中城镇居民可支配收入9469元，同比增长4.5%；农村居民可支配收入5946元，同比增长6.4%，城乡收入差距进一步缩小。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B165B"/>
    <w:rsid w:val="16EB165B"/>
    <w:rsid w:val="44D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Times New Roman" w:hAnsi="Times New Roman"/>
    </w:rPr>
  </w:style>
  <w:style w:type="paragraph" w:styleId="4">
    <w:name w:val="annotation subject"/>
    <w:basedOn w:val="5"/>
    <w:next w:val="1"/>
    <w:qFormat/>
    <w:uiPriority w:val="0"/>
    <w:rPr>
      <w:rFonts w:ascii="Times New Roman" w:hAnsi="Times New Roman" w:eastAsia="仿宋_GB2312"/>
      <w:b/>
      <w:bCs/>
      <w:kern w:val="2"/>
      <w:sz w:val="32"/>
      <w:szCs w:val="24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2026-05-06T04:34:00Z</dcterms:created>
  <dc:creator>Administrator</dc:creator>
  <cp:lastModifiedBy>Administrator</cp:lastModifiedBy>
  <dcterms:modified xsi:type="dcterms:W3CDTF">2026-05-06T09:59:20Z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