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EB" w:rsidRPr="00A001EB" w:rsidRDefault="00A001EB" w:rsidP="00A001EB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溆浦县统计局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（2021年7月21日）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今年以来，在县委、县政府的坚强领导下，全县上下坚持稳中求进工作总基调，围绕“三高四新”战略，凝心聚力、真抓实干，经济保持平稳发展态势。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一、主要经济指标完成情况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2021年上半年全县主要经济指标完成情况表</w:t>
      </w:r>
      <w:r w:rsidRPr="00A001EB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A001E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A001EB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50"/>
        <w:gridCol w:w="1560"/>
        <w:gridCol w:w="1560"/>
        <w:gridCol w:w="1845"/>
      </w:tblGrid>
      <w:tr w:rsidR="00A001EB" w:rsidRPr="00A001EB" w:rsidTr="00A001EB">
        <w:tc>
          <w:tcPr>
            <w:tcW w:w="31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主要经济指标</w:t>
            </w:r>
          </w:p>
        </w:tc>
        <w:tc>
          <w:tcPr>
            <w:tcW w:w="31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上半年完成情况</w:t>
            </w:r>
          </w:p>
        </w:tc>
        <w:tc>
          <w:tcPr>
            <w:tcW w:w="18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与年初目标</w:t>
            </w:r>
          </w:p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相比</w:t>
            </w:r>
          </w:p>
        </w:tc>
      </w:tr>
      <w:tr w:rsidR="00A001EB" w:rsidRPr="00A001EB" w:rsidTr="00A001E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完成值</w:t>
            </w:r>
          </w:p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增速（%）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01EB" w:rsidRPr="00A001EB" w:rsidTr="00A001EB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地区生产总值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91.9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12.3</w:t>
            </w:r>
          </w:p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+4.3</w:t>
            </w:r>
          </w:p>
        </w:tc>
      </w:tr>
      <w:tr w:rsidR="00A001EB" w:rsidRPr="00A001EB" w:rsidTr="00A001EB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地方一般公共预算收入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4.61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18.7</w:t>
            </w:r>
          </w:p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+13.2</w:t>
            </w:r>
          </w:p>
        </w:tc>
      </w:tr>
      <w:tr w:rsidR="00A001EB" w:rsidRPr="00A001EB" w:rsidTr="00A001EB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规模以上工业增加值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14.3</w:t>
            </w:r>
          </w:p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+6.3</w:t>
            </w:r>
          </w:p>
        </w:tc>
      </w:tr>
      <w:tr w:rsidR="00A001EB" w:rsidRPr="00A001EB" w:rsidTr="00A001EB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固定资产投资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20.9</w:t>
            </w:r>
          </w:p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+10.4</w:t>
            </w:r>
          </w:p>
        </w:tc>
      </w:tr>
      <w:tr w:rsidR="00A001EB" w:rsidRPr="00A001EB" w:rsidTr="00A001EB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社会消费品零售总额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34.1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22.2</w:t>
            </w:r>
          </w:p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lastRenderedPageBreak/>
              <w:t> 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+11.7</w:t>
            </w:r>
          </w:p>
        </w:tc>
      </w:tr>
      <w:tr w:rsidR="00A001EB" w:rsidRPr="00A001EB" w:rsidTr="00A001EB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城镇居民人均可支配收入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14198元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10.3</w:t>
            </w:r>
          </w:p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+1.8</w:t>
            </w:r>
          </w:p>
        </w:tc>
      </w:tr>
      <w:tr w:rsidR="00A001EB" w:rsidRPr="00A001EB" w:rsidTr="00A001EB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农村居民人均可支配收入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7677元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15.6</w:t>
            </w:r>
          </w:p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1EB" w:rsidRPr="00A001EB" w:rsidRDefault="00A001EB" w:rsidP="00A001EB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EB">
              <w:rPr>
                <w:rFonts w:ascii="宋体" w:eastAsia="宋体" w:hAnsi="宋体" w:cs="宋体"/>
                <w:kern w:val="0"/>
                <w:sz w:val="24"/>
                <w:szCs w:val="24"/>
              </w:rPr>
              <w:t>+5.1</w:t>
            </w:r>
          </w:p>
        </w:tc>
      </w:tr>
    </w:tbl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1.地区生产总值。上半年，全县实现地区生产总值91.9亿元，同比增长12.3%，增幅比上年同期上升10.7个百分点，高于年初目标4.3个百分点。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53100" cy="3600450"/>
            <wp:effectExtent l="19050" t="0" r="0" b="0"/>
            <wp:docPr id="18" name="图表 10" descr="http://59.231.127.40:8004/website-webapp/common/preview_resource.action?id=f2dcb0aa5ccd4ef28a407968ca461c03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10" descr="http://59.231.127.40:8004/website-webapp/common/preview_resource.action?id=f2dcb0aa5ccd4ef28a407968ca461c03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53100" cy="3667125"/>
            <wp:effectExtent l="19050" t="0" r="0" b="0"/>
            <wp:docPr id="2" name="图表 22" descr="http://59.231.127.40:8004/website-webapp/common/preview_resource.action?id=4e79c61274d142cbac893c5dc5de4daf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22" descr="http://59.231.127.40:8004/website-webapp/common/preview_resource.action?id=4e79c61274d142cbac893c5dc5de4daf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2.农业生产。上半年，全县实现农林牧渔总产值28.15亿元，同比增长13.5%。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53100" cy="3829050"/>
            <wp:effectExtent l="19050" t="0" r="0" b="0"/>
            <wp:docPr id="3" name="图片 3" descr="http://59.231.127.40:8004/website-webapp/common/preview_resource.action?id=8df22276e4c145a5aebbb73740103229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9.231.127.40:8004/website-webapp/common/preview_resource.action?id=8df22276e4c145a5aebbb73740103229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lastRenderedPageBreak/>
        <w:t>3.规模以上工业。上半年，全县规模工业增加值同比增长14.3%，高于年初目标6.3个百分点。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62625" cy="3238500"/>
            <wp:effectExtent l="19050" t="0" r="9525" b="0"/>
            <wp:docPr id="4" name="图表 23" descr="http://59.231.127.40:8004/website-webapp/common/preview_resource.action?id=d549ae045369468a8d809c3f39ef5327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23" descr="http://59.231.127.40:8004/website-webapp/common/preview_resource.action?id=d549ae045369468a8d809c3f39ef5327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4.固定资产投资。上半年，全社会固定资产投资同比增长20.9%，高于年初目标10.4个百分点。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53100" cy="3381375"/>
            <wp:effectExtent l="19050" t="0" r="0" b="0"/>
            <wp:docPr id="5" name="图表 24" descr="http://59.231.127.40:8004/website-webapp/common/preview_resource.action?id=afc2786f558e4ec2bd29830b05301525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24" descr="http://59.231.127.40:8004/website-webapp/common/preview_resource.action?id=afc2786f558e4ec2bd29830b05301525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lastRenderedPageBreak/>
        <w:t>5.社会消费品零售总额。上半年，全县社会消费品零售总额完成34.1亿元，同比增长22.2%，高于年初目标11.7个百分点，低于全市平均水平3.8个百分点。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34050" cy="3343275"/>
            <wp:effectExtent l="19050" t="0" r="0" b="0"/>
            <wp:docPr id="6" name="图表 25" descr="http://59.231.127.40:8004/website-webapp/common/preview_resource.action?id=41cf9aefa1f842eb8f1a1c2b3fa52d2c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25" descr="http://59.231.127.40:8004/website-webapp/common/preview_resource.action?id=41cf9aefa1f842eb8f1a1c2b3fa52d2c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81650" cy="3676650"/>
            <wp:effectExtent l="19050" t="0" r="0" b="0"/>
            <wp:docPr id="7" name="图片 7" descr="http://59.231.127.40:8004/website-webapp/common/preview_resource.action?id=d3fefda610654b8eb0b25beaba15f47c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9.231.127.40:8004/website-webapp/common/preview_resource.action?id=d3fefda610654b8eb0b25beaba15f47c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lastRenderedPageBreak/>
        <w:t>6.地方财政收入。上半年，全县实现地方一般公共预算收入4.61亿元，同比增长18.7%，高于年初目标13.2个百分点。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53100" cy="3533775"/>
            <wp:effectExtent l="19050" t="0" r="0" b="0"/>
            <wp:docPr id="8" name="图表 27" descr="http://59.231.127.40:8004/website-webapp/common/preview_resource.action?id=06cf4a480fbc4181b613dd30bcce06bc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27" descr="http://59.231.127.40:8004/website-webapp/common/preview_resource.action?id=06cf4a480fbc4181b613dd30bcce06bc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7.居民人均可支配收入。上半年，全县实现城镇居民人均可支配收入14198元，比上年同期增加1326元，同比增长10.3%；农村居民人均可支配收入7677元，比上年同期增加1036元，同比增长15.6%。城乡居民收入差距进一步缩小，农村居民人均可支配收入增长快于城镇居民人均可支配收入5.3个百分点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53100" cy="3438525"/>
            <wp:effectExtent l="19050" t="0" r="0" b="0"/>
            <wp:docPr id="1" name="图表 28" descr="http://59.231.127.40:8004/website-webapp/common/preview_resource.action?id=2b73796d5e044b64b8e181586ce40aa5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28" descr="http://59.231.127.40:8004/website-webapp/common/preview_resource.action?id=2b73796d5e044b64b8e181586ce40aa5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二、主要短板问题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1.基础指标支撑难。上半年,实现地区生产总值91.9亿元，同比增长12.3%。虽增速较高，但从基础指标来看普遍较一季度有所回落，下降幅度较大的有规模以下工业增加值、住宿业营业额、餐饮业营业额、商品房销售面积、互联网和相关服务、软件和信息技术服务业营业收入等指标，分别下降24.7%、30.5%、16.3%、76.4%、23.4%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2.规模工业发展难。全县工业生产严峻的形势还在持续，94家规模以上工业企业全部属于小微企业，没有支柱型和链条型的大中型企业作为支撑点，抗风险能力较弱，增长比较困难。截至目前，全县没有新增1家工业企业入库，而现在已经停产的规模工业达到了7家，这7家企业的同期数比较大，让工业增长背上沉重包袱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3.项目投资增长难。主要是库存投资项目结构差，对房地产投资依赖程度过大，与国家对房地产的宏观调控趋势不符；新增项目少，通过多轮努力，符合入</w:t>
      </w:r>
      <w:r w:rsidRPr="00A001EB">
        <w:rPr>
          <w:rFonts w:ascii="宋体" w:eastAsia="宋体" w:hAnsi="宋体" w:cs="宋体"/>
          <w:kern w:val="0"/>
          <w:sz w:val="24"/>
          <w:szCs w:val="24"/>
        </w:rPr>
        <w:lastRenderedPageBreak/>
        <w:t>库条件的项目都已全部入库，缺少新增项目作为后备补充，无法支撑投资平稳增长。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4.数据质量提升难。质量是统计数据的生命线。国家、省、市各级统计部门十分重视，高度关注，监测严格。但从上半年的平台上报情况看，上级查询多，需要提供佐证材料多。比如商销面，要求统计平台数据与住建部门的网签数据相统一，而我县差距比较大。劳动工资总额涉及的9个行业21家单位，上级要求提供增资凭证，否则不予认定。全县33家商贸企业有19家增长速度都在同一个区间，被省统计局查询，直接影响了评估排名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三、当前形势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1.从大局看，经济下行的压力不会减。2021年，国内虽然在统筹抓好疫情防控和经济发展中取得重要成效，向世界展示了中国经济有足够韧性来应对各种不确定性，中国经济长期向好的基本面没有改变。但随着全球疫情的蔓延、国际政治格局的变化，发展中的各种不确定因素激增，对经济发展的影响，还远未触底。从今年国家公布的统计数据看，虽然增速很高，但两年平均测算，远低于以前年份。在这种大环境下，我们也将继续面临前所未有的压力、风险和挑战。</w:t>
      </w:r>
      <w:r w:rsidRPr="00A001EB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2.从考核看，经济发展的目标不会低。近年来，省、市将高质量发展列入绩效考核，制订了严格的考核细则，也明确了严格的奖惩机制。从各级2021年的政府工作报告中提出的经济发展目标看，增速比较快、要求比较高、任务比较重。此外，随着全面小康的实现，新的一整套高质量发展考核体系将开始实施，全市奋战开局年的考评、真抓实干的考核等等。各种考核叠加，将经济发展推向了更重要的位置，也提出了更高的要求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3.从监测看，数据质量的要求不会降。自2017年4月，国家统计局成立统计执法监督局以来，查处曝光各地统计违法案件20余起，对涉案人员的处理十分严厉。从近两年平台监测情况看，国家、省、市各级统计部门在每个月经济数</w:t>
      </w:r>
      <w:r w:rsidRPr="00A001EB">
        <w:rPr>
          <w:rFonts w:ascii="宋体" w:eastAsia="宋体" w:hAnsi="宋体" w:cs="宋体"/>
          <w:kern w:val="0"/>
          <w:sz w:val="24"/>
          <w:szCs w:val="24"/>
        </w:rPr>
        <w:lastRenderedPageBreak/>
        <w:t>据上报期，都对平台数据进行实时的严格监测，要求核实、说明、核减的企业比例非常高。去年的统计专项巡视，今年8月份国务院将对湖南开展的统计督察，对统计执法、数据质量都提出了严格要求。这些情况都充分说明，统计数据真实性上升到前所未有的高度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4.从县情看，实现增长的困难不会少。近几年，我县主要经济指标运行总体平稳，但由于指标基数较大、增长乏力、后劲不足，加之产业结构极不合理，一产占比居高不下，二产基础比较薄弱，三产总量整体偏小、比重较低、拉动力弱，部分指标质量不高，实现年度目标与提高数据质量的矛盾比较突出，需要各责任部门切实转观念、转方式，全力以赴做实做牢基础工作，推进经济高质量发展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四、工作建议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1.以大视野转变思想观念。建议各职能部门进一步强化责任意识、谋划意识、发展意识，按照实施“三高四新”战略的要求，对照县委、县政府确定的目标任务，拿出切实可行、具体详细的经济发展实施方案，把完成经济指标的重心前移，从单纯地抓平台数据上报，向优化营商环境、加大招商引资力度转变；从机械地分解数据任务，向提前申报、储备项目、挂拍土地，推进项目开工建设转变；从一味地依赖向上对接汇报，向培育“四上”企业、推进产业发展上转变，从源头上夯实经济发展的基础，加快经济发展的步伐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2.下大力气推进产业发展。在农业生产上紧扣溆浦特色，着力引进和培育龙头企业，推动农产品精深加工，延长产业链，促进农产品加工转化增值；在工业生产上，落实领导联系帮扶重点企业制度，稳定现有企业生产，培育支柱企业，新增规模企业，扎实推进工业转型升级。在刺激消费上，鼓励住宿餐饮业、大型商超提高服务水平，开展多元化营销活动，特别是利用节假日、双休日，加大促销力度，增加人流商气汇集，激发居民消费潜力，加快线上经济和线下经济的深入融合，进一步拉动商贸发展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lastRenderedPageBreak/>
        <w:t>3.花大功夫提升数据质量。坚持一手抓产业发展，一手抓数据质量，多方式全方位夯实数据质量基础。建议各部门从配齐配强分管领导和统计人员入手，加强经济指标统计口径、制度的钻研学习，依法设置原始记录、统计台帐和档案资料，认真执行联网直报制度，严禁代报、虚报、瞒报、漏报。做到既应报尽报、报实报足、颗粒归仓，又数出有据、匹配合理、真实可靠。</w:t>
      </w:r>
    </w:p>
    <w:p w:rsidR="00A001EB" w:rsidRPr="00A001EB" w:rsidRDefault="00A001EB" w:rsidP="00A001EB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001EB">
        <w:rPr>
          <w:rFonts w:ascii="宋体" w:eastAsia="宋体" w:hAnsi="宋体" w:cs="宋体"/>
          <w:kern w:val="0"/>
          <w:sz w:val="24"/>
          <w:szCs w:val="24"/>
        </w:rPr>
        <w:t>4.用大手笔加快入库步伐。按照“先入库再出数”的原则，把企业和项目入库作为重点工作来抓，不断增强发展后劲。</w:t>
      </w:r>
    </w:p>
    <w:p w:rsidR="004E47B8" w:rsidRPr="00A001EB" w:rsidRDefault="004E47B8" w:rsidP="00A001EB"/>
    <w:sectPr w:rsidR="004E47B8" w:rsidRPr="00A001EB" w:rsidSect="00ED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3E" w:rsidRDefault="00D37E3E" w:rsidP="00AE17D3">
      <w:r>
        <w:separator/>
      </w:r>
    </w:p>
  </w:endnote>
  <w:endnote w:type="continuationSeparator" w:id="1">
    <w:p w:rsidR="00D37E3E" w:rsidRDefault="00D37E3E" w:rsidP="00AE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3E" w:rsidRDefault="00D37E3E" w:rsidP="00AE17D3">
      <w:r>
        <w:separator/>
      </w:r>
    </w:p>
  </w:footnote>
  <w:footnote w:type="continuationSeparator" w:id="1">
    <w:p w:rsidR="00D37E3E" w:rsidRDefault="00D37E3E" w:rsidP="00AE1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7D3"/>
    <w:rsid w:val="00223FF8"/>
    <w:rsid w:val="00301549"/>
    <w:rsid w:val="00424AC3"/>
    <w:rsid w:val="004E47B8"/>
    <w:rsid w:val="005C05C3"/>
    <w:rsid w:val="00674307"/>
    <w:rsid w:val="006F67ED"/>
    <w:rsid w:val="00764BDD"/>
    <w:rsid w:val="0077450B"/>
    <w:rsid w:val="00862CB0"/>
    <w:rsid w:val="008649D2"/>
    <w:rsid w:val="00884BDA"/>
    <w:rsid w:val="0095414B"/>
    <w:rsid w:val="009A50E5"/>
    <w:rsid w:val="009A75B1"/>
    <w:rsid w:val="00A001EB"/>
    <w:rsid w:val="00AE17D3"/>
    <w:rsid w:val="00AF2A0B"/>
    <w:rsid w:val="00B239EA"/>
    <w:rsid w:val="00B550BD"/>
    <w:rsid w:val="00B57615"/>
    <w:rsid w:val="00B60EA6"/>
    <w:rsid w:val="00BD174F"/>
    <w:rsid w:val="00C54720"/>
    <w:rsid w:val="00CD5831"/>
    <w:rsid w:val="00CE1384"/>
    <w:rsid w:val="00CE46B2"/>
    <w:rsid w:val="00D37E3E"/>
    <w:rsid w:val="00D63DCC"/>
    <w:rsid w:val="00D759E0"/>
    <w:rsid w:val="00D86E3C"/>
    <w:rsid w:val="00DA117A"/>
    <w:rsid w:val="00DC7ED1"/>
    <w:rsid w:val="00E77E4B"/>
    <w:rsid w:val="00ED52CB"/>
    <w:rsid w:val="00F2041A"/>
    <w:rsid w:val="00F2646C"/>
    <w:rsid w:val="00F6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CB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D583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7D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7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D5831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264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64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26</cp:revision>
  <dcterms:created xsi:type="dcterms:W3CDTF">2023-10-24T23:27:00Z</dcterms:created>
  <dcterms:modified xsi:type="dcterms:W3CDTF">2023-10-24T23:46:00Z</dcterms:modified>
</cp:coreProperties>
</file>