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sidRPr="00FC7E89">
        <w:rPr>
          <w:rFonts w:ascii="宋体" w:eastAsia="宋体" w:hAnsi="宋体" w:cs="宋体"/>
          <w:kern w:val="0"/>
          <w:sz w:val="24"/>
          <w:szCs w:val="24"/>
        </w:rPr>
        <w:t>溆浦县统计局</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sidRPr="00FC7E89">
        <w:rPr>
          <w:rFonts w:ascii="宋体" w:eastAsia="宋体" w:hAnsi="宋体" w:cs="宋体"/>
          <w:kern w:val="0"/>
          <w:sz w:val="24"/>
          <w:szCs w:val="24"/>
        </w:rPr>
        <w:t>（2021年4月）</w:t>
      </w:r>
      <w:r w:rsidRPr="00FC7E89">
        <w:rPr>
          <w:rFonts w:ascii="MS Mincho" w:eastAsia="MS Mincho" w:hAnsi="MS Mincho" w:cs="MS Mincho" w:hint="eastAsia"/>
          <w:kern w:val="0"/>
          <w:sz w:val="24"/>
          <w:szCs w:val="24"/>
        </w:rPr>
        <w:t> </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今年以来，在县委、县政府的坚强领导下，全县上下坚持稳中求进工作总基调，围绕“三高四新”战略，凝心聚力、真抓实干，经济呈现持续恢复增长的良好态势。</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一、主要经济指标完成情况</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2021年一季度全县主要经济指标完成情况表</w:t>
      </w:r>
      <w:r w:rsidRPr="00FC7E89">
        <w:rPr>
          <w:rFonts w:ascii="MS Mincho" w:eastAsia="MS Mincho" w:hAnsi="MS Mincho" w:cs="MS Mincho" w:hint="eastAsia"/>
          <w:kern w:val="0"/>
          <w:sz w:val="24"/>
          <w:szCs w:val="24"/>
        </w:rPr>
        <w:t> </w:t>
      </w:r>
      <w:r w:rsidRPr="00FC7E89">
        <w:rPr>
          <w:rFonts w:ascii="宋体" w:eastAsia="宋体" w:hAnsi="宋体" w:cs="宋体"/>
          <w:kern w:val="0"/>
          <w:sz w:val="24"/>
          <w:szCs w:val="24"/>
        </w:rPr>
        <w:t xml:space="preserve"> </w:t>
      </w:r>
      <w:r w:rsidRPr="00FC7E89">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606"/>
        <w:gridCol w:w="1380"/>
        <w:gridCol w:w="1197"/>
        <w:gridCol w:w="1197"/>
        <w:gridCol w:w="948"/>
        <w:gridCol w:w="1038"/>
      </w:tblGrid>
      <w:tr w:rsidR="00FC7E89" w:rsidRPr="00FC7E89" w:rsidTr="00FC7E89">
        <w:tc>
          <w:tcPr>
            <w:tcW w:w="2940" w:type="dxa"/>
            <w:vMerge w:val="restart"/>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主要经济指标</w:t>
            </w:r>
          </w:p>
        </w:tc>
        <w:tc>
          <w:tcPr>
            <w:tcW w:w="2760" w:type="dxa"/>
            <w:gridSpan w:val="2"/>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一季度完成情况</w:t>
            </w:r>
          </w:p>
        </w:tc>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全市平均增速（%）</w:t>
            </w:r>
          </w:p>
        </w:tc>
        <w:tc>
          <w:tcPr>
            <w:tcW w:w="990" w:type="dxa"/>
            <w:vMerge w:val="restart"/>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与年初目标</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相比</w:t>
            </w:r>
          </w:p>
        </w:tc>
        <w:tc>
          <w:tcPr>
            <w:tcW w:w="1110" w:type="dxa"/>
            <w:vMerge w:val="restart"/>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与市平均水平相比</w:t>
            </w:r>
          </w:p>
        </w:tc>
      </w:tr>
      <w:tr w:rsidR="00FC7E89" w:rsidRPr="00FC7E89" w:rsidTr="00FC7E8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jc w:val="left"/>
              <w:rPr>
                <w:rFonts w:ascii="宋体" w:eastAsia="宋体" w:hAnsi="宋体" w:cs="宋体"/>
                <w:kern w:val="0"/>
                <w:sz w:val="24"/>
                <w:szCs w:val="24"/>
              </w:rPr>
            </w:pP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完成值</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（亿元）</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增速（%）</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jc w:val="left"/>
              <w:rPr>
                <w:rFonts w:ascii="宋体" w:eastAsia="宋体" w:hAnsi="宋体" w:cs="宋体"/>
                <w:kern w:val="0"/>
                <w:sz w:val="24"/>
                <w:szCs w:val="24"/>
              </w:rPr>
            </w:pP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地区生产总值</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43.44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15.6</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15.2</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+7.6</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+0.4</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地方财政收入</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2.97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16</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21.6</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+10.5</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-5.6</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规模以上工业增加值</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18.8</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18.8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+10.8</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持平</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固定资产投资</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23.9</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24.1</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+13.4</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-0.2</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社会消费品零售总额</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18.52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29.0</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31.9</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+18.5</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-2.9</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lastRenderedPageBreak/>
              <w:t>城镇居民人均可支配收入</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7364元</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10.4</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10.5</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+1.9</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-0.1</w:t>
            </w:r>
          </w:p>
        </w:tc>
      </w:tr>
      <w:tr w:rsidR="00FC7E89" w:rsidRPr="00FC7E89" w:rsidTr="00FC7E89">
        <w:tc>
          <w:tcPr>
            <w:tcW w:w="294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农村居民人均可支配收入</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4352元</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15.8</w:t>
            </w:r>
          </w:p>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MS Mincho" w:eastAsia="MS Mincho" w:hAnsi="MS Mincho" w:cs="MS Mincho" w:hint="eastAsia"/>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15.6</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+5.3</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C7E89" w:rsidRPr="00FC7E89" w:rsidRDefault="00FC7E89" w:rsidP="00FC7E89">
            <w:pPr>
              <w:widowControl/>
              <w:spacing w:before="100" w:beforeAutospacing="1" w:after="100" w:afterAutospacing="1" w:line="510" w:lineRule="atLeast"/>
              <w:rPr>
                <w:rFonts w:ascii="宋体" w:eastAsia="宋体" w:hAnsi="宋体" w:cs="宋体"/>
                <w:kern w:val="0"/>
                <w:sz w:val="24"/>
                <w:szCs w:val="24"/>
              </w:rPr>
            </w:pPr>
            <w:r w:rsidRPr="00FC7E89">
              <w:rPr>
                <w:rFonts w:ascii="宋体" w:eastAsia="宋体" w:hAnsi="宋体" w:cs="宋体"/>
                <w:kern w:val="0"/>
                <w:sz w:val="24"/>
                <w:szCs w:val="24"/>
              </w:rPr>
              <w:t>0.2</w:t>
            </w:r>
          </w:p>
        </w:tc>
      </w:tr>
    </w:tbl>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MS Mincho" w:eastAsia="MS Mincho" w:hAnsi="MS Mincho" w:cs="MS Mincho" w:hint="eastAsia"/>
          <w:kern w:val="0"/>
          <w:sz w:val="24"/>
          <w:szCs w:val="24"/>
        </w:rPr>
        <w:t> </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1.地区生产总值。一季度，全县实现地区生产总值43.44亿元，同比增长15.6%，增幅比上年同期上升16.4个百分点，高于年初目标7.6个百分点 。</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72150" cy="3533775"/>
            <wp:effectExtent l="19050" t="0" r="0" b="0"/>
            <wp:docPr id="17" name="图表 2" descr="http://59.231.127.40:8004/website-webapp/common/preview_resource.action?id=cfc2b0ffe1b9490192b2fad0c3151d32&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2" descr="http://59.231.127.40:8004/website-webapp/common/preview_resource.action?id=cfc2b0ffe1b9490192b2fad0c3151d32&amp;type=png&amp;jcrVer=1.0"/>
                    <pic:cNvPicPr>
                      <a:picLocks noChangeAspect="1" noChangeArrowheads="1"/>
                    </pic:cNvPicPr>
                  </pic:nvPicPr>
                  <pic:blipFill>
                    <a:blip r:embed="rId6"/>
                    <a:srcRect/>
                    <a:stretch>
                      <a:fillRect/>
                    </a:stretch>
                  </pic:blipFill>
                  <pic:spPr bwMode="auto">
                    <a:xfrm>
                      <a:off x="0" y="0"/>
                      <a:ext cx="5772150" cy="353377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753100" cy="3743325"/>
            <wp:effectExtent l="19050" t="0" r="0" b="0"/>
            <wp:docPr id="16" name="图表 3" descr="http://59.231.127.40:8004/website-webapp/common/preview_resource.action?id=b36bf1296cdf422ebe87296a36305ac7&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3" descr="http://59.231.127.40:8004/website-webapp/common/preview_resource.action?id=b36bf1296cdf422ebe87296a36305ac7&amp;type=png&amp;jcrVer=1.0"/>
                    <pic:cNvPicPr>
                      <a:picLocks noChangeAspect="1" noChangeArrowheads="1"/>
                    </pic:cNvPicPr>
                  </pic:nvPicPr>
                  <pic:blipFill>
                    <a:blip r:embed="rId7"/>
                    <a:srcRect/>
                    <a:stretch>
                      <a:fillRect/>
                    </a:stretch>
                  </pic:blipFill>
                  <pic:spPr bwMode="auto">
                    <a:xfrm>
                      <a:off x="0" y="0"/>
                      <a:ext cx="5753100" cy="374332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2.农业生产。一季度，全县实现农林牧渔总产值16.61亿元，同比增长14.1%。</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067425" cy="3781425"/>
            <wp:effectExtent l="19050" t="0" r="9525" b="0"/>
            <wp:docPr id="15" name="图表 10" descr="http://59.231.127.40:8004/website-webapp/common/preview_resource.action?id=0161fae390dc498792393af38175f7e2&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0" descr="http://59.231.127.40:8004/website-webapp/common/preview_resource.action?id=0161fae390dc498792393af38175f7e2&amp;type=png&amp;jcrVer=1.0"/>
                    <pic:cNvPicPr>
                      <a:picLocks noChangeAspect="1" noChangeArrowheads="1"/>
                    </pic:cNvPicPr>
                  </pic:nvPicPr>
                  <pic:blipFill>
                    <a:blip r:embed="rId8"/>
                    <a:srcRect/>
                    <a:stretch>
                      <a:fillRect/>
                    </a:stretch>
                  </pic:blipFill>
                  <pic:spPr bwMode="auto">
                    <a:xfrm>
                      <a:off x="0" y="0"/>
                      <a:ext cx="6067425" cy="378142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lastRenderedPageBreak/>
        <w:t>3.规模以上工业。一季度，全县规模工业增加值同比增长18.8%，高于年初目标10.8个百分点 。</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53100" cy="3171825"/>
            <wp:effectExtent l="19050" t="0" r="0" b="0"/>
            <wp:docPr id="14" name="图表 4" descr="http://59.231.127.40:8004/website-webapp/common/preview_resource.action?id=eb32b154615b43e383703482514845b3&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4" descr="http://59.231.127.40:8004/website-webapp/common/preview_resource.action?id=eb32b154615b43e383703482514845b3&amp;type=png&amp;jcrVer=1.0"/>
                    <pic:cNvPicPr>
                      <a:picLocks noChangeAspect="1" noChangeArrowheads="1"/>
                    </pic:cNvPicPr>
                  </pic:nvPicPr>
                  <pic:blipFill>
                    <a:blip r:embed="rId9"/>
                    <a:srcRect/>
                    <a:stretch>
                      <a:fillRect/>
                    </a:stretch>
                  </pic:blipFill>
                  <pic:spPr bwMode="auto">
                    <a:xfrm>
                      <a:off x="0" y="0"/>
                      <a:ext cx="5753100" cy="317182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4.固定资产投资。一季度，全社会固定资产投资同比增长23.9%，高于年初目标13.4个百分点 。</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838825" cy="3314700"/>
            <wp:effectExtent l="19050" t="0" r="9525" b="0"/>
            <wp:docPr id="13" name="图表 5" descr="http://59.231.127.40:8004/website-webapp/common/preview_resource.action?id=54cc1cd75e4643b293293af781cab9cf&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5" descr="http://59.231.127.40:8004/website-webapp/common/preview_resource.action?id=54cc1cd75e4643b293293af781cab9cf&amp;type=png&amp;jcrVer=1.0"/>
                    <pic:cNvPicPr>
                      <a:picLocks noChangeAspect="1" noChangeArrowheads="1"/>
                    </pic:cNvPicPr>
                  </pic:nvPicPr>
                  <pic:blipFill>
                    <a:blip r:embed="rId10"/>
                    <a:srcRect/>
                    <a:stretch>
                      <a:fillRect/>
                    </a:stretch>
                  </pic:blipFill>
                  <pic:spPr bwMode="auto">
                    <a:xfrm>
                      <a:off x="0" y="0"/>
                      <a:ext cx="5838825" cy="3314700"/>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lastRenderedPageBreak/>
        <w:t>5.社会消费品零售总额。一季度，全县社会消费品零售总额完成18.52亿元，同比增长29.0%，高于年初目标18.5个百分点 。</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62625" cy="3267075"/>
            <wp:effectExtent l="19050" t="0" r="9525" b="0"/>
            <wp:docPr id="12" name="图表 6" descr="http://59.231.127.40:8004/website-webapp/common/preview_resource.action?id=17041a53905548738aba7293ae93e71e&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6" descr="http://59.231.127.40:8004/website-webapp/common/preview_resource.action?id=17041a53905548738aba7293ae93e71e&amp;type=png&amp;jcrVer=1.0"/>
                    <pic:cNvPicPr>
                      <a:picLocks noChangeAspect="1" noChangeArrowheads="1"/>
                    </pic:cNvPicPr>
                  </pic:nvPicPr>
                  <pic:blipFill>
                    <a:blip r:embed="rId11"/>
                    <a:srcRect/>
                    <a:stretch>
                      <a:fillRect/>
                    </a:stretch>
                  </pic:blipFill>
                  <pic:spPr bwMode="auto">
                    <a:xfrm>
                      <a:off x="0" y="0"/>
                      <a:ext cx="5762625" cy="326707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72150" cy="3638550"/>
            <wp:effectExtent l="19050" t="0" r="0" b="0"/>
            <wp:docPr id="11" name="图表 7" descr="http://59.231.127.40:8004/website-webapp/common/preview_resource.action?id=60c35db0c77c4e44a8bad67f4574094a&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7" descr="http://59.231.127.40:8004/website-webapp/common/preview_resource.action?id=60c35db0c77c4e44a8bad67f4574094a&amp;type=png&amp;jcrVer=1.0"/>
                    <pic:cNvPicPr>
                      <a:picLocks noChangeAspect="1" noChangeArrowheads="1"/>
                    </pic:cNvPicPr>
                  </pic:nvPicPr>
                  <pic:blipFill>
                    <a:blip r:embed="rId12"/>
                    <a:srcRect/>
                    <a:stretch>
                      <a:fillRect/>
                    </a:stretch>
                  </pic:blipFill>
                  <pic:spPr bwMode="auto">
                    <a:xfrm>
                      <a:off x="0" y="0"/>
                      <a:ext cx="5772150" cy="3638550"/>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lastRenderedPageBreak/>
        <w:t>6.地方财政收入。一季度，全县实现地方公共收入2.97亿元，同比增长16.0%，高于年初目标10.5个百分点 。</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53100" cy="3552825"/>
            <wp:effectExtent l="19050" t="0" r="0" b="0"/>
            <wp:docPr id="10" name="图表 8" descr="http://59.231.127.40:8004/website-webapp/common/preview_resource.action?id=80cdce4042bf41daa453991f73687af9&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8" descr="http://59.231.127.40:8004/website-webapp/common/preview_resource.action?id=80cdce4042bf41daa453991f73687af9&amp;type=png&amp;jcrVer=1.0"/>
                    <pic:cNvPicPr>
                      <a:picLocks noChangeAspect="1" noChangeArrowheads="1"/>
                    </pic:cNvPicPr>
                  </pic:nvPicPr>
                  <pic:blipFill>
                    <a:blip r:embed="rId13"/>
                    <a:srcRect/>
                    <a:stretch>
                      <a:fillRect/>
                    </a:stretch>
                  </pic:blipFill>
                  <pic:spPr bwMode="auto">
                    <a:xfrm>
                      <a:off x="0" y="0"/>
                      <a:ext cx="5753100" cy="355282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7.居民可支配收入。一季度，全县实现城镇居民人均可支配收入7364元，比上年同期增加694元，同比增长10.4% ；农村居民人均可支配收入4352元，比上年同期增加594元，同比增长15.8% 。城乡居民收入差距进一步缩小，农村居民人均可支配收入增长快于城镇居民人均可支配收入5.4个百分点。</w:t>
      </w:r>
    </w:p>
    <w:p w:rsidR="00FC7E89" w:rsidRPr="00FC7E89" w:rsidRDefault="00FC7E89" w:rsidP="00FC7E89">
      <w:pPr>
        <w:widowControl/>
        <w:spacing w:before="100" w:beforeAutospacing="1" w:after="100" w:afterAutospacing="1" w:line="510" w:lineRule="atLeast"/>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695950" cy="4048125"/>
            <wp:effectExtent l="19050" t="0" r="0" b="0"/>
            <wp:docPr id="9" name="图表 9" descr="http://59.231.127.40:8004/website-webapp/common/preview_resource.action?id=faa73d01b9804a36b282458b8c8fca91&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9" descr="http://59.231.127.40:8004/website-webapp/common/preview_resource.action?id=faa73d01b9804a36b282458b8c8fca91&amp;type=png&amp;jcrVer=1.0"/>
                    <pic:cNvPicPr>
                      <a:picLocks noChangeAspect="1" noChangeArrowheads="1"/>
                    </pic:cNvPicPr>
                  </pic:nvPicPr>
                  <pic:blipFill>
                    <a:blip r:embed="rId14"/>
                    <a:srcRect/>
                    <a:stretch>
                      <a:fillRect/>
                    </a:stretch>
                  </pic:blipFill>
                  <pic:spPr bwMode="auto">
                    <a:xfrm>
                      <a:off x="0" y="0"/>
                      <a:ext cx="5695950" cy="4048125"/>
                    </a:xfrm>
                    <a:prstGeom prst="rect">
                      <a:avLst/>
                    </a:prstGeom>
                    <a:noFill/>
                    <a:ln w="9525">
                      <a:noFill/>
                      <a:miter lim="800000"/>
                      <a:headEnd/>
                      <a:tailEnd/>
                    </a:ln>
                  </pic:spPr>
                </pic:pic>
              </a:graphicData>
            </a:graphic>
          </wp:inline>
        </w:drawing>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二、主要短板和问题</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1.基础支撑不全面。一季度,实现地区生产总值43.44亿元，同比增长15.6%。虽增速较高，但从基础指标来看，仍有餐饮业营业额、邮政行业业务总量、租赁和商务服务业营业收入、科学研究与技术服务业工资总额、文化、体育和娱乐业营业收入、教育工资总额、卫生和社会工作工资总额、装卸搬运和仓储业营业收入、科学研究和技术服务业营业收入、居民服务、修理和其他服务业营业收入等指标低于全市平均水平，其中装卸搬运和仓储业营业收入、科学研究和技术服务业营业收入、居民服务、修理和其他服务业营业收入指标我县为空白，需相关职能部门认真筛选，加快企业入库，填补空缺。</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2.农业发展不均衡。主要是农业经济结构不够合理，从农业总产值结构中可以看出，我县农业过于依靠生猪养殖，占农业总产值的52%，一旦受到影响，就会造成农业增速的波动。同时，传统的农业生产观念和生产方式根深蒂固，习惯</w:t>
      </w:r>
      <w:r w:rsidRPr="00FC7E89">
        <w:rPr>
          <w:rFonts w:ascii="宋体" w:eastAsia="宋体" w:hAnsi="宋体" w:cs="宋体"/>
          <w:kern w:val="0"/>
          <w:sz w:val="24"/>
          <w:szCs w:val="24"/>
        </w:rPr>
        <w:lastRenderedPageBreak/>
        <w:t>小而全，多而杂的生产方式，农业规模化、标准化水平低，龙头企业数量少，规模不大，农产品附加值不高，工业反哺农业和带动产业发展能力较弱。此外，农业创新意识不强，农村科技人员少，科技服务水平不高，地域优势没有完全显现出来，农业产品经济利润低，本地特色的品牌少。</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3.工业基础不牢固。全县规模以上工业增加值同比能够增长18.8%，主要是去年同期受疫情影响基数低的原因，目前我县工业生产形势依然严峻，主要表现在：一是结构不优，对硅砂和石材过于依赖，硅砂和石材是我县的主导产业，占工业总产值的比重近30%，该产业受环保、续证等问题的影响，部分企业已经是停产状态，对工业经济增长波动很大。二是园区企业拉动力有限，目前园区规模以工业企业只有29家，增加值占工业增加值总量36.0%，拉动力有限。三是高新技术产业少，真正研发投入的企业少，具备产品竞争力的企业更少，给我县工业经济高质量发展带来一定的困难。</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4.三产贡献不持续。主要表现在两个方面：一是服务业结构不合理。一季度全县服务业增加值占地区生产总值的62.8%，是推动全县经济发展的主动力。服务业增加值中水利、环境和公共设施管理业、教育、卫生和社会工作、公共管理、社会保障和社会组织四个非营利性服务行业增加值占其他服务业80.1%，四个非营利性服务业行业增加值增长的主要动力来源是行政、事业单位人员的增资。而全县交通运输、批发零售、住宿餐饮等传统服务业规模不大、竞争力不强，发展速度缓慢，对经济发展的支撑和贡献偏低，新兴的现代服务业发展滞后，以文化旅游为主体的现代服务业正处在发展壮大阶段，外来消费仍然不足，短时间内还难以形成新的强劲的经济增长极。二是消费势头不够强。全县消费市场虽然持续回暖，但回升力度有限。网络经济的冲击越来越大，而我县又没有大型的网络销售平台支撑，影响消费市场的繁荣发展。</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5.投资后劲不充足。主要表现在重大项目储备严重不足，2021年5000万以上的项目仅 24个，5000万以上的项目仅 18 个，1-4月份，仅新入库项目4个。</w:t>
      </w:r>
      <w:r w:rsidRPr="00FC7E89">
        <w:rPr>
          <w:rFonts w:ascii="宋体" w:eastAsia="宋体" w:hAnsi="宋体" w:cs="宋体"/>
          <w:kern w:val="0"/>
          <w:sz w:val="24"/>
          <w:szCs w:val="24"/>
        </w:rPr>
        <w:lastRenderedPageBreak/>
        <w:t>其中溆浦县便民服务提升改造一期工程等项目因资金链断裂等原因一直停工停产。同时，项目入库进度缓慢。</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三、下段工作建议</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1.抓实农业生产。因地制宜，结合地理、气候等特点，选准产业，紧扣溆浦特色，打造绿色生态健康的农产品品牌。加快集中畜禽养殖和污染物排放治理，引导养殖户合理调整养殖结构，逐渐让畜牧养殖走向标准化生产模式。认真落实农业产业化发展的各项扶持政策，着力引进和培育龙头企业，推动农产品精深加工，延长产业链，促进农产品加工转化增值。大力推广农业实用技术，加强农业科技服务水平，培养一批农业科技人才。</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2.夯实工业基础。重点关注石材、硅砂等行业，深入了解企业生产经营状况，及时帮助企业解决因环保、续证等问题给企业带来的困难，尽早恢复正常生产。同时，加快产业园区招商力度和基础建设，引进一些竞争力强的企业，形成以园区为中心的经济区域。加快推进签约项目投产见效，大力发展高端消费品制造业，扎实推进工业转型升级。</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3.挖掘消费潜力。鼓励开展各类促销活动，充分发挥重点零售企业作用，创新形式开展消费博览会、美食消费节、家电消费节、汽车消费节以及围绕重点节假日开展系列促进消费活动，进一步拉动商贸发展。优化居民消费环境，促进文化旅游、住宿餐饮等行业快速发展，培育新兴消费、健康消费等消费热点，鼓励夜间经济、社会生活服务业等产业发展。</w:t>
      </w:r>
    </w:p>
    <w:p w:rsidR="00FC7E89" w:rsidRPr="00FC7E89" w:rsidRDefault="00FC7E89" w:rsidP="00FC7E89">
      <w:pPr>
        <w:widowControl/>
        <w:spacing w:before="100" w:beforeAutospacing="1" w:after="100" w:afterAutospacing="1" w:line="510" w:lineRule="atLeast"/>
        <w:ind w:firstLine="480"/>
        <w:rPr>
          <w:rFonts w:ascii="宋体" w:eastAsia="宋体" w:hAnsi="宋体" w:cs="宋体"/>
          <w:kern w:val="0"/>
          <w:sz w:val="24"/>
          <w:szCs w:val="24"/>
        </w:rPr>
      </w:pPr>
      <w:r w:rsidRPr="00FC7E89">
        <w:rPr>
          <w:rFonts w:ascii="宋体" w:eastAsia="宋体" w:hAnsi="宋体" w:cs="宋体"/>
          <w:kern w:val="0"/>
          <w:sz w:val="24"/>
          <w:szCs w:val="24"/>
        </w:rPr>
        <w:t>4.增强投资后劲。加大项目谋划储备力度，争取更多政策、项目和资金支持。优化项目建设环境，对正在审批的项目，加快推进前期工作，尽快完成各项审批手续；对尚未报批的项目，积极指导，尽快完善审批核准条件。对未开工的项目，要全面摸清、及时掌握前期工作进展情况，争取尽早开工。对开工在建项目，要在确保工程质量、安全的前提下，合理安排工期，加快施工进度，加快财务支出，</w:t>
      </w:r>
      <w:r w:rsidRPr="00FC7E89">
        <w:rPr>
          <w:rFonts w:ascii="宋体" w:eastAsia="宋体" w:hAnsi="宋体" w:cs="宋体"/>
          <w:kern w:val="0"/>
          <w:sz w:val="24"/>
          <w:szCs w:val="24"/>
        </w:rPr>
        <w:lastRenderedPageBreak/>
        <w:t>尽快形成有效投资。同时，加快投资项目统计入库，项目主管部门要对照投资项目统计入库标准，及时将资料提交审核，使符合条件的项目及时入库统计。</w:t>
      </w:r>
    </w:p>
    <w:p w:rsidR="004E47B8" w:rsidRPr="00FC7E89" w:rsidRDefault="004E47B8" w:rsidP="00FC7E89"/>
    <w:sectPr w:rsidR="004E47B8" w:rsidRPr="00FC7E89" w:rsidSect="00ED5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34" w:rsidRDefault="00A35D34" w:rsidP="00AE17D3">
      <w:r>
        <w:separator/>
      </w:r>
    </w:p>
  </w:endnote>
  <w:endnote w:type="continuationSeparator" w:id="1">
    <w:p w:rsidR="00A35D34" w:rsidRDefault="00A35D34" w:rsidP="00AE1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34" w:rsidRDefault="00A35D34" w:rsidP="00AE17D3">
      <w:r>
        <w:separator/>
      </w:r>
    </w:p>
  </w:footnote>
  <w:footnote w:type="continuationSeparator" w:id="1">
    <w:p w:rsidR="00A35D34" w:rsidRDefault="00A35D34" w:rsidP="00AE1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7D3"/>
    <w:rsid w:val="00223FF8"/>
    <w:rsid w:val="00301549"/>
    <w:rsid w:val="00424AC3"/>
    <w:rsid w:val="004E47B8"/>
    <w:rsid w:val="005C05C3"/>
    <w:rsid w:val="00674307"/>
    <w:rsid w:val="006F67ED"/>
    <w:rsid w:val="00764BDD"/>
    <w:rsid w:val="0077450B"/>
    <w:rsid w:val="00862CB0"/>
    <w:rsid w:val="008649D2"/>
    <w:rsid w:val="00884BDA"/>
    <w:rsid w:val="0095414B"/>
    <w:rsid w:val="009A50E5"/>
    <w:rsid w:val="009A75B1"/>
    <w:rsid w:val="00A001EB"/>
    <w:rsid w:val="00A35D34"/>
    <w:rsid w:val="00AE17D3"/>
    <w:rsid w:val="00AF2A0B"/>
    <w:rsid w:val="00B239EA"/>
    <w:rsid w:val="00B422DE"/>
    <w:rsid w:val="00B550BD"/>
    <w:rsid w:val="00B57615"/>
    <w:rsid w:val="00B60EA6"/>
    <w:rsid w:val="00BD174F"/>
    <w:rsid w:val="00C54720"/>
    <w:rsid w:val="00CD5831"/>
    <w:rsid w:val="00CE1384"/>
    <w:rsid w:val="00CE46B2"/>
    <w:rsid w:val="00D37E3E"/>
    <w:rsid w:val="00D63DCC"/>
    <w:rsid w:val="00D759E0"/>
    <w:rsid w:val="00D86E3C"/>
    <w:rsid w:val="00DA117A"/>
    <w:rsid w:val="00DC7ED1"/>
    <w:rsid w:val="00E77E4B"/>
    <w:rsid w:val="00ED52CB"/>
    <w:rsid w:val="00F2041A"/>
    <w:rsid w:val="00F2646C"/>
    <w:rsid w:val="00F6696C"/>
    <w:rsid w:val="00FC7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CB"/>
    <w:pPr>
      <w:widowControl w:val="0"/>
      <w:jc w:val="both"/>
    </w:pPr>
  </w:style>
  <w:style w:type="paragraph" w:styleId="4">
    <w:name w:val="heading 4"/>
    <w:basedOn w:val="a"/>
    <w:link w:val="4Char"/>
    <w:uiPriority w:val="9"/>
    <w:qFormat/>
    <w:rsid w:val="00CD583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7D3"/>
    <w:rPr>
      <w:sz w:val="18"/>
      <w:szCs w:val="18"/>
    </w:rPr>
  </w:style>
  <w:style w:type="paragraph" w:styleId="a4">
    <w:name w:val="footer"/>
    <w:basedOn w:val="a"/>
    <w:link w:val="Char0"/>
    <w:uiPriority w:val="99"/>
    <w:semiHidden/>
    <w:unhideWhenUsed/>
    <w:rsid w:val="00AE17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7D3"/>
    <w:rPr>
      <w:sz w:val="18"/>
      <w:szCs w:val="18"/>
    </w:rPr>
  </w:style>
  <w:style w:type="paragraph" w:styleId="a5">
    <w:name w:val="Normal (Web)"/>
    <w:basedOn w:val="a"/>
    <w:uiPriority w:val="99"/>
    <w:unhideWhenUsed/>
    <w:rsid w:val="00AE17D3"/>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CD5831"/>
    <w:rPr>
      <w:rFonts w:ascii="宋体" w:eastAsia="宋体" w:hAnsi="宋体" w:cs="宋体"/>
      <w:b/>
      <w:bCs/>
      <w:kern w:val="0"/>
      <w:sz w:val="24"/>
      <w:szCs w:val="24"/>
    </w:rPr>
  </w:style>
  <w:style w:type="paragraph" w:styleId="a6">
    <w:name w:val="Balloon Text"/>
    <w:basedOn w:val="a"/>
    <w:link w:val="Char1"/>
    <w:uiPriority w:val="99"/>
    <w:semiHidden/>
    <w:unhideWhenUsed/>
    <w:rsid w:val="00F2646C"/>
    <w:rPr>
      <w:sz w:val="18"/>
      <w:szCs w:val="18"/>
    </w:rPr>
  </w:style>
  <w:style w:type="character" w:customStyle="1" w:styleId="Char1">
    <w:name w:val="批注框文本 Char"/>
    <w:basedOn w:val="a0"/>
    <w:link w:val="a6"/>
    <w:uiPriority w:val="99"/>
    <w:semiHidden/>
    <w:rsid w:val="00F2646C"/>
    <w:rPr>
      <w:sz w:val="18"/>
      <w:szCs w:val="18"/>
    </w:rPr>
  </w:style>
</w:styles>
</file>

<file path=word/webSettings.xml><?xml version="1.0" encoding="utf-8"?>
<w:webSettings xmlns:r="http://schemas.openxmlformats.org/officeDocument/2006/relationships" xmlns:w="http://schemas.openxmlformats.org/wordprocessingml/2006/main">
  <w:divs>
    <w:div w:id="201407274">
      <w:bodyDiv w:val="1"/>
      <w:marLeft w:val="0"/>
      <w:marRight w:val="0"/>
      <w:marTop w:val="0"/>
      <w:marBottom w:val="0"/>
      <w:divBdr>
        <w:top w:val="none" w:sz="0" w:space="0" w:color="auto"/>
        <w:left w:val="none" w:sz="0" w:space="0" w:color="auto"/>
        <w:bottom w:val="none" w:sz="0" w:space="0" w:color="auto"/>
        <w:right w:val="none" w:sz="0" w:space="0" w:color="auto"/>
      </w:divBdr>
    </w:div>
    <w:div w:id="203635827">
      <w:bodyDiv w:val="1"/>
      <w:marLeft w:val="0"/>
      <w:marRight w:val="0"/>
      <w:marTop w:val="0"/>
      <w:marBottom w:val="0"/>
      <w:divBdr>
        <w:top w:val="none" w:sz="0" w:space="0" w:color="auto"/>
        <w:left w:val="none" w:sz="0" w:space="0" w:color="auto"/>
        <w:bottom w:val="none" w:sz="0" w:space="0" w:color="auto"/>
        <w:right w:val="none" w:sz="0" w:space="0" w:color="auto"/>
      </w:divBdr>
    </w:div>
    <w:div w:id="394742522">
      <w:bodyDiv w:val="1"/>
      <w:marLeft w:val="0"/>
      <w:marRight w:val="0"/>
      <w:marTop w:val="0"/>
      <w:marBottom w:val="0"/>
      <w:divBdr>
        <w:top w:val="none" w:sz="0" w:space="0" w:color="auto"/>
        <w:left w:val="none" w:sz="0" w:space="0" w:color="auto"/>
        <w:bottom w:val="none" w:sz="0" w:space="0" w:color="auto"/>
        <w:right w:val="none" w:sz="0" w:space="0" w:color="auto"/>
      </w:divBdr>
    </w:div>
    <w:div w:id="410154213">
      <w:bodyDiv w:val="1"/>
      <w:marLeft w:val="0"/>
      <w:marRight w:val="0"/>
      <w:marTop w:val="0"/>
      <w:marBottom w:val="0"/>
      <w:divBdr>
        <w:top w:val="none" w:sz="0" w:space="0" w:color="auto"/>
        <w:left w:val="none" w:sz="0" w:space="0" w:color="auto"/>
        <w:bottom w:val="none" w:sz="0" w:space="0" w:color="auto"/>
        <w:right w:val="none" w:sz="0" w:space="0" w:color="auto"/>
      </w:divBdr>
    </w:div>
    <w:div w:id="611673139">
      <w:bodyDiv w:val="1"/>
      <w:marLeft w:val="0"/>
      <w:marRight w:val="0"/>
      <w:marTop w:val="0"/>
      <w:marBottom w:val="0"/>
      <w:divBdr>
        <w:top w:val="none" w:sz="0" w:space="0" w:color="auto"/>
        <w:left w:val="none" w:sz="0" w:space="0" w:color="auto"/>
        <w:bottom w:val="none" w:sz="0" w:space="0" w:color="auto"/>
        <w:right w:val="none" w:sz="0" w:space="0" w:color="auto"/>
      </w:divBdr>
    </w:div>
    <w:div w:id="650014291">
      <w:bodyDiv w:val="1"/>
      <w:marLeft w:val="0"/>
      <w:marRight w:val="0"/>
      <w:marTop w:val="0"/>
      <w:marBottom w:val="0"/>
      <w:divBdr>
        <w:top w:val="none" w:sz="0" w:space="0" w:color="auto"/>
        <w:left w:val="none" w:sz="0" w:space="0" w:color="auto"/>
        <w:bottom w:val="none" w:sz="0" w:space="0" w:color="auto"/>
        <w:right w:val="none" w:sz="0" w:space="0" w:color="auto"/>
      </w:divBdr>
    </w:div>
    <w:div w:id="663970767">
      <w:bodyDiv w:val="1"/>
      <w:marLeft w:val="0"/>
      <w:marRight w:val="0"/>
      <w:marTop w:val="0"/>
      <w:marBottom w:val="0"/>
      <w:divBdr>
        <w:top w:val="none" w:sz="0" w:space="0" w:color="auto"/>
        <w:left w:val="none" w:sz="0" w:space="0" w:color="auto"/>
        <w:bottom w:val="none" w:sz="0" w:space="0" w:color="auto"/>
        <w:right w:val="none" w:sz="0" w:space="0" w:color="auto"/>
      </w:divBdr>
    </w:div>
    <w:div w:id="853685529">
      <w:bodyDiv w:val="1"/>
      <w:marLeft w:val="0"/>
      <w:marRight w:val="0"/>
      <w:marTop w:val="0"/>
      <w:marBottom w:val="0"/>
      <w:divBdr>
        <w:top w:val="none" w:sz="0" w:space="0" w:color="auto"/>
        <w:left w:val="none" w:sz="0" w:space="0" w:color="auto"/>
        <w:bottom w:val="none" w:sz="0" w:space="0" w:color="auto"/>
        <w:right w:val="none" w:sz="0" w:space="0" w:color="auto"/>
      </w:divBdr>
    </w:div>
    <w:div w:id="888078815">
      <w:bodyDiv w:val="1"/>
      <w:marLeft w:val="0"/>
      <w:marRight w:val="0"/>
      <w:marTop w:val="0"/>
      <w:marBottom w:val="0"/>
      <w:divBdr>
        <w:top w:val="none" w:sz="0" w:space="0" w:color="auto"/>
        <w:left w:val="none" w:sz="0" w:space="0" w:color="auto"/>
        <w:bottom w:val="none" w:sz="0" w:space="0" w:color="auto"/>
        <w:right w:val="none" w:sz="0" w:space="0" w:color="auto"/>
      </w:divBdr>
    </w:div>
    <w:div w:id="908078347">
      <w:bodyDiv w:val="1"/>
      <w:marLeft w:val="0"/>
      <w:marRight w:val="0"/>
      <w:marTop w:val="0"/>
      <w:marBottom w:val="0"/>
      <w:divBdr>
        <w:top w:val="none" w:sz="0" w:space="0" w:color="auto"/>
        <w:left w:val="none" w:sz="0" w:space="0" w:color="auto"/>
        <w:bottom w:val="none" w:sz="0" w:space="0" w:color="auto"/>
        <w:right w:val="none" w:sz="0" w:space="0" w:color="auto"/>
      </w:divBdr>
    </w:div>
    <w:div w:id="1305350160">
      <w:bodyDiv w:val="1"/>
      <w:marLeft w:val="0"/>
      <w:marRight w:val="0"/>
      <w:marTop w:val="0"/>
      <w:marBottom w:val="0"/>
      <w:divBdr>
        <w:top w:val="none" w:sz="0" w:space="0" w:color="auto"/>
        <w:left w:val="none" w:sz="0" w:space="0" w:color="auto"/>
        <w:bottom w:val="none" w:sz="0" w:space="0" w:color="auto"/>
        <w:right w:val="none" w:sz="0" w:space="0" w:color="auto"/>
      </w:divBdr>
    </w:div>
    <w:div w:id="1460613940">
      <w:bodyDiv w:val="1"/>
      <w:marLeft w:val="0"/>
      <w:marRight w:val="0"/>
      <w:marTop w:val="0"/>
      <w:marBottom w:val="0"/>
      <w:divBdr>
        <w:top w:val="none" w:sz="0" w:space="0" w:color="auto"/>
        <w:left w:val="none" w:sz="0" w:space="0" w:color="auto"/>
        <w:bottom w:val="none" w:sz="0" w:space="0" w:color="auto"/>
        <w:right w:val="none" w:sz="0" w:space="0" w:color="auto"/>
      </w:divBdr>
    </w:div>
    <w:div w:id="1615286290">
      <w:bodyDiv w:val="1"/>
      <w:marLeft w:val="0"/>
      <w:marRight w:val="0"/>
      <w:marTop w:val="0"/>
      <w:marBottom w:val="0"/>
      <w:divBdr>
        <w:top w:val="none" w:sz="0" w:space="0" w:color="auto"/>
        <w:left w:val="none" w:sz="0" w:space="0" w:color="auto"/>
        <w:bottom w:val="none" w:sz="0" w:space="0" w:color="auto"/>
        <w:right w:val="none" w:sz="0" w:space="0" w:color="auto"/>
      </w:divBdr>
    </w:div>
    <w:div w:id="1969893775">
      <w:bodyDiv w:val="1"/>
      <w:marLeft w:val="0"/>
      <w:marRight w:val="0"/>
      <w:marTop w:val="0"/>
      <w:marBottom w:val="0"/>
      <w:divBdr>
        <w:top w:val="none" w:sz="0" w:space="0" w:color="auto"/>
        <w:left w:val="none" w:sz="0" w:space="0" w:color="auto"/>
        <w:bottom w:val="none" w:sz="0" w:space="0" w:color="auto"/>
        <w:right w:val="none" w:sz="0" w:space="0" w:color="auto"/>
      </w:divBdr>
    </w:div>
    <w:div w:id="20161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28</cp:revision>
  <dcterms:created xsi:type="dcterms:W3CDTF">2023-10-24T23:27:00Z</dcterms:created>
  <dcterms:modified xsi:type="dcterms:W3CDTF">2023-10-24T23:47:00Z</dcterms:modified>
</cp:coreProperties>
</file>