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ind w:left="20"/>
        <w:rPr>
          <w:rFonts w:eastAsia="Arial"/>
        </w:rPr>
      </w:pPr>
      <w:bookmarkStart w:id="70" w:name="_GoBack"/>
      <w:bookmarkEnd w:id="70"/>
    </w:p>
    <w:p>
      <w:pPr>
        <w:spacing w:line="360" w:lineRule="auto"/>
        <w:ind w:left="20"/>
      </w:pPr>
    </w:p>
    <w:p>
      <w:pPr>
        <w:spacing w:before="120"/>
        <w:ind w:left="20" w:firstLine="1032"/>
        <w:jc w:val="center"/>
        <w:rPr>
          <w:rFonts w:ascii="微软雅黑" w:hAnsi="微软雅黑" w:eastAsia="微软雅黑" w:cs="微软雅黑"/>
          <w:spacing w:val="-3"/>
          <w:position w:val="31"/>
          <w:sz w:val="52"/>
          <w:szCs w:val="52"/>
        </w:rPr>
      </w:pPr>
      <w:bookmarkStart w:id="0" w:name="FM_SET_YEAR_1"/>
      <w:r>
        <w:rPr>
          <w:rFonts w:hint="eastAsia" w:ascii="微软雅黑" w:hAnsi="微软雅黑" w:eastAsia="微软雅黑" w:cs="微软雅黑"/>
          <w:spacing w:val="-4"/>
          <w:position w:val="31"/>
          <w:sz w:val="52"/>
          <w:szCs w:val="52"/>
        </w:rPr>
        <w:t>2024</w:t>
      </w:r>
      <w:bookmarkEnd w:id="0"/>
      <w:r>
        <w:rPr>
          <w:rFonts w:hint="eastAsia" w:ascii="微软雅黑" w:hAnsi="微软雅黑" w:eastAsia="微软雅黑" w:cs="微软雅黑"/>
          <w:spacing w:val="-4"/>
          <w:position w:val="31"/>
          <w:sz w:val="52"/>
          <w:szCs w:val="52"/>
        </w:rPr>
        <w:t>年</w:t>
      </w:r>
      <w:r>
        <w:rPr>
          <w:rFonts w:hint="eastAsia" w:ascii="微软雅黑" w:hAnsi="微软雅黑" w:eastAsia="微软雅黑" w:cs="微软雅黑"/>
          <w:spacing w:val="-3"/>
          <w:position w:val="31"/>
          <w:sz w:val="52"/>
          <w:szCs w:val="52"/>
        </w:rPr>
        <w:t>度</w:t>
      </w:r>
      <w:bookmarkStart w:id="1" w:name="FM_AGENCY_NAME_1"/>
      <w:r>
        <w:rPr>
          <w:rFonts w:hint="eastAsia" w:ascii="微软雅黑" w:hAnsi="微软雅黑" w:eastAsia="微软雅黑" w:cs="微软雅黑"/>
          <w:spacing w:val="-3"/>
          <w:position w:val="31"/>
          <w:sz w:val="52"/>
          <w:szCs w:val="52"/>
        </w:rPr>
        <w:t>溆浦县中都乡人民政府</w:t>
      </w:r>
      <w:bookmarkEnd w:id="1"/>
    </w:p>
    <w:p>
      <w:pPr>
        <w:spacing w:before="120"/>
        <w:ind w:left="1991" w:leftChars="948" w:firstLine="1012" w:firstLineChars="200"/>
        <w:rPr>
          <w:rFonts w:ascii="微软雅黑" w:hAnsi="微软雅黑" w:eastAsia="微软雅黑" w:cs="微软雅黑"/>
          <w:sz w:val="52"/>
          <w:szCs w:val="52"/>
        </w:rPr>
      </w:pPr>
      <w:r>
        <w:rPr>
          <w:rFonts w:hint="eastAsia" w:ascii="微软雅黑" w:hAnsi="微软雅黑" w:eastAsia="微软雅黑" w:cs="微软雅黑"/>
          <w:spacing w:val="-7"/>
          <w:sz w:val="52"/>
          <w:szCs w:val="52"/>
        </w:rPr>
        <w:t>财</w:t>
      </w:r>
      <w:r>
        <w:rPr>
          <w:rFonts w:hint="eastAsia" w:ascii="微软雅黑" w:hAnsi="微软雅黑" w:eastAsia="微软雅黑" w:cs="微软雅黑"/>
          <w:spacing w:val="-5"/>
          <w:sz w:val="52"/>
          <w:szCs w:val="52"/>
        </w:rPr>
        <w:t>务报告</w:t>
      </w:r>
    </w:p>
    <w:p>
      <w:pPr>
        <w:spacing w:line="246" w:lineRule="auto"/>
        <w:ind w:left="20"/>
        <w:rPr>
          <w:rFonts w:eastAsia="Arial"/>
        </w:rPr>
      </w:pPr>
    </w:p>
    <w:p>
      <w:pPr>
        <w:spacing w:line="246" w:lineRule="auto"/>
        <w:ind w:left="20"/>
        <w:rPr>
          <w:rFonts w:eastAsia="Arial"/>
        </w:rPr>
      </w:pPr>
    </w:p>
    <w:p>
      <w:pPr>
        <w:spacing w:line="246" w:lineRule="auto"/>
        <w:ind w:left="20"/>
        <w:rPr>
          <w:rFonts w:eastAsia="Arial"/>
        </w:rPr>
      </w:pPr>
    </w:p>
    <w:p>
      <w:pPr>
        <w:spacing w:line="246" w:lineRule="auto"/>
        <w:ind w:left="20"/>
        <w:rPr>
          <w:rFonts w:eastAsia="Arial"/>
        </w:rPr>
      </w:pPr>
    </w:p>
    <w:p>
      <w:pPr>
        <w:spacing w:line="246" w:lineRule="auto"/>
        <w:ind w:left="20"/>
        <w:rPr>
          <w:rFonts w:eastAsia="Arial"/>
        </w:rPr>
      </w:pPr>
    </w:p>
    <w:p>
      <w:pPr>
        <w:spacing w:before="120" w:line="224" w:lineRule="auto"/>
        <w:ind w:left="1008" w:leftChars="480" w:firstLine="51" w:firstLineChars="17"/>
        <w:rPr>
          <w:rFonts w:ascii="宋体" w:hAnsi="宋体" w:eastAsia="宋体" w:cs="宋体"/>
          <w:spacing w:val="-4"/>
          <w:sz w:val="31"/>
          <w:szCs w:val="31"/>
        </w:rPr>
      </w:pPr>
      <w:r>
        <w:rPr>
          <w:rFonts w:ascii="宋体" w:hAnsi="宋体" w:eastAsia="宋体" w:cs="宋体"/>
          <w:spacing w:val="-4"/>
          <w:sz w:val="31"/>
          <w:szCs w:val="31"/>
        </w:rPr>
        <w:t>部门</w:t>
      </w:r>
      <w:r>
        <w:rPr>
          <w:rFonts w:hint="eastAsia" w:ascii="宋体" w:hAnsi="宋体" w:eastAsia="宋体" w:cs="宋体"/>
          <w:spacing w:val="-4"/>
          <w:sz w:val="31"/>
          <w:szCs w:val="31"/>
        </w:rPr>
        <w:t xml:space="preserve"> </w:t>
      </w:r>
      <w:r>
        <w:rPr>
          <w:rFonts w:ascii="宋体" w:hAnsi="宋体" w:eastAsia="宋体" w:cs="宋体"/>
          <w:spacing w:val="-4"/>
          <w:sz w:val="31"/>
          <w:szCs w:val="31"/>
        </w:rPr>
        <w:t>(单位)</w:t>
      </w:r>
      <w:r>
        <w:rPr>
          <w:rFonts w:hint="eastAsia" w:ascii="宋体" w:hAnsi="宋体" w:eastAsia="宋体" w:cs="宋体"/>
          <w:spacing w:val="-4"/>
          <w:sz w:val="31"/>
          <w:szCs w:val="31"/>
        </w:rPr>
        <w:t xml:space="preserve"> </w:t>
      </w:r>
      <w:r>
        <w:rPr>
          <w:rFonts w:ascii="宋体" w:hAnsi="宋体" w:eastAsia="宋体" w:cs="宋体"/>
          <w:spacing w:val="-4"/>
          <w:sz w:val="31"/>
          <w:szCs w:val="31"/>
        </w:rPr>
        <w:t xml:space="preserve">名称： </w:t>
      </w:r>
      <w:bookmarkStart w:id="2" w:name="FM_AGENCY_NAME_2"/>
      <w:r>
        <w:rPr>
          <w:rFonts w:ascii="宋体" w:hAnsi="宋体" w:eastAsia="宋体" w:cs="宋体"/>
          <w:spacing w:val="-4"/>
          <w:sz w:val="31"/>
          <w:szCs w:val="31"/>
        </w:rPr>
        <w:t>溆浦县中都乡人民政府</w:t>
      </w:r>
      <w:bookmarkEnd w:id="2"/>
    </w:p>
    <w:p>
      <w:pPr>
        <w:spacing w:line="255" w:lineRule="auto"/>
        <w:ind w:left="20"/>
        <w:rPr>
          <w:rFonts w:eastAsia="Arial"/>
        </w:rPr>
      </w:pPr>
    </w:p>
    <w:p>
      <w:pPr>
        <w:spacing w:line="255" w:lineRule="auto"/>
        <w:ind w:left="20"/>
        <w:rPr>
          <w:rFonts w:eastAsia="Arial"/>
        </w:rPr>
      </w:pPr>
    </w:p>
    <w:p>
      <w:pPr>
        <w:spacing w:before="120" w:line="224" w:lineRule="auto"/>
        <w:ind w:left="1058" w:leftChars="504" w:firstLine="612"/>
        <w:rPr>
          <w:rFonts w:eastAsia="Arial"/>
        </w:rPr>
      </w:pPr>
      <w:r>
        <w:rPr>
          <w:rFonts w:ascii="宋体" w:hAnsi="宋体" w:eastAsia="宋体" w:cs="宋体"/>
          <w:spacing w:val="-4"/>
          <w:sz w:val="31"/>
          <w:szCs w:val="31"/>
        </w:rPr>
        <w:t xml:space="preserve">单位负责人： </w:t>
      </w:r>
      <w:bookmarkStart w:id="3" w:name="FM_DWFZR"/>
      <w:r>
        <w:rPr>
          <w:rFonts w:ascii="宋体" w:hAnsi="宋体" w:eastAsia="宋体" w:cs="宋体"/>
          <w:spacing w:val="-4"/>
          <w:sz w:val="31"/>
          <w:szCs w:val="31"/>
        </w:rPr>
        <w:t>田逾</w:t>
      </w:r>
      <w:bookmarkEnd w:id="3"/>
    </w:p>
    <w:p>
      <w:pPr>
        <w:spacing w:line="255" w:lineRule="auto"/>
        <w:ind w:left="20"/>
        <w:rPr>
          <w:rFonts w:eastAsia="Arial"/>
        </w:rPr>
      </w:pPr>
    </w:p>
    <w:p>
      <w:pPr>
        <w:spacing w:line="255" w:lineRule="auto"/>
        <w:ind w:left="20"/>
        <w:rPr>
          <w:rFonts w:eastAsia="Arial"/>
        </w:rPr>
      </w:pPr>
    </w:p>
    <w:p>
      <w:pPr>
        <w:spacing w:before="120" w:line="224" w:lineRule="auto"/>
        <w:ind w:left="1056" w:leftChars="503" w:firstLine="612"/>
        <w:rPr>
          <w:rFonts w:eastAsia="Arial"/>
        </w:rPr>
      </w:pPr>
      <w:r>
        <w:rPr>
          <w:rFonts w:ascii="宋体" w:hAnsi="宋体" w:eastAsia="宋体" w:cs="宋体"/>
          <w:spacing w:val="-4"/>
          <w:sz w:val="31"/>
          <w:szCs w:val="31"/>
        </w:rPr>
        <w:t xml:space="preserve">财务负责人： </w:t>
      </w:r>
      <w:bookmarkStart w:id="4" w:name="FM_CWFZR"/>
      <w:r>
        <w:rPr>
          <w:rFonts w:ascii="宋体" w:hAnsi="宋体" w:eastAsia="宋体" w:cs="宋体"/>
          <w:spacing w:val="-4"/>
          <w:sz w:val="31"/>
          <w:szCs w:val="31"/>
        </w:rPr>
        <w:t>向阳平</w:t>
      </w:r>
      <w:bookmarkEnd w:id="4"/>
    </w:p>
    <w:p>
      <w:pPr>
        <w:spacing w:line="255" w:lineRule="auto"/>
        <w:ind w:left="20"/>
        <w:rPr>
          <w:rFonts w:eastAsia="Arial"/>
        </w:rPr>
      </w:pPr>
    </w:p>
    <w:p>
      <w:pPr>
        <w:spacing w:line="255" w:lineRule="auto"/>
        <w:ind w:left="20"/>
        <w:rPr>
          <w:rFonts w:eastAsia="Arial"/>
        </w:rPr>
      </w:pPr>
    </w:p>
    <w:p>
      <w:pPr>
        <w:spacing w:before="120" w:line="224" w:lineRule="auto"/>
        <w:ind w:left="1056" w:leftChars="503" w:firstLine="612"/>
        <w:rPr>
          <w:rFonts w:ascii="宋体" w:hAnsi="宋体" w:eastAsia="宋体" w:cs="宋体"/>
          <w:spacing w:val="-4"/>
          <w:sz w:val="31"/>
          <w:szCs w:val="31"/>
        </w:rPr>
      </w:pPr>
      <w:r>
        <w:rPr>
          <w:rFonts w:ascii="宋体" w:hAnsi="宋体" w:eastAsia="宋体" w:cs="宋体"/>
          <w:spacing w:val="-4"/>
          <w:sz w:val="31"/>
          <w:szCs w:val="31"/>
        </w:rPr>
        <w:t xml:space="preserve">编制人： </w:t>
      </w:r>
      <w:bookmarkStart w:id="5" w:name="FM_BZR"/>
      <w:r>
        <w:rPr>
          <w:rFonts w:ascii="宋体" w:hAnsi="宋体" w:eastAsia="宋体" w:cs="宋体"/>
          <w:spacing w:val="-4"/>
          <w:sz w:val="31"/>
          <w:szCs w:val="31"/>
        </w:rPr>
        <w:t>贺叶</w:t>
      </w:r>
      <w:bookmarkEnd w:id="5"/>
    </w:p>
    <w:p>
      <w:pPr>
        <w:spacing w:line="262" w:lineRule="auto"/>
        <w:ind w:left="20"/>
      </w:pPr>
    </w:p>
    <w:p>
      <w:pPr>
        <w:spacing w:line="262" w:lineRule="auto"/>
        <w:ind w:left="20"/>
      </w:pPr>
    </w:p>
    <w:p>
      <w:pPr>
        <w:spacing w:line="263" w:lineRule="auto"/>
        <w:ind w:left="20"/>
      </w:pPr>
    </w:p>
    <w:p>
      <w:pPr>
        <w:spacing w:line="255" w:lineRule="auto"/>
        <w:ind w:left="20"/>
        <w:rPr>
          <w:rFonts w:eastAsia="Arial"/>
        </w:rPr>
      </w:pPr>
    </w:p>
    <w:p>
      <w:pPr>
        <w:spacing w:before="120" w:line="224" w:lineRule="auto"/>
        <w:ind w:left="1058" w:leftChars="504" w:firstLine="612"/>
        <w:rPr>
          <w:rFonts w:ascii="宋体" w:hAnsi="宋体" w:eastAsia="宋体" w:cs="宋体"/>
          <w:spacing w:val="-4"/>
          <w:sz w:val="31"/>
          <w:szCs w:val="31"/>
        </w:rPr>
      </w:pPr>
      <w:r>
        <w:rPr>
          <w:rFonts w:ascii="宋体" w:hAnsi="宋体" w:eastAsia="宋体" w:cs="宋体"/>
          <w:spacing w:val="-4"/>
          <w:sz w:val="31"/>
          <w:szCs w:val="31"/>
        </w:rPr>
        <w:t>报送日期：</w:t>
      </w:r>
      <w:bookmarkStart w:id="6" w:name="FM_BSRQ"/>
      <w:r>
        <w:rPr>
          <w:rFonts w:hint="eastAsia" w:ascii="宋体" w:hAnsi="宋体" w:eastAsia="宋体" w:cs="宋体"/>
          <w:spacing w:val="-4"/>
          <w:sz w:val="31"/>
          <w:szCs w:val="31"/>
        </w:rPr>
        <w:t>2025年04月</w:t>
      </w:r>
      <w:bookmarkEnd w:id="6"/>
    </w:p>
    <w:p>
      <w:pPr>
        <w:spacing w:before="120" w:line="224" w:lineRule="auto"/>
        <w:ind w:left="1058" w:leftChars="504" w:firstLine="612"/>
        <w:rPr>
          <w:rFonts w:ascii="宋体" w:hAnsi="宋体" w:eastAsia="宋体" w:cs="宋体"/>
          <w:spacing w:val="-4"/>
          <w:sz w:val="31"/>
          <w:szCs w:val="31"/>
        </w:rPr>
      </w:pPr>
    </w:p>
    <w:p>
      <w:pPr>
        <w:spacing w:line="360" w:lineRule="auto"/>
        <w:ind w:left="20"/>
        <w:sectPr>
          <w:headerReference r:id="rId3" w:type="default"/>
          <w:pgSz w:w="11906" w:h="16839"/>
          <w:pgMar w:top="1431" w:right="1785" w:bottom="0" w:left="1785" w:header="0" w:footer="0" w:gutter="0"/>
          <w:cols w:space="720" w:num="1"/>
        </w:sectPr>
      </w:pPr>
    </w:p>
    <w:p>
      <w:pPr>
        <w:spacing w:line="263" w:lineRule="auto"/>
        <w:ind w:left="20"/>
      </w:pPr>
    </w:p>
    <w:p>
      <w:pPr>
        <w:spacing w:line="263" w:lineRule="auto"/>
        <w:ind w:left="20"/>
      </w:pPr>
    </w:p>
    <w:sdt>
      <w:sdtPr>
        <w:rPr>
          <w:rFonts w:ascii="宋体" w:hAnsi="宋体" w:eastAsia="宋体"/>
        </w:rPr>
        <w:id w:val="147456857"/>
        <w:docPartObj>
          <w:docPartGallery w:val="Table of Contents"/>
          <w:docPartUnique/>
        </w:docPartObj>
      </w:sdtPr>
      <w:sdtEndPr>
        <w:rPr>
          <w:rFonts w:ascii="Arial" w:hAnsi="Arial" w:eastAsiaTheme="minorEastAsia"/>
        </w:rPr>
      </w:sdtEndPr>
      <w:sdtContent>
        <w:p>
          <w:pPr>
            <w:spacing w:line="360" w:lineRule="auto"/>
            <w:ind w:left="20"/>
            <w:jc w:val="center"/>
            <w:rPr>
              <w:rFonts w:ascii="宋体" w:hAnsi="宋体" w:eastAsia="宋体"/>
              <w:b/>
              <w:sz w:val="32"/>
              <w:szCs w:val="32"/>
            </w:rPr>
          </w:pPr>
          <w:r>
            <w:rPr>
              <w:rFonts w:ascii="宋体" w:hAnsi="宋体" w:eastAsia="宋体" w:cs="宋体"/>
              <w:spacing w:val="-12"/>
              <w:sz w:val="35"/>
              <w:szCs w:val="35"/>
              <w14:textOutline w14:w="6540" w14:cap="sq">
                <w14:solidFill>
                  <w14:srgbClr w14:val="000000"/>
                </w14:solidFill>
                <w14:bevel/>
              </w14:textOutline>
            </w:rPr>
            <w:t>目</w:t>
          </w:r>
          <w:r>
            <w:rPr>
              <w:rFonts w:hint="eastAsia" w:ascii="宋体" w:hAnsi="宋体" w:eastAsia="宋体" w:cs="宋体"/>
              <w:spacing w:val="-12"/>
              <w:sz w:val="35"/>
              <w:szCs w:val="35"/>
              <w14:textOutline w14:w="6540" w14:cap="sq">
                <w14:solidFill>
                  <w14:srgbClr w14:val="000000"/>
                </w14:solidFill>
                <w14:bevel/>
              </w14:textOutline>
            </w:rPr>
            <w:t xml:space="preserve">  </w:t>
          </w:r>
          <w:r>
            <w:rPr>
              <w:rFonts w:ascii="宋体" w:hAnsi="宋体" w:eastAsia="宋体" w:cs="宋体"/>
              <w:spacing w:val="-12"/>
              <w:sz w:val="35"/>
              <w:szCs w:val="35"/>
              <w14:textOutline w14:w="6540" w14:cap="sq">
                <w14:solidFill>
                  <w14:srgbClr w14:val="000000"/>
                </w14:solidFill>
                <w14:bevel/>
              </w14:textOutline>
            </w:rPr>
            <w:t>录</w:t>
          </w:r>
        </w:p>
        <w:p>
          <w:pPr>
            <w:pStyle w:val="6"/>
            <w:tabs>
              <w:tab w:val="right" w:leader="dot" w:pos="8336"/>
            </w:tabs>
            <w:spacing w:line="360" w:lineRule="auto"/>
            <w:ind w:left="20"/>
          </w:pPr>
          <w:r>
            <w:fldChar w:fldCharType="begin"/>
          </w:r>
          <w:r>
            <w:instrText xml:space="preserve">TOC \o "1-3" \h \u </w:instrText>
          </w:r>
          <w:r>
            <w:fldChar w:fldCharType="separate"/>
          </w:r>
          <w:r>
            <w:fldChar w:fldCharType="begin"/>
          </w:r>
          <w:r>
            <w:instrText xml:space="preserve"> HYPERLINK \l "_Toc25943" </w:instrText>
          </w:r>
          <w:r>
            <w:fldChar w:fldCharType="separate"/>
          </w:r>
          <w:r>
            <w:rPr>
              <w:rFonts w:ascii="黑体" w:hAnsi="黑体" w:eastAsia="黑体" w:cs="黑体"/>
              <w:spacing w:val="8"/>
              <w:sz w:val="23"/>
              <w:szCs w:val="29"/>
            </w:rPr>
            <w:t>导  言</w:t>
          </w:r>
          <w:r>
            <w:rPr>
              <w:rFonts w:eastAsia="黑体"/>
              <w:sz w:val="23"/>
            </w:rPr>
            <w:tab/>
          </w:r>
          <w:r>
            <w:rPr>
              <w:rFonts w:eastAsia="黑体"/>
              <w:sz w:val="23"/>
            </w:rPr>
            <w:fldChar w:fldCharType="begin"/>
          </w:r>
          <w:r>
            <w:rPr>
              <w:rFonts w:eastAsia="黑体"/>
              <w:sz w:val="23"/>
            </w:rPr>
            <w:instrText xml:space="preserve"> PAGEREF _Toc25943 \h </w:instrText>
          </w:r>
          <w:r>
            <w:rPr>
              <w:rFonts w:eastAsia="黑体"/>
              <w:sz w:val="23"/>
            </w:rPr>
            <w:fldChar w:fldCharType="separate"/>
          </w:r>
          <w:r>
            <w:rPr>
              <w:rFonts w:eastAsia="黑体"/>
              <w:sz w:val="23"/>
            </w:rPr>
            <w:t>1</w:t>
          </w:r>
          <w:r>
            <w:rPr>
              <w:rFonts w:eastAsia="黑体"/>
              <w:sz w:val="23"/>
            </w:rPr>
            <w:fldChar w:fldCharType="end"/>
          </w:r>
          <w:r>
            <w:rPr>
              <w:rFonts w:eastAsia="黑体"/>
              <w:sz w:val="23"/>
            </w:rPr>
            <w:fldChar w:fldCharType="end"/>
          </w:r>
        </w:p>
        <w:p>
          <w:pPr>
            <w:pStyle w:val="6"/>
            <w:tabs>
              <w:tab w:val="right" w:leader="dot" w:pos="8336"/>
            </w:tabs>
            <w:spacing w:line="360" w:lineRule="auto"/>
            <w:ind w:left="20"/>
          </w:pPr>
          <w:r>
            <w:fldChar w:fldCharType="begin"/>
          </w:r>
          <w:r>
            <w:instrText xml:space="preserve"> HYPERLINK \l "_Toc11555" </w:instrText>
          </w:r>
          <w:r>
            <w:fldChar w:fldCharType="separate"/>
          </w:r>
          <w:r>
            <w:rPr>
              <w:rFonts w:ascii="黑体" w:hAnsi="黑体" w:eastAsia="黑体" w:cs="黑体"/>
              <w:spacing w:val="11"/>
              <w:position w:val="4"/>
              <w:szCs w:val="28"/>
            </w:rPr>
            <w:t>一、</w:t>
          </w:r>
          <w:r>
            <w:rPr>
              <w:rFonts w:ascii="黑体" w:hAnsi="黑体" w:eastAsia="黑体" w:cs="黑体"/>
              <w:spacing w:val="11"/>
              <w:position w:val="4"/>
              <w:sz w:val="23"/>
              <w:szCs w:val="28"/>
            </w:rPr>
            <w:t>政府部门财务报表</w:t>
          </w:r>
          <w:r>
            <w:tab/>
          </w:r>
          <w:r>
            <w:fldChar w:fldCharType="begin"/>
          </w:r>
          <w:r>
            <w:instrText xml:space="preserve"> PAGEREF _Toc11555 \h </w:instrText>
          </w:r>
          <w:r>
            <w:fldChar w:fldCharType="separate"/>
          </w:r>
          <w:r>
            <w:t>2</w:t>
          </w:r>
          <w:r>
            <w:fldChar w:fldCharType="end"/>
          </w:r>
          <w:r>
            <w:fldChar w:fldCharType="end"/>
          </w:r>
        </w:p>
        <w:p>
          <w:pPr>
            <w:pStyle w:val="7"/>
            <w:tabs>
              <w:tab w:val="right" w:leader="dot" w:pos="8336"/>
            </w:tabs>
            <w:spacing w:line="360" w:lineRule="auto"/>
            <w:ind w:firstLine="460"/>
            <w:rPr>
              <w:rFonts w:eastAsia="宋体"/>
              <w:sz w:val="23"/>
            </w:rPr>
          </w:pPr>
          <w:r>
            <w:fldChar w:fldCharType="begin"/>
          </w:r>
          <w:r>
            <w:instrText xml:space="preserve"> HYPERLINK \l "_Toc26210" </w:instrText>
          </w:r>
          <w:r>
            <w:fldChar w:fldCharType="separate"/>
          </w:r>
          <w:r>
            <w:rPr>
              <w:rFonts w:hint="eastAsia" w:ascii="楷体" w:hAnsi="楷体" w:eastAsia="宋体" w:cs="楷体"/>
              <w:sz w:val="23"/>
              <w:szCs w:val="28"/>
            </w:rPr>
            <w:t>(一) 政府部门会计报表</w:t>
          </w:r>
          <w:r>
            <w:rPr>
              <w:rFonts w:eastAsia="宋体"/>
              <w:sz w:val="23"/>
            </w:rPr>
            <w:tab/>
          </w:r>
          <w:r>
            <w:rPr>
              <w:rFonts w:eastAsia="宋体"/>
              <w:sz w:val="23"/>
            </w:rPr>
            <w:fldChar w:fldCharType="begin"/>
          </w:r>
          <w:r>
            <w:rPr>
              <w:rFonts w:eastAsia="宋体"/>
              <w:sz w:val="23"/>
            </w:rPr>
            <w:instrText xml:space="preserve"> PAGEREF _Toc26210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"_Toc23021" </w:instrText>
          </w:r>
          <w:r>
            <w:fldChar w:fldCharType="separate"/>
          </w:r>
          <w:r>
            <w:rPr>
              <w:rFonts w:hint="eastAsia" w:ascii="仿宋" w:hAnsi="仿宋" w:eastAsia="宋体" w:cs="仿宋"/>
              <w:bCs/>
              <w:spacing w:val="-13"/>
              <w:sz w:val="23"/>
              <w:szCs w:val="28"/>
            </w:rPr>
            <w:t>资产负债表</w:t>
          </w:r>
          <w:r>
            <w:rPr>
              <w:rFonts w:eastAsia="宋体"/>
              <w:sz w:val="23"/>
            </w:rPr>
            <w:tab/>
          </w:r>
          <w:r>
            <w:rPr>
              <w:rFonts w:eastAsia="宋体"/>
              <w:sz w:val="23"/>
            </w:rPr>
            <w:fldChar w:fldCharType="begin"/>
          </w:r>
          <w:r>
            <w:rPr>
              <w:rFonts w:eastAsia="宋体"/>
              <w:sz w:val="23"/>
            </w:rPr>
            <w:instrText xml:space="preserve"> PAGEREF _Toc23021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"_Toc28131" </w:instrText>
          </w:r>
          <w:r>
            <w:fldChar w:fldCharType="separate"/>
          </w:r>
          <w:r>
            <w:rPr>
              <w:rFonts w:hint="eastAsia" w:ascii="仿宋" w:hAnsi="仿宋" w:eastAsia="宋体" w:cs="仿宋"/>
              <w:bCs/>
              <w:spacing w:val="-13"/>
              <w:sz w:val="23"/>
              <w:szCs w:val="28"/>
            </w:rPr>
            <w:t>收入费用表（1）</w:t>
          </w:r>
          <w:r>
            <w:rPr>
              <w:rFonts w:eastAsia="宋体"/>
              <w:sz w:val="23"/>
            </w:rPr>
            <w:tab/>
          </w:r>
          <w:r>
            <w:rPr>
              <w:rFonts w:eastAsia="宋体"/>
              <w:sz w:val="23"/>
            </w:rPr>
            <w:fldChar w:fldCharType="begin"/>
          </w:r>
          <w:r>
            <w:rPr>
              <w:rFonts w:eastAsia="宋体"/>
              <w:sz w:val="23"/>
            </w:rPr>
            <w:instrText xml:space="preserve"> PAGEREF _Toc28131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"_Toc16621" </w:instrText>
          </w:r>
          <w:r>
            <w:fldChar w:fldCharType="separate"/>
          </w:r>
          <w:r>
            <w:rPr>
              <w:rFonts w:hint="eastAsia" w:ascii="仿宋" w:hAnsi="仿宋" w:eastAsia="宋体" w:cs="仿宋"/>
              <w:bCs/>
              <w:spacing w:val="-13"/>
              <w:sz w:val="23"/>
              <w:szCs w:val="28"/>
            </w:rPr>
            <w:t>收入费用表（2）</w:t>
          </w:r>
          <w:r>
            <w:rPr>
              <w:rFonts w:eastAsia="宋体"/>
              <w:sz w:val="23"/>
            </w:rPr>
            <w:tab/>
          </w:r>
          <w:r>
            <w:rPr>
              <w:rFonts w:eastAsia="宋体"/>
              <w:sz w:val="23"/>
            </w:rPr>
            <w:fldChar w:fldCharType="begin"/>
          </w:r>
          <w:r>
            <w:rPr>
              <w:rFonts w:eastAsia="宋体"/>
              <w:sz w:val="23"/>
            </w:rPr>
            <w:instrText xml:space="preserve"> PAGEREF _Toc16621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7"/>
            <w:tabs>
              <w:tab w:val="right" w:leader="dot" w:pos="8336"/>
            </w:tabs>
            <w:spacing w:line="360" w:lineRule="auto"/>
            <w:ind w:firstLine="460"/>
            <w:rPr>
              <w:rFonts w:eastAsia="宋体"/>
              <w:sz w:val="23"/>
            </w:rPr>
          </w:pPr>
          <w:r>
            <w:fldChar w:fldCharType="begin"/>
          </w:r>
          <w:r>
            <w:instrText xml:space="preserve"> HYPERLINK \l "_Toc19198" </w:instrText>
          </w:r>
          <w:r>
            <w:fldChar w:fldCharType="separate"/>
          </w:r>
          <w:r>
            <w:rPr>
              <w:rFonts w:ascii="楷体" w:hAnsi="楷体" w:eastAsia="宋体" w:cs="楷体"/>
              <w:bCs/>
              <w:spacing w:val="23"/>
              <w:sz w:val="23"/>
              <w:szCs w:val="28"/>
            </w:rPr>
            <w:t>(二) 政府部门会计报表附注</w:t>
          </w:r>
          <w:r>
            <w:rPr>
              <w:rFonts w:eastAsia="宋体"/>
              <w:sz w:val="23"/>
            </w:rPr>
            <w:tab/>
          </w:r>
          <w:r>
            <w:rPr>
              <w:rFonts w:eastAsia="宋体"/>
              <w:sz w:val="23"/>
            </w:rPr>
            <w:fldChar w:fldCharType="begin"/>
          </w:r>
          <w:r>
            <w:rPr>
              <w:rFonts w:eastAsia="宋体"/>
              <w:sz w:val="23"/>
            </w:rPr>
            <w:instrText xml:space="preserve"> PAGEREF _Toc19198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"_Toc21358" </w:instrText>
          </w:r>
          <w:r>
            <w:fldChar w:fldCharType="separate"/>
          </w:r>
          <w:r>
            <w:rPr>
              <w:rFonts w:hint="eastAsia" w:ascii="仿宋" w:hAnsi="仿宋" w:eastAsia="宋体" w:cs="仿宋"/>
              <w:bCs/>
              <w:spacing w:val="1"/>
              <w:sz w:val="23"/>
              <w:szCs w:val="28"/>
            </w:rPr>
            <w:t>1.会计报表编制基础</w:t>
          </w:r>
          <w:r>
            <w:rPr>
              <w:rFonts w:eastAsia="宋体"/>
              <w:sz w:val="23"/>
            </w:rPr>
            <w:tab/>
          </w:r>
          <w:r>
            <w:rPr>
              <w:rFonts w:eastAsia="宋体"/>
              <w:sz w:val="23"/>
            </w:rPr>
            <w:fldChar w:fldCharType="begin"/>
          </w:r>
          <w:r>
            <w:rPr>
              <w:rFonts w:eastAsia="宋体"/>
              <w:sz w:val="23"/>
            </w:rPr>
            <w:instrText xml:space="preserve"> PAGEREF _Toc21358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"_Toc30112" </w:instrText>
          </w:r>
          <w:r>
            <w:fldChar w:fldCharType="separate"/>
          </w:r>
          <w:r>
            <w:rPr>
              <w:rFonts w:hint="eastAsia" w:ascii="仿宋" w:hAnsi="仿宋" w:eastAsia="宋体" w:cs="仿宋"/>
              <w:bCs/>
              <w:spacing w:val="1"/>
              <w:sz w:val="23"/>
              <w:szCs w:val="28"/>
            </w:rPr>
            <w:t>2.遵循相关制度规定的声明</w:t>
          </w:r>
          <w:r>
            <w:rPr>
              <w:rFonts w:eastAsia="宋体"/>
              <w:sz w:val="23"/>
            </w:rPr>
            <w:tab/>
          </w:r>
          <w:r>
            <w:rPr>
              <w:rFonts w:eastAsia="宋体"/>
              <w:sz w:val="23"/>
            </w:rPr>
            <w:fldChar w:fldCharType="begin"/>
          </w:r>
          <w:r>
            <w:rPr>
              <w:rFonts w:eastAsia="宋体"/>
              <w:sz w:val="23"/>
            </w:rPr>
            <w:instrText xml:space="preserve"> PAGEREF _Toc30112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"_Toc3641" </w:instrText>
          </w:r>
          <w:r>
            <w:fldChar w:fldCharType="separate"/>
          </w:r>
          <w:r>
            <w:rPr>
              <w:rFonts w:hint="eastAsia" w:ascii="仿宋" w:hAnsi="仿宋" w:eastAsia="宋体" w:cs="仿宋"/>
              <w:bCs/>
              <w:spacing w:val="1"/>
              <w:sz w:val="23"/>
              <w:szCs w:val="28"/>
            </w:rPr>
            <w:t>3.合并范围</w:t>
          </w:r>
          <w:r>
            <w:rPr>
              <w:rFonts w:eastAsia="宋体"/>
              <w:sz w:val="23"/>
            </w:rPr>
            <w:tab/>
          </w:r>
          <w:r>
            <w:rPr>
              <w:rFonts w:eastAsia="宋体"/>
              <w:sz w:val="23"/>
            </w:rPr>
            <w:fldChar w:fldCharType="begin"/>
          </w:r>
          <w:r>
            <w:rPr>
              <w:rFonts w:eastAsia="宋体"/>
              <w:sz w:val="23"/>
            </w:rPr>
            <w:instrText xml:space="preserve"> PAGEREF _Toc3641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"_Toc29140" </w:instrText>
          </w:r>
          <w:r>
            <w:fldChar w:fldCharType="separate"/>
          </w:r>
          <w:r>
            <w:rPr>
              <w:rFonts w:hint="eastAsia" w:ascii="仿宋" w:hAnsi="仿宋" w:eastAsia="宋体" w:cs="仿宋"/>
              <w:bCs/>
              <w:spacing w:val="1"/>
              <w:sz w:val="23"/>
              <w:szCs w:val="28"/>
            </w:rPr>
            <w:t>4.重要会计政策与会计估计变更情况</w:t>
          </w:r>
          <w:r>
            <w:rPr>
              <w:rFonts w:eastAsia="宋体"/>
              <w:sz w:val="23"/>
            </w:rPr>
            <w:tab/>
          </w:r>
          <w:r>
            <w:rPr>
              <w:rFonts w:eastAsia="宋体"/>
              <w:sz w:val="23"/>
            </w:rPr>
            <w:fldChar w:fldCharType="begin"/>
          </w:r>
          <w:r>
            <w:rPr>
              <w:rFonts w:eastAsia="宋体"/>
              <w:sz w:val="23"/>
            </w:rPr>
            <w:instrText xml:space="preserve"> PAGEREF _Toc29140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rPr>
              <w:rFonts w:eastAsia="宋体"/>
              <w:sz w:val="23"/>
            </w:rPr>
          </w:pPr>
          <w:r>
            <w:fldChar w:fldCharType="begin"/>
          </w:r>
          <w:r>
            <w:instrText xml:space="preserve"> HYPERLINK \l "_Toc32258" </w:instrText>
          </w:r>
          <w:r>
            <w:fldChar w:fldCharType="separate"/>
          </w:r>
          <w:r>
            <w:rPr>
              <w:rFonts w:hint="eastAsia" w:ascii="仿宋" w:hAnsi="仿宋" w:eastAsia="宋体" w:cs="仿宋"/>
              <w:bCs/>
              <w:spacing w:val="1"/>
              <w:sz w:val="23"/>
              <w:szCs w:val="28"/>
            </w:rPr>
            <w:t>5.会计报表重要项目的明细信息及说明</w:t>
          </w:r>
          <w:r>
            <w:rPr>
              <w:rFonts w:eastAsia="宋体"/>
              <w:sz w:val="23"/>
            </w:rPr>
            <w:tab/>
          </w:r>
          <w:r>
            <w:rPr>
              <w:rFonts w:eastAsia="宋体"/>
              <w:sz w:val="23"/>
            </w:rPr>
            <w:fldChar w:fldCharType="begin"/>
          </w:r>
          <w:r>
            <w:rPr>
              <w:rFonts w:eastAsia="宋体"/>
              <w:sz w:val="23"/>
            </w:rPr>
            <w:instrText xml:space="preserve"> PAGEREF _Toc32258 \h </w:instrText>
          </w:r>
          <w:r>
            <w:rPr>
              <w:rFonts w:eastAsia="宋体"/>
              <w:sz w:val="23"/>
            </w:rPr>
            <w:fldChar w:fldCharType="separate"/>
          </w:r>
          <w:r>
            <w:rPr>
              <w:rFonts w:eastAsia="宋体"/>
              <w:sz w:val="23"/>
            </w:rPr>
            <w:t>2</w:t>
          </w:r>
          <w:r>
            <w:rPr>
              <w:rFonts w:eastAsia="宋体"/>
              <w:sz w:val="23"/>
            </w:rPr>
            <w:fldChar w:fldCharType="end"/>
          </w:r>
          <w:r>
            <w:rPr>
              <w:rFonts w:eastAsia="宋体"/>
              <w:sz w:val="23"/>
            </w:rPr>
            <w:fldChar w:fldCharType="end"/>
          </w:r>
        </w:p>
        <w:p>
          <w:pPr>
            <w:pStyle w:val="2"/>
            <w:tabs>
              <w:tab w:val="right" w:leader="dot" w:pos="8336"/>
            </w:tabs>
            <w:spacing w:line="360" w:lineRule="auto"/>
            <w:ind w:firstLine="460"/>
          </w:pPr>
          <w:r>
            <w:fldChar w:fldCharType="begin"/>
          </w:r>
          <w:r>
            <w:instrText xml:space="preserve"> HYPERLINK \l "_Toc14062" </w:instrText>
          </w:r>
          <w:r>
            <w:fldChar w:fldCharType="separate"/>
          </w:r>
          <w:r>
            <w:rPr>
              <w:rFonts w:hint="eastAsia" w:ascii="仿宋" w:hAnsi="仿宋" w:eastAsia="宋体" w:cs="仿宋"/>
              <w:bCs/>
              <w:spacing w:val="1"/>
              <w:sz w:val="23"/>
              <w:szCs w:val="28"/>
            </w:rPr>
            <w:t>6.需要说明的其他事项</w:t>
          </w:r>
          <w:r>
            <w:rPr>
              <w:rFonts w:eastAsia="宋体"/>
              <w:sz w:val="23"/>
            </w:rPr>
            <w:tab/>
          </w:r>
          <w:r>
            <w:rPr>
              <w:rFonts w:eastAsia="宋体"/>
              <w:sz w:val="23"/>
            </w:rPr>
            <w:fldChar w:fldCharType="begin"/>
          </w:r>
          <w:r>
            <w:rPr>
              <w:rFonts w:eastAsia="宋体"/>
              <w:sz w:val="23"/>
            </w:rPr>
            <w:instrText xml:space="preserve"> PAGEREF _Toc14062 \h </w:instrText>
          </w:r>
          <w:r>
            <w:rPr>
              <w:rFonts w:eastAsia="宋体"/>
              <w:sz w:val="23"/>
            </w:rPr>
            <w:fldChar w:fldCharType="separate"/>
          </w:r>
          <w:r>
            <w:rPr>
              <w:rFonts w:eastAsia="宋体"/>
              <w:sz w:val="23"/>
            </w:rPr>
            <w:t>4</w:t>
          </w:r>
          <w:r>
            <w:rPr>
              <w:rFonts w:eastAsia="宋体"/>
              <w:sz w:val="23"/>
            </w:rPr>
            <w:fldChar w:fldCharType="end"/>
          </w:r>
          <w:r>
            <w:rPr>
              <w:rFonts w:eastAsia="宋体"/>
              <w:sz w:val="23"/>
            </w:rPr>
            <w:fldChar w:fldCharType="end"/>
          </w:r>
        </w:p>
        <w:p>
          <w:pPr>
            <w:pStyle w:val="6"/>
            <w:tabs>
              <w:tab w:val="right" w:leader="dot" w:pos="8336"/>
            </w:tabs>
            <w:spacing w:line="360" w:lineRule="auto"/>
            <w:ind w:left="20"/>
          </w:pPr>
          <w:r>
            <w:fldChar w:fldCharType="begin"/>
          </w:r>
          <w:r>
            <w:instrText xml:space="preserve"> HYPERLINK \l "_Toc11383" </w:instrText>
          </w:r>
          <w:r>
            <w:fldChar w:fldCharType="separate"/>
          </w:r>
          <w:r>
            <w:rPr>
              <w:rFonts w:ascii="黑体" w:hAnsi="黑体" w:eastAsia="黑体" w:cs="黑体"/>
              <w:spacing w:val="-6"/>
              <w:sz w:val="23"/>
              <w:szCs w:val="28"/>
            </w:rPr>
            <w:t>二、政府部门财务分析</w:t>
          </w:r>
          <w:r>
            <w:tab/>
          </w:r>
          <w:r>
            <w:fldChar w:fldCharType="begin"/>
          </w:r>
          <w:r>
            <w:instrText xml:space="preserve"> PAGEREF _Toc11383 \h </w:instrText>
          </w:r>
          <w:r>
            <w:fldChar w:fldCharType="separate"/>
          </w:r>
          <w:r>
            <w:t>5</w:t>
          </w:r>
          <w:r>
            <w:fldChar w:fldCharType="end"/>
          </w:r>
          <w:r>
            <w:fldChar w:fldCharType="end"/>
          </w:r>
        </w:p>
        <w:p>
          <w:pPr>
            <w:pStyle w:val="7"/>
            <w:tabs>
              <w:tab w:val="right" w:leader="dot" w:pos="8336"/>
            </w:tabs>
            <w:spacing w:line="360" w:lineRule="auto"/>
            <w:ind w:firstLine="460"/>
            <w:rPr>
              <w:rFonts w:eastAsia="宋体"/>
              <w:sz w:val="23"/>
            </w:rPr>
          </w:pPr>
          <w:r>
            <w:fldChar w:fldCharType="begin"/>
          </w:r>
          <w:r>
            <w:instrText xml:space="preserve"> HYPERLINK \l "_Toc229" </w:instrText>
          </w:r>
          <w:r>
            <w:fldChar w:fldCharType="separate"/>
          </w:r>
          <w:r>
            <w:rPr>
              <w:rFonts w:ascii="楷体" w:hAnsi="楷体" w:eastAsia="宋体" w:cs="楷体"/>
              <w:spacing w:val="-8"/>
              <w:sz w:val="23"/>
              <w:szCs w:val="28"/>
            </w:rPr>
            <w:t>(一) 政府部门工作目标完成情况</w:t>
          </w:r>
          <w:r>
            <w:rPr>
              <w:rFonts w:eastAsia="宋体"/>
              <w:sz w:val="23"/>
            </w:rPr>
            <w:tab/>
          </w:r>
          <w:r>
            <w:rPr>
              <w:rFonts w:eastAsia="宋体"/>
              <w:sz w:val="23"/>
            </w:rPr>
            <w:fldChar w:fldCharType="begin"/>
          </w:r>
          <w:r>
            <w:rPr>
              <w:rFonts w:eastAsia="宋体"/>
              <w:sz w:val="23"/>
            </w:rPr>
            <w:instrText xml:space="preserve"> PAGEREF _Toc229 \h </w:instrText>
          </w:r>
          <w:r>
            <w:rPr>
              <w:rFonts w:eastAsia="宋体"/>
              <w:sz w:val="23"/>
            </w:rPr>
            <w:fldChar w:fldCharType="separate"/>
          </w:r>
          <w:r>
            <w:rPr>
              <w:rFonts w:eastAsia="宋体"/>
              <w:sz w:val="23"/>
            </w:rPr>
            <w:t>5</w:t>
          </w:r>
          <w:r>
            <w:rPr>
              <w:rFonts w:eastAsia="宋体"/>
              <w:sz w:val="23"/>
            </w:rPr>
            <w:fldChar w:fldCharType="end"/>
          </w:r>
          <w:r>
            <w:rPr>
              <w:rFonts w:eastAsia="宋体"/>
              <w:sz w:val="23"/>
            </w:rPr>
            <w:fldChar w:fldCharType="end"/>
          </w:r>
        </w:p>
        <w:p>
          <w:pPr>
            <w:pStyle w:val="7"/>
            <w:tabs>
              <w:tab w:val="right" w:leader="dot" w:pos="8336"/>
            </w:tabs>
            <w:spacing w:line="360" w:lineRule="auto"/>
            <w:ind w:firstLine="460"/>
            <w:rPr>
              <w:rFonts w:eastAsia="宋体"/>
              <w:sz w:val="23"/>
            </w:rPr>
          </w:pPr>
          <w:r>
            <w:fldChar w:fldCharType="begin"/>
          </w:r>
          <w:r>
            <w:instrText xml:space="preserve"> HYPERLINK \l "_Toc25261" </w:instrText>
          </w:r>
          <w:r>
            <w:fldChar w:fldCharType="separate"/>
          </w:r>
          <w:r>
            <w:rPr>
              <w:rFonts w:ascii="楷体" w:hAnsi="楷体" w:eastAsia="宋体" w:cs="楷体"/>
              <w:spacing w:val="-8"/>
              <w:sz w:val="23"/>
              <w:szCs w:val="28"/>
            </w:rPr>
            <w:t>(二) 政府部门财务状况分析</w:t>
          </w:r>
          <w:r>
            <w:rPr>
              <w:rFonts w:eastAsia="宋体"/>
              <w:sz w:val="23"/>
            </w:rPr>
            <w:tab/>
          </w:r>
          <w:r>
            <w:rPr>
              <w:rFonts w:eastAsia="宋体"/>
              <w:sz w:val="23"/>
            </w:rPr>
            <w:fldChar w:fldCharType="begin"/>
          </w:r>
          <w:r>
            <w:rPr>
              <w:rFonts w:eastAsia="宋体"/>
              <w:sz w:val="23"/>
            </w:rPr>
            <w:instrText xml:space="preserve"> PAGEREF _Toc25261 \h </w:instrText>
          </w:r>
          <w:r>
            <w:rPr>
              <w:rFonts w:eastAsia="宋体"/>
              <w:sz w:val="23"/>
            </w:rPr>
            <w:fldChar w:fldCharType="separate"/>
          </w:r>
          <w:r>
            <w:rPr>
              <w:rFonts w:eastAsia="宋体"/>
              <w:sz w:val="23"/>
            </w:rPr>
            <w:t>5</w:t>
          </w:r>
          <w:r>
            <w:rPr>
              <w:rFonts w:eastAsia="宋体"/>
              <w:sz w:val="23"/>
            </w:rPr>
            <w:fldChar w:fldCharType="end"/>
          </w:r>
          <w:r>
            <w:rPr>
              <w:rFonts w:eastAsia="宋体"/>
              <w:sz w:val="23"/>
            </w:rPr>
            <w:fldChar w:fldCharType="end"/>
          </w:r>
        </w:p>
        <w:p>
          <w:pPr>
            <w:pStyle w:val="7"/>
            <w:tabs>
              <w:tab w:val="right" w:leader="dot" w:pos="8336"/>
            </w:tabs>
            <w:spacing w:line="360" w:lineRule="auto"/>
            <w:ind w:firstLine="460"/>
            <w:rPr>
              <w:rFonts w:eastAsia="宋体"/>
              <w:sz w:val="23"/>
            </w:rPr>
          </w:pPr>
          <w:r>
            <w:fldChar w:fldCharType="begin"/>
          </w:r>
          <w:r>
            <w:instrText xml:space="preserve"> HYPERLINK \l "_Toc25996" </w:instrText>
          </w:r>
          <w:r>
            <w:fldChar w:fldCharType="separate"/>
          </w:r>
          <w:r>
            <w:rPr>
              <w:rFonts w:ascii="楷体" w:hAnsi="楷体" w:eastAsia="宋体" w:cs="楷体"/>
              <w:spacing w:val="-8"/>
              <w:sz w:val="23"/>
              <w:szCs w:val="28"/>
            </w:rPr>
            <w:t>(三) 政府部门运行情况分析</w:t>
          </w:r>
          <w:r>
            <w:rPr>
              <w:rFonts w:eastAsia="宋体"/>
              <w:sz w:val="23"/>
            </w:rPr>
            <w:tab/>
          </w:r>
          <w:r>
            <w:rPr>
              <w:rFonts w:eastAsia="宋体"/>
              <w:sz w:val="23"/>
            </w:rPr>
            <w:fldChar w:fldCharType="begin"/>
          </w:r>
          <w:r>
            <w:rPr>
              <w:rFonts w:eastAsia="宋体"/>
              <w:sz w:val="23"/>
            </w:rPr>
            <w:instrText xml:space="preserve"> PAGEREF _Toc25996 \h </w:instrText>
          </w:r>
          <w:r>
            <w:rPr>
              <w:rFonts w:eastAsia="宋体"/>
              <w:sz w:val="23"/>
            </w:rPr>
            <w:fldChar w:fldCharType="separate"/>
          </w:r>
          <w:r>
            <w:rPr>
              <w:rFonts w:eastAsia="宋体"/>
              <w:sz w:val="23"/>
            </w:rPr>
            <w:t>6</w:t>
          </w:r>
          <w:r>
            <w:rPr>
              <w:rFonts w:eastAsia="宋体"/>
              <w:sz w:val="23"/>
            </w:rPr>
            <w:fldChar w:fldCharType="end"/>
          </w:r>
          <w:r>
            <w:rPr>
              <w:rFonts w:eastAsia="宋体"/>
              <w:sz w:val="23"/>
            </w:rPr>
            <w:fldChar w:fldCharType="end"/>
          </w:r>
        </w:p>
        <w:p>
          <w:pPr>
            <w:pStyle w:val="7"/>
            <w:tabs>
              <w:tab w:val="right" w:leader="dot" w:pos="8336"/>
            </w:tabs>
            <w:spacing w:line="360" w:lineRule="auto"/>
            <w:ind w:firstLine="460"/>
          </w:pPr>
          <w:r>
            <w:fldChar w:fldCharType="begin"/>
          </w:r>
          <w:r>
            <w:instrText xml:space="preserve"> HYPERLINK \l "_Toc21495" </w:instrText>
          </w:r>
          <w:r>
            <w:fldChar w:fldCharType="separate"/>
          </w:r>
          <w:r>
            <w:rPr>
              <w:rFonts w:ascii="楷体" w:hAnsi="楷体" w:eastAsia="宋体" w:cs="楷体"/>
              <w:spacing w:val="-8"/>
              <w:sz w:val="23"/>
              <w:szCs w:val="28"/>
            </w:rPr>
            <w:t>(四) 政府部门财务管理情况</w:t>
          </w:r>
          <w:r>
            <w:rPr>
              <w:rFonts w:eastAsia="宋体"/>
              <w:sz w:val="23"/>
            </w:rPr>
            <w:tab/>
          </w:r>
          <w:r>
            <w:rPr>
              <w:rFonts w:eastAsia="宋体"/>
              <w:sz w:val="23"/>
            </w:rPr>
            <w:fldChar w:fldCharType="begin"/>
          </w:r>
          <w:r>
            <w:rPr>
              <w:rFonts w:eastAsia="宋体"/>
              <w:sz w:val="23"/>
            </w:rPr>
            <w:instrText xml:space="preserve"> PAGEREF _Toc21495 \h </w:instrText>
          </w:r>
          <w:r>
            <w:rPr>
              <w:rFonts w:eastAsia="宋体"/>
              <w:sz w:val="23"/>
            </w:rPr>
            <w:fldChar w:fldCharType="separate"/>
          </w:r>
          <w:r>
            <w:rPr>
              <w:rFonts w:eastAsia="宋体"/>
              <w:sz w:val="23"/>
            </w:rPr>
            <w:t>7</w:t>
          </w:r>
          <w:r>
            <w:rPr>
              <w:rFonts w:eastAsia="宋体"/>
              <w:sz w:val="23"/>
            </w:rPr>
            <w:fldChar w:fldCharType="end"/>
          </w:r>
          <w:r>
            <w:rPr>
              <w:rFonts w:eastAsia="宋体"/>
              <w:sz w:val="23"/>
            </w:rPr>
            <w:fldChar w:fldCharType="end"/>
          </w:r>
        </w:p>
        <w:p>
          <w:pPr>
            <w:pStyle w:val="6"/>
            <w:tabs>
              <w:tab w:val="right" w:leader="dot" w:pos="8336"/>
            </w:tabs>
            <w:spacing w:line="360" w:lineRule="auto"/>
            <w:ind w:left="20"/>
          </w:pPr>
          <w:r>
            <w:fldChar w:fldCharType="begin"/>
          </w:r>
          <w:r>
            <w:instrText xml:space="preserve"> HYPERLINK \l "_Toc5263" </w:instrText>
          </w:r>
          <w:r>
            <w:fldChar w:fldCharType="separate"/>
          </w:r>
          <w:r>
            <w:rPr>
              <w:rFonts w:ascii="宋体" w:hAnsi="宋体" w:eastAsia="黑体" w:cs="宋体"/>
              <w:bCs/>
              <w:sz w:val="23"/>
              <w:szCs w:val="28"/>
            </w:rPr>
            <w:t>附件：补充报表</w:t>
          </w:r>
          <w:r>
            <w:tab/>
          </w:r>
          <w:r>
            <w:fldChar w:fldCharType="begin"/>
          </w:r>
          <w:r>
            <w:instrText xml:space="preserve"> PAGEREF _Toc5263 \h </w:instrText>
          </w:r>
          <w:r>
            <w:fldChar w:fldCharType="separate"/>
          </w:r>
          <w:r>
            <w:t>8</w:t>
          </w:r>
          <w:r>
            <w:fldChar w:fldCharType="end"/>
          </w:r>
          <w:r>
            <w:fldChar w:fldCharType="end"/>
          </w:r>
        </w:p>
        <w:p>
          <w:pPr>
            <w:spacing w:line="360" w:lineRule="auto"/>
            <w:ind w:left="20"/>
          </w:pPr>
          <w:r>
            <w:fldChar w:fldCharType="end"/>
          </w:r>
        </w:p>
      </w:sdtContent>
    </w:sdt>
    <w:p>
      <w:pPr>
        <w:sectPr>
          <w:footerReference r:id="rId4" w:type="default"/>
          <w:pgSz w:w="11906" w:h="16839"/>
          <w:pgMar w:top="1431" w:right="1785" w:bottom="400" w:left="1785" w:header="0" w:footer="0" w:gutter="0"/>
          <w:pgNumType w:start="1"/>
          <w:cols w:space="720" w:num="1"/>
        </w:sectPr>
      </w:pPr>
    </w:p>
    <w:p>
      <w:pPr>
        <w:spacing w:line="263" w:lineRule="auto"/>
        <w:ind w:left="20"/>
      </w:pPr>
    </w:p>
    <w:p>
      <w:pPr>
        <w:spacing w:line="263" w:lineRule="auto"/>
        <w:ind w:left="20"/>
      </w:pPr>
    </w:p>
    <w:p>
      <w:pPr>
        <w:spacing w:line="263" w:lineRule="auto"/>
        <w:ind w:left="20"/>
      </w:pPr>
    </w:p>
    <w:p>
      <w:pPr>
        <w:spacing w:line="360" w:lineRule="auto"/>
        <w:ind w:left="20"/>
      </w:pPr>
    </w:p>
    <w:p>
      <w:pPr>
        <w:spacing w:before="120" w:line="360" w:lineRule="auto"/>
        <w:ind w:left="20" w:firstLine="596"/>
        <w:jc w:val="center"/>
        <w:outlineLvl w:val="0"/>
        <w:rPr>
          <w:rFonts w:ascii="黑体" w:hAnsi="黑体" w:eastAsia="黑体" w:cs="黑体"/>
          <w:spacing w:val="8"/>
          <w:sz w:val="29"/>
          <w:szCs w:val="29"/>
        </w:rPr>
      </w:pPr>
      <w:bookmarkStart w:id="7" w:name="_bookmark5"/>
      <w:bookmarkEnd w:id="7"/>
      <w:bookmarkStart w:id="8" w:name="_Toc25943"/>
      <w:r>
        <w:rPr>
          <w:rFonts w:ascii="黑体" w:hAnsi="黑体" w:eastAsia="黑体" w:cs="黑体"/>
          <w:spacing w:val="8"/>
          <w:sz w:val="29"/>
          <w:szCs w:val="29"/>
        </w:rPr>
        <w:t>导  言</w:t>
      </w:r>
      <w:bookmarkEnd w:id="8"/>
    </w:p>
    <w:p>
      <w:pPr>
        <w:spacing w:line="263" w:lineRule="auto"/>
        <w:ind w:left="20"/>
      </w:pPr>
    </w:p>
    <w:p>
      <w:pPr>
        <w:spacing w:line="263" w:lineRule="auto"/>
        <w:ind w:left="20"/>
      </w:pPr>
    </w:p>
    <w:p>
      <w:pPr>
        <w:spacing w:before="120" w:line="396" w:lineRule="auto"/>
        <w:ind w:left="15" w:leftChars="7" w:right="11" w:firstLine="652" w:firstLineChars="200"/>
        <w:rPr>
          <w:rFonts w:ascii="宋体" w:hAnsi="宋体" w:eastAsia="宋体" w:cs="仿宋"/>
          <w:sz w:val="24"/>
          <w:szCs w:val="24"/>
        </w:rPr>
      </w:pPr>
      <w:r>
        <w:rPr>
          <w:rFonts w:ascii="仿宋" w:hAnsi="仿宋" w:eastAsia="仿宋" w:cs="仿宋"/>
          <w:spacing w:val="18"/>
          <w:sz w:val="29"/>
          <w:szCs w:val="29"/>
        </w:rPr>
        <w:t>为</w:t>
      </w:r>
      <w:r>
        <w:rPr>
          <w:rFonts w:ascii="仿宋" w:hAnsi="仿宋" w:eastAsia="仿宋" w:cs="仿宋"/>
          <w:spacing w:val="10"/>
          <w:sz w:val="29"/>
          <w:szCs w:val="29"/>
        </w:rPr>
        <w:t>全</w:t>
      </w:r>
      <w:r>
        <w:rPr>
          <w:rFonts w:ascii="仿宋" w:hAnsi="仿宋" w:eastAsia="仿宋" w:cs="仿宋"/>
          <w:spacing w:val="9"/>
          <w:sz w:val="29"/>
          <w:szCs w:val="29"/>
        </w:rPr>
        <w:t>面反映本部门财务状况和运行情况，</w:t>
      </w:r>
      <w:bookmarkStart w:id="9" w:name="DY_AGENCY_NAME_3"/>
      <w:r>
        <w:rPr>
          <w:rFonts w:ascii="仿宋" w:hAnsi="仿宋" w:eastAsia="仿宋" w:cs="仿宋"/>
          <w:spacing w:val="9"/>
          <w:sz w:val="29"/>
          <w:szCs w:val="29"/>
        </w:rPr>
        <w:t>溆浦县中都乡人民政府</w:t>
      </w:r>
      <w:bookmarkEnd w:id="9"/>
      <w:r>
        <w:rPr>
          <w:rFonts w:ascii="仿宋" w:hAnsi="仿宋" w:eastAsia="仿宋" w:cs="仿宋"/>
          <w:spacing w:val="9"/>
          <w:sz w:val="29"/>
          <w:szCs w:val="29"/>
        </w:rPr>
        <w:t>组织编</w:t>
      </w:r>
      <w:r>
        <w:rPr>
          <w:rFonts w:hint="eastAsia" w:ascii="仿宋" w:hAnsi="仿宋" w:eastAsia="仿宋" w:cs="仿宋"/>
          <w:spacing w:val="9"/>
          <w:sz w:val="29"/>
          <w:szCs w:val="29"/>
        </w:rPr>
        <w:t>制</w:t>
      </w:r>
      <w:r>
        <w:rPr>
          <w:rFonts w:ascii="仿宋" w:hAnsi="仿宋" w:eastAsia="仿宋" w:cs="仿宋"/>
          <w:spacing w:val="9"/>
          <w:sz w:val="29"/>
          <w:szCs w:val="29"/>
        </w:rPr>
        <w:t>了《</w:t>
      </w:r>
      <w:bookmarkStart w:id="10" w:name="DY_SET_YEAR_2"/>
      <w:r>
        <w:rPr>
          <w:rFonts w:hint="eastAsia" w:ascii="仿宋" w:hAnsi="仿宋" w:eastAsia="仿宋" w:cs="仿宋"/>
          <w:spacing w:val="9"/>
          <w:sz w:val="29"/>
          <w:szCs w:val="29"/>
        </w:rPr>
        <w:t>2024</w:t>
      </w:r>
      <w:bookmarkEnd w:id="10"/>
      <w:r>
        <w:rPr>
          <w:rFonts w:ascii="仿宋" w:hAnsi="仿宋" w:eastAsia="仿宋" w:cs="仿宋"/>
          <w:spacing w:val="9"/>
          <w:sz w:val="29"/>
          <w:szCs w:val="29"/>
        </w:rPr>
        <w:t>年度</w:t>
      </w:r>
      <w:bookmarkStart w:id="11" w:name="DY_AGENCY_NAME_4"/>
      <w:r>
        <w:rPr>
          <w:rFonts w:hint="eastAsia" w:ascii="仿宋" w:hAnsi="仿宋" w:eastAsia="仿宋" w:cs="仿宋"/>
          <w:spacing w:val="9"/>
          <w:sz w:val="29"/>
          <w:szCs w:val="29"/>
        </w:rPr>
        <w:t>溆浦县中都乡人民政府</w:t>
      </w:r>
      <w:bookmarkEnd w:id="11"/>
      <w:r>
        <w:rPr>
          <w:rFonts w:ascii="仿宋" w:hAnsi="仿宋" w:eastAsia="仿宋" w:cs="仿宋"/>
          <w:spacing w:val="9"/>
          <w:sz w:val="29"/>
          <w:szCs w:val="29"/>
        </w:rPr>
        <w:t>财务报告》(以下简称《报告》)。</w:t>
      </w:r>
      <w:bookmarkStart w:id="12" w:name="DY_BGJYSM"/>
      <w:r>
        <w:rPr>
          <w:rFonts w:hint="eastAsia" w:ascii="仿宋" w:hAnsi="仿宋" w:eastAsia="仿宋" w:cs="仿宋"/>
          <w:spacing w:val="9"/>
          <w:sz w:val="29"/>
          <w:szCs w:val="29"/>
        </w:rPr>
        <w:t>为全面反映本部门财务状况和运行情况，溆浦县中都乡人民政府组织编制了《2024年度溆浦县中都乡人民政府财务报告》(以下简称《报告》)。溆浦县中都乡人民政府组织编制了《2024年度溆浦县中都乡人民政府财务报告》(以下简称《报告》)。为全面反映本部门财务状况和运行情况，本单位组织编制了《2024年财务报告》(以下简称《报告》)。根据《财政部关于开展2024年度政府财务报告编报工作的通知》、《政府部门财务报告编制操作指南(试行)》(财库【2018】29号)等文件要求，结合账务中财务会计体系数据进行编制报告。，</w:t>
      </w:r>
      <w:bookmarkEnd w:id="12"/>
      <w:r>
        <w:rPr>
          <w:rFonts w:ascii="仿宋" w:hAnsi="仿宋" w:eastAsia="仿宋" w:cs="仿宋"/>
          <w:spacing w:val="9"/>
          <w:sz w:val="29"/>
          <w:szCs w:val="29"/>
        </w:rPr>
        <w:t>简要情况如下</w:t>
      </w:r>
      <w:r>
        <w:rPr>
          <w:rFonts w:ascii="宋体" w:hAnsi="宋体" w:eastAsia="宋体" w:cs="仿宋"/>
          <w:spacing w:val="6"/>
          <w:sz w:val="24"/>
          <w:szCs w:val="24"/>
        </w:rPr>
        <w:t>：</w:t>
      </w:r>
    </w:p>
    <w:p>
      <w:pPr>
        <w:spacing w:line="224" w:lineRule="auto"/>
        <w:ind w:left="20" w:firstLine="544"/>
        <w:rPr>
          <w:rFonts w:ascii="楷体" w:hAnsi="楷体" w:eastAsia="楷体" w:cs="楷体"/>
          <w:spacing w:val="-18"/>
          <w:sz w:val="29"/>
          <w:szCs w:val="29"/>
        </w:rPr>
      </w:pPr>
      <w:r>
        <w:rPr>
          <w:rFonts w:ascii="楷体" w:hAnsi="楷体" w:eastAsia="楷体" w:cs="楷体"/>
          <w:spacing w:val="-18"/>
          <w:sz w:val="29"/>
          <w:szCs w:val="29"/>
        </w:rPr>
        <w:t>(</w:t>
      </w:r>
      <w:r>
        <w:rPr>
          <w:rFonts w:hint="eastAsia" w:ascii="楷体" w:hAnsi="楷体" w:eastAsia="楷体" w:cs="楷体"/>
          <w:spacing w:val="-18"/>
          <w:sz w:val="29"/>
          <w:szCs w:val="29"/>
        </w:rPr>
        <w:t>一</w:t>
      </w:r>
      <w:r>
        <w:rPr>
          <w:rFonts w:ascii="楷体" w:hAnsi="楷体" w:eastAsia="楷体" w:cs="楷体"/>
          <w:spacing w:val="-18"/>
          <w:sz w:val="29"/>
          <w:szCs w:val="29"/>
        </w:rPr>
        <w:t>)《报告》编制基本情况</w:t>
      </w:r>
    </w:p>
    <w:p>
      <w:pPr>
        <w:spacing w:before="120" w:line="396" w:lineRule="auto"/>
        <w:ind w:left="20" w:right="11" w:firstLine="616" w:firstLineChars="200"/>
        <w:rPr>
          <w:rFonts w:ascii="仿宋" w:hAnsi="仿宋" w:eastAsia="仿宋" w:cs="仿宋"/>
          <w:spacing w:val="9"/>
          <w:sz w:val="29"/>
          <w:szCs w:val="29"/>
        </w:rPr>
      </w:pPr>
      <w:r>
        <w:rPr>
          <w:rFonts w:ascii="仿宋" w:hAnsi="仿宋" w:eastAsia="仿宋" w:cs="仿宋"/>
          <w:spacing w:val="9"/>
          <w:sz w:val="29"/>
          <w:szCs w:val="29"/>
        </w:rPr>
        <w:t>政府部门会计报表以权责发生制为基础编制。</w:t>
      </w:r>
    </w:p>
    <w:p>
      <w:pPr>
        <w:spacing w:before="120" w:line="396" w:lineRule="auto"/>
        <w:ind w:left="20" w:right="11" w:firstLine="616" w:firstLineChars="200"/>
        <w:rPr>
          <w:rFonts w:ascii="仿宋" w:hAnsi="仿宋" w:eastAsia="仿宋" w:cs="仿宋"/>
          <w:spacing w:val="9"/>
          <w:sz w:val="29"/>
          <w:szCs w:val="29"/>
        </w:rPr>
      </w:pPr>
    </w:p>
    <w:p>
      <w:pPr>
        <w:spacing w:line="222" w:lineRule="auto"/>
        <w:ind w:left="20" w:firstLine="620"/>
        <w:rPr>
          <w:rFonts w:ascii="楷体" w:hAnsi="楷体" w:eastAsia="楷体" w:cs="楷体"/>
          <w:spacing w:val="20"/>
          <w:sz w:val="29"/>
          <w:szCs w:val="29"/>
        </w:rPr>
      </w:pPr>
      <w:r>
        <w:rPr>
          <w:rFonts w:ascii="楷体" w:hAnsi="楷体" w:eastAsia="楷体" w:cs="楷体"/>
          <w:spacing w:val="20"/>
          <w:sz w:val="29"/>
          <w:szCs w:val="29"/>
        </w:rPr>
        <w:t>(二) 本部门财务状况和运行情况</w:t>
      </w:r>
    </w:p>
    <w:p>
      <w:pPr>
        <w:spacing w:before="180" w:beforeLines="75" w:line="224" w:lineRule="auto"/>
        <w:ind w:left="20" w:firstLine="574"/>
        <w:rPr>
          <w:rFonts w:ascii="仿宋" w:hAnsi="仿宋" w:eastAsia="仿宋" w:cs="仿宋"/>
          <w:b/>
          <w:bCs/>
          <w:spacing w:val="6"/>
          <w:sz w:val="28"/>
          <w:szCs w:val="28"/>
        </w:rPr>
      </w:pPr>
      <w:r>
        <w:rPr>
          <w:rFonts w:hint="eastAsia" w:ascii="仿宋" w:hAnsi="仿宋" w:eastAsia="仿宋" w:cs="仿宋"/>
          <w:b/>
          <w:bCs/>
          <w:spacing w:val="6"/>
          <w:sz w:val="28"/>
          <w:szCs w:val="28"/>
        </w:rPr>
        <w:t>1.资产负债情况。</w:t>
      </w:r>
    </w:p>
    <w:p>
      <w:pPr>
        <w:spacing w:before="120" w:line="396" w:lineRule="auto"/>
        <w:ind w:left="20" w:right="11" w:firstLine="616" w:firstLineChars="200"/>
        <w:rPr>
          <w:rFonts w:ascii="仿宋" w:hAnsi="仿宋" w:eastAsia="仿宋" w:cs="仿宋"/>
          <w:spacing w:val="9"/>
          <w:sz w:val="29"/>
          <w:szCs w:val="29"/>
        </w:rPr>
      </w:pPr>
      <w:r>
        <w:rPr>
          <w:rFonts w:ascii="仿宋" w:hAnsi="仿宋" w:eastAsia="仿宋" w:cs="仿宋"/>
          <w:spacing w:val="9"/>
          <w:sz w:val="29"/>
          <w:szCs w:val="29"/>
        </w:rPr>
        <w:t>2024年末部门资产总额364万元、负债总额100.51万元、净资产总额263.49万元。资产负债率为27.61%，较上年增长2.89个百分点，表明表明2024年末部门资产总额364万元、负债总额100.51万元、净资产总额263.49万元。资产负债率为27.61%，较上年增长2.89个百分点，表明表明本单位财务报告以权责发生制的财务会计为编制基础，编制的会计报表符合政府会计准则丶相关会计制度和财务报告编制规定的要求，如实反映政府部门的财务状况丶运行情况等有关信息。</w:t>
      </w:r>
    </w:p>
    <w:p>
      <w:pPr>
        <w:spacing w:before="120" w:line="396" w:lineRule="auto"/>
        <w:ind w:left="20" w:right="11" w:firstLine="616" w:firstLineChars="200"/>
        <w:rPr>
          <w:rFonts w:ascii="仿宋" w:hAnsi="仿宋" w:eastAsia="仿宋" w:cs="仿宋"/>
          <w:spacing w:val="9"/>
          <w:sz w:val="29"/>
          <w:szCs w:val="29"/>
        </w:rPr>
      </w:pPr>
    </w:p>
    <w:p>
      <w:pPr>
        <w:spacing w:line="396" w:lineRule="auto"/>
        <w:ind w:left="20" w:firstLine="624" w:firstLineChars="200"/>
        <w:rPr>
          <w:rFonts w:ascii="仿宋" w:hAnsi="仿宋" w:eastAsia="仿宋" w:cs="仿宋"/>
          <w:spacing w:val="11"/>
          <w:sz w:val="29"/>
          <w:szCs w:val="29"/>
        </w:rPr>
      </w:pPr>
      <w:r>
        <w:rPr>
          <w:rFonts w:ascii="仿宋" w:hAnsi="仿宋" w:eastAsia="仿宋" w:cs="仿宋"/>
          <w:spacing w:val="11"/>
          <w:sz w:val="29"/>
          <w:szCs w:val="29"/>
        </w:rPr>
        <w:t>（1）本部门资产主要包括本部门资产主要包括本部门资产主要包括流动资产104.8万元；非流动资产259.187万元，其中主要为固定资产377.26万元。</w:t>
      </w:r>
    </w:p>
    <w:p>
      <w:pPr>
        <w:spacing w:line="396" w:lineRule="auto"/>
        <w:ind w:left="20" w:firstLine="624" w:firstLineChars="200"/>
        <w:rPr>
          <w:rFonts w:ascii="仿宋" w:hAnsi="仿宋" w:eastAsia="仿宋" w:cs="仿宋"/>
          <w:spacing w:val="11"/>
          <w:sz w:val="29"/>
          <w:szCs w:val="29"/>
        </w:rPr>
      </w:pPr>
    </w:p>
    <w:p>
      <w:pPr>
        <w:spacing w:line="396" w:lineRule="auto"/>
        <w:ind w:left="20" w:firstLine="624" w:firstLineChars="200"/>
        <w:rPr>
          <w:rFonts w:ascii="仿宋" w:hAnsi="仿宋" w:eastAsia="仿宋" w:cs="仿宋"/>
          <w:spacing w:val="11"/>
          <w:sz w:val="29"/>
          <w:szCs w:val="29"/>
        </w:rPr>
      </w:pPr>
      <w:r>
        <w:rPr>
          <w:rFonts w:ascii="仿宋" w:hAnsi="仿宋" w:eastAsia="仿宋" w:cs="仿宋"/>
          <w:spacing w:val="11"/>
          <w:sz w:val="29"/>
          <w:szCs w:val="29"/>
        </w:rPr>
        <w:t>（2）本部门负债主要包括本部门负债主要包括其他应付账款100.5万元。</w:t>
      </w:r>
    </w:p>
    <w:p>
      <w:pPr>
        <w:spacing w:line="396" w:lineRule="auto"/>
        <w:ind w:left="20" w:firstLine="624" w:firstLineChars="200"/>
        <w:rPr>
          <w:rFonts w:ascii="仿宋" w:hAnsi="仿宋" w:eastAsia="仿宋" w:cs="仿宋"/>
          <w:spacing w:val="11"/>
          <w:sz w:val="29"/>
          <w:szCs w:val="29"/>
        </w:rPr>
      </w:pPr>
    </w:p>
    <w:p>
      <w:pPr>
        <w:spacing w:line="224" w:lineRule="auto"/>
        <w:ind w:left="20" w:firstLine="574"/>
        <w:rPr>
          <w:rFonts w:ascii="仿宋" w:hAnsi="仿宋" w:eastAsia="仿宋" w:cs="仿宋"/>
          <w:b/>
          <w:bCs/>
          <w:spacing w:val="6"/>
          <w:sz w:val="28"/>
          <w:szCs w:val="28"/>
        </w:rPr>
      </w:pPr>
      <w:r>
        <w:rPr>
          <w:rFonts w:hint="eastAsia" w:ascii="仿宋" w:hAnsi="仿宋" w:eastAsia="仿宋" w:cs="仿宋"/>
          <w:b/>
          <w:bCs/>
          <w:spacing w:val="6"/>
          <w:sz w:val="28"/>
          <w:szCs w:val="28"/>
        </w:rPr>
        <w:t>2. 收入费用情况。</w:t>
      </w:r>
    </w:p>
    <w:p>
      <w:pPr>
        <w:spacing w:before="144" w:beforeLines="60" w:line="396" w:lineRule="auto"/>
        <w:ind w:left="20" w:firstLine="624" w:firstLineChars="200"/>
        <w:rPr>
          <w:rFonts w:ascii="仿宋" w:hAnsi="仿宋" w:eastAsia="仿宋" w:cs="仿宋"/>
          <w:spacing w:val="11"/>
          <w:sz w:val="29"/>
          <w:szCs w:val="29"/>
        </w:rPr>
      </w:pPr>
      <w:r>
        <w:rPr>
          <w:rFonts w:ascii="仿宋" w:hAnsi="仿宋" w:eastAsia="仿宋" w:cs="仿宋"/>
          <w:spacing w:val="11"/>
          <w:sz w:val="29"/>
          <w:szCs w:val="29"/>
        </w:rPr>
        <w:t>2024年度部门收入总额1206.77万元，费用总额1206.77万元，收入费用相抵后本年盈余0万元。收入费用率为100%，较上年增长0个百分点，表明明2024年度部门收入总额1206.77万元，费用总额1206.77万元，收入费用相抵后本年盈余0万元。收入费用率为100%，较上年增长0个百分点。</w:t>
      </w:r>
    </w:p>
    <w:p>
      <w:pPr>
        <w:spacing w:before="144" w:beforeLines="60" w:line="396" w:lineRule="auto"/>
        <w:ind w:left="20" w:firstLine="624" w:firstLineChars="200"/>
        <w:rPr>
          <w:rFonts w:ascii="仿宋" w:hAnsi="仿宋" w:eastAsia="仿宋" w:cs="仿宋"/>
          <w:spacing w:val="11"/>
          <w:sz w:val="29"/>
          <w:szCs w:val="29"/>
        </w:rPr>
      </w:pPr>
    </w:p>
    <w:p>
      <w:pPr>
        <w:spacing w:line="396" w:lineRule="auto"/>
        <w:ind w:left="20" w:firstLine="624" w:firstLineChars="200"/>
        <w:rPr>
          <w:rFonts w:ascii="仿宋" w:hAnsi="仿宋" w:eastAsia="仿宋" w:cs="仿宋"/>
          <w:spacing w:val="11"/>
          <w:sz w:val="29"/>
          <w:szCs w:val="29"/>
        </w:rPr>
      </w:pPr>
      <w:r>
        <w:rPr>
          <w:rFonts w:ascii="仿宋" w:hAnsi="仿宋" w:eastAsia="仿宋" w:cs="仿宋"/>
          <w:spacing w:val="11"/>
          <w:sz w:val="29"/>
          <w:szCs w:val="29"/>
        </w:rPr>
        <w:t>（1）本部门收入主要包括财政拨款收入1206.77万元，其他收入0万元。</w:t>
      </w:r>
    </w:p>
    <w:p>
      <w:pPr>
        <w:spacing w:line="396" w:lineRule="auto"/>
        <w:ind w:left="20" w:firstLine="624" w:firstLineChars="200"/>
        <w:rPr>
          <w:rFonts w:ascii="仿宋" w:hAnsi="仿宋" w:eastAsia="仿宋" w:cs="仿宋"/>
          <w:spacing w:val="11"/>
          <w:sz w:val="29"/>
          <w:szCs w:val="29"/>
        </w:rPr>
      </w:pPr>
    </w:p>
    <w:p>
      <w:pPr>
        <w:spacing w:line="396" w:lineRule="auto"/>
        <w:ind w:left="20" w:firstLine="624" w:firstLineChars="200"/>
        <w:rPr>
          <w:rFonts w:ascii="仿宋" w:hAnsi="仿宋" w:eastAsia="仿宋" w:cs="仿宋"/>
          <w:spacing w:val="11"/>
          <w:sz w:val="29"/>
          <w:szCs w:val="29"/>
        </w:rPr>
      </w:pPr>
      <w:r>
        <w:rPr>
          <w:rFonts w:ascii="仿宋" w:hAnsi="仿宋" w:eastAsia="仿宋" w:cs="仿宋"/>
          <w:spacing w:val="11"/>
          <w:sz w:val="29"/>
          <w:szCs w:val="29"/>
        </w:rPr>
        <w:t>（2）本部门费用主要包括业务活动费用1206.77万元，其中：工资福利费用562.88万元，商品和服务费用222.98万元，对个人和家庭的补助费用为107.59万元，其他费用313.32万元 。</w:t>
      </w:r>
    </w:p>
    <w:p>
      <w:pPr>
        <w:spacing w:line="396" w:lineRule="auto"/>
        <w:ind w:left="20" w:firstLine="624" w:firstLineChars="200"/>
        <w:rPr>
          <w:rFonts w:ascii="仿宋" w:hAnsi="仿宋" w:eastAsia="仿宋" w:cs="仿宋"/>
          <w:spacing w:val="11"/>
          <w:sz w:val="29"/>
          <w:szCs w:val="29"/>
        </w:rPr>
      </w:pPr>
    </w:p>
    <w:p>
      <w:pPr>
        <w:spacing w:line="396" w:lineRule="auto"/>
        <w:ind w:left="20" w:firstLine="624" w:firstLineChars="200"/>
        <w:rPr>
          <w:rFonts w:ascii="仿宋" w:hAnsi="仿宋" w:eastAsia="仿宋" w:cs="仿宋"/>
          <w:spacing w:val="11"/>
          <w:sz w:val="29"/>
          <w:szCs w:val="29"/>
        </w:rPr>
      </w:pPr>
      <w:r>
        <w:rPr>
          <w:rFonts w:ascii="仿宋" w:hAnsi="仿宋" w:eastAsia="仿宋" w:cs="仿宋"/>
          <w:spacing w:val="11"/>
          <w:sz w:val="29"/>
          <w:szCs w:val="29"/>
        </w:rPr>
        <w:t>（3）《报告》反映的收入费用与决算报告反映的收入支出的主要差异情况。无</w:t>
      </w:r>
    </w:p>
    <w:p>
      <w:pPr>
        <w:spacing w:line="396" w:lineRule="auto"/>
        <w:ind w:left="20" w:firstLine="624" w:firstLineChars="200"/>
        <w:rPr>
          <w:rFonts w:ascii="仿宋" w:hAnsi="仿宋" w:eastAsia="仿宋" w:cs="仿宋"/>
          <w:spacing w:val="11"/>
          <w:sz w:val="29"/>
          <w:szCs w:val="29"/>
        </w:rPr>
      </w:pPr>
    </w:p>
    <w:p>
      <w:pPr>
        <w:spacing w:before="120" w:line="360" w:lineRule="auto"/>
        <w:ind w:left="20" w:firstLine="582"/>
        <w:outlineLvl w:val="0"/>
        <w:rPr>
          <w:rFonts w:ascii="黑体" w:hAnsi="黑体" w:eastAsia="黑体" w:cs="黑体"/>
          <w:spacing w:val="11"/>
          <w:position w:val="4"/>
          <w:sz w:val="28"/>
          <w:szCs w:val="28"/>
        </w:rPr>
      </w:pPr>
      <w:bookmarkStart w:id="13" w:name="_Toc11555"/>
      <w:r>
        <w:rPr>
          <w:rFonts w:ascii="黑体" w:hAnsi="黑体" w:eastAsia="黑体" w:cs="黑体"/>
          <w:spacing w:val="11"/>
          <w:position w:val="4"/>
          <w:sz w:val="28"/>
          <w:szCs w:val="28"/>
        </w:rPr>
        <w:t>一、政府部门财务报表</w:t>
      </w:r>
      <w:bookmarkEnd w:id="13"/>
    </w:p>
    <w:p>
      <w:pPr>
        <w:tabs>
          <w:tab w:val="left" w:pos="600"/>
        </w:tabs>
        <w:spacing w:line="360" w:lineRule="auto"/>
        <w:ind w:left="20" w:firstLine="560" w:firstLineChars="200"/>
        <w:outlineLvl w:val="1"/>
        <w:rPr>
          <w:rFonts w:ascii="楷体" w:hAnsi="楷体" w:eastAsia="楷体" w:cs="楷体"/>
          <w:sz w:val="28"/>
          <w:szCs w:val="28"/>
        </w:rPr>
      </w:pPr>
      <w:bookmarkStart w:id="14" w:name="_Toc26210"/>
      <w:r>
        <w:rPr>
          <w:rFonts w:hint="eastAsia" w:ascii="楷体" w:hAnsi="楷体" w:eastAsia="楷体" w:cs="楷体"/>
          <w:sz w:val="28"/>
          <w:szCs w:val="28"/>
        </w:rPr>
        <w:t>(一) 政府部门会计报表</w:t>
      </w:r>
      <w:bookmarkEnd w:id="14"/>
    </w:p>
    <w:p>
      <w:pPr>
        <w:spacing w:before="120" w:line="360" w:lineRule="auto"/>
        <w:ind w:left="20" w:firstLine="762" w:firstLineChars="300"/>
        <w:outlineLvl w:val="9"/>
        <w:rPr>
          <w:rFonts w:hint="default" w:ascii="仿宋" w:hAnsi="仿宋" w:eastAsia="仿宋" w:cs="仿宋"/>
          <w:b w:val="0"/>
          <w:bCs w:val="0"/>
          <w:spacing w:val="-13"/>
          <w:sz w:val="28"/>
          <w:szCs w:val="28"/>
          <w:lang w:val="en-US" w:eastAsia="zh-CN"/>
        </w:rPr>
      </w:pPr>
      <w:bookmarkStart w:id="15" w:name="_Toc23021"/>
      <w:r>
        <w:rPr>
          <w:rFonts w:hint="eastAsia" w:ascii="仿宋" w:hAnsi="仿宋" w:eastAsia="仿宋" w:cs="仿宋"/>
          <w:b w:val="0"/>
          <w:bCs w:val="0"/>
          <w:spacing w:val="-13"/>
          <w:sz w:val="28"/>
          <w:szCs w:val="28"/>
          <w:lang w:val="en-US" w:eastAsia="zh-CN"/>
        </w:rPr>
        <w:t>表1</w:t>
      </w:r>
    </w:p>
    <w:p>
      <w:pPr>
        <w:spacing w:before="120" w:line="360" w:lineRule="auto"/>
        <w:ind w:left="20" w:firstLine="765" w:firstLineChars="300"/>
        <w:jc w:val="center"/>
        <w:outlineLvl w:val="2"/>
        <w:rPr>
          <w:rFonts w:ascii="仿宋" w:hAnsi="仿宋" w:eastAsia="仿宋" w:cs="仿宋"/>
          <w:b/>
          <w:bCs/>
          <w:spacing w:val="-13"/>
          <w:sz w:val="28"/>
          <w:szCs w:val="28"/>
        </w:rPr>
      </w:pPr>
      <w:r>
        <w:rPr>
          <w:rFonts w:hint="eastAsia" w:ascii="仿宋" w:hAnsi="仿宋" w:eastAsia="仿宋" w:cs="仿宋"/>
          <w:b/>
          <w:bCs/>
          <w:spacing w:val="-13"/>
          <w:sz w:val="28"/>
          <w:szCs w:val="28"/>
        </w:rPr>
        <w:t>资产负债表</w:t>
      </w:r>
      <w:bookmarkEnd w:id="15"/>
      <w:bookmarkStart w:id="16" w:name="_bookmark11"/>
      <w:bookmarkEnd w:id="16"/>
      <w:bookmarkStart w:id="17" w:name="_bookmark9"/>
      <w:bookmarkEnd w:id="17"/>
      <w:bookmarkStart w:id="18" w:name="_bookmark7"/>
      <w:bookmarkEnd w:id="18"/>
      <w:bookmarkStart w:id="19" w:name="_bookmark8"/>
      <w:bookmarkEnd w:id="19"/>
      <w:bookmarkStart w:id="20" w:name="_bookmark10"/>
      <w:bookmarkEnd w:id="20"/>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21" w:name="ML_1_1_ZCFZB"/>
    </w:p>
    <w:tbl>
      <w:tblPr>
        <w:tblStyle w:val="8"/>
        <w:tblW w:w="9275" w:type="dxa"/>
        <w:tblInd w:w="5" w:type="dxa"/>
        <w:tblLayout w:type="fixed"/>
        <w:tblCellMar>
          <w:top w:w="0" w:type="dxa"/>
          <w:left w:w="0" w:type="dxa"/>
          <w:bottom w:w="0" w:type="dxa"/>
          <w:right w:w="0" w:type="dxa"/>
        </w:tblCellMar>
      </w:tblPr>
      <w:tblGrid>
        <w:gridCol w:w="4534"/>
        <w:gridCol w:w="1907"/>
        <w:gridCol w:w="1417"/>
        <w:gridCol w:w="1417"/>
      </w:tblGrid>
      <w:tr>
        <w:tblPrEx>
          <w:tblLayout w:type="fixed"/>
          <w:tblCellMar>
            <w:top w:w="0" w:type="dxa"/>
            <w:left w:w="0" w:type="dxa"/>
            <w:bottom w:w="0" w:type="dxa"/>
            <w:right w:w="0" w:type="dxa"/>
          </w:tblCellMar>
        </w:tblPrEx>
        <w:trPr>
          <w:trHeight w:val="340"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编制单位：溆浦县中都乡人民政府</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2024年12月31日</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附注</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年初数</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流动资产：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货币资金</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59.29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83.74</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短期投资</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财政应返还额度</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应收票据</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应收账款净额</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预付账款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应收股利</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应收利息</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其他应收款净额</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附表5</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45.52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49.83</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存货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待摊费用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一年内到期的非流动资产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其他流动资产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流动资产合计</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104.81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133.57</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非流动资产：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长期股权投资</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长期债券投资</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固定资产原值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377.26</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367.54</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减：固定资产累计折旧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118.07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98.58</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固定资产净值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259.19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268.96</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工程物资</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在建工程</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附表8</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无形资产原值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减：无形资产累计摊销</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无形资产净值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bl>
    <w:p>
      <w:pPr>
        <w:widowControl w:val="0"/>
        <w:kinsoku/>
        <w:snapToGrid/>
        <w:spacing w:line="0" w:lineRule="atLeast"/>
        <w:textAlignment w:val="auto"/>
        <w:rPr>
          <w:rFonts w:ascii="Times New Roman" w:hAnsi="Times New Roman" w:eastAsia="Times New Roman" w:cs="Times New Roman"/>
          <w:snapToGrid/>
          <w:color w:val="auto"/>
          <w:sz w:val="2"/>
          <w:szCs w:val="24"/>
        </w:rPr>
      </w:pPr>
    </w:p>
    <w:tbl>
      <w:tblPr>
        <w:tblStyle w:val="8"/>
        <w:tblW w:w="9275" w:type="dxa"/>
        <w:tblInd w:w="5" w:type="dxa"/>
        <w:tblLayout w:type="fixed"/>
        <w:tblCellMar>
          <w:top w:w="0" w:type="dxa"/>
          <w:left w:w="0" w:type="dxa"/>
          <w:bottom w:w="0" w:type="dxa"/>
          <w:right w:w="0" w:type="dxa"/>
        </w:tblCellMar>
      </w:tblPr>
      <w:tblGrid>
        <w:gridCol w:w="4534"/>
        <w:gridCol w:w="1907"/>
        <w:gridCol w:w="1417"/>
        <w:gridCol w:w="1417"/>
      </w:tblGrid>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研发支出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公共基础设施原值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附表10-1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减：公共基础设施累计折旧（摊销）</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附表10-2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公共基础设施净值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附表10-3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政府储备物资</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文物文化资产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保障性住房原值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减：保障性住房累计折旧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保障性住房净值</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长期待摊费用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待处理财产损溢</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其他非流动资产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非流动资产合计</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259.19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268.96</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受托代理资产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资产总计</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364.00</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402.53</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流动负债：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短期借款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应交增值税</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其他应交税费</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应缴财政款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应付职工薪酬</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应付票据</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应付账款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应付政府补贴款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应付利息</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预收账款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附表15</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其他应付款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附表16</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100.51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122.78</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预提费用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bl>
    <w:p>
      <w:pPr>
        <w:widowControl w:val="0"/>
        <w:kinsoku/>
        <w:snapToGrid/>
        <w:spacing w:line="0" w:lineRule="atLeast"/>
        <w:textAlignment w:val="auto"/>
        <w:rPr>
          <w:rFonts w:ascii="Times New Roman" w:hAnsi="Times New Roman" w:eastAsia="Times New Roman" w:cs="Times New Roman"/>
          <w:snapToGrid/>
          <w:color w:val="auto"/>
          <w:sz w:val="2"/>
          <w:szCs w:val="24"/>
        </w:rPr>
      </w:pPr>
    </w:p>
    <w:tbl>
      <w:tblPr>
        <w:tblStyle w:val="8"/>
        <w:tblW w:w="9275" w:type="dxa"/>
        <w:tblInd w:w="5" w:type="dxa"/>
        <w:tblLayout w:type="fixed"/>
        <w:tblCellMar>
          <w:top w:w="0" w:type="dxa"/>
          <w:left w:w="0" w:type="dxa"/>
          <w:bottom w:w="0" w:type="dxa"/>
          <w:right w:w="0" w:type="dxa"/>
        </w:tblCellMar>
      </w:tblPr>
      <w:tblGrid>
        <w:gridCol w:w="4534"/>
        <w:gridCol w:w="1907"/>
        <w:gridCol w:w="1417"/>
        <w:gridCol w:w="1417"/>
      </w:tblGrid>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一年内到期的非流动负债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其他流动负债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流动负债合计</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100.51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122.78</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非流动负债：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长期借款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附表17-1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长期应付款</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附表18</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预计负债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其他非流动负债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非流动负债合计</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受托代理负债</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负债合计</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100.51</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122.78</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净资产:</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累计盈余</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263.49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279.75</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专用基金</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权益法调整</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净资产合计</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263.49</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279.75</w:t>
            </w: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负债及净资产总计</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364.00</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402.53</w:t>
            </w:r>
          </w:p>
        </w:tc>
      </w:tr>
      <w:tr>
        <w:tblPrEx>
          <w:tblLayout w:type="fixed"/>
          <w:tblCellMar>
            <w:top w:w="0" w:type="dxa"/>
            <w:left w:w="0" w:type="dxa"/>
            <w:bottom w:w="0" w:type="dxa"/>
            <w:right w:w="0" w:type="dxa"/>
          </w:tblCellMar>
        </w:tblPrEx>
        <w:trPr>
          <w:trHeight w:val="2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bookmarkEnd w:id="21"/>
    </w:tbl>
    <w:p>
      <w:pPr>
        <w:ind w:left="20" w:firstLine="2461" w:firstLineChars="1150"/>
        <w:rPr>
          <w:rFonts w:ascii="宋体" w:hAnsi="宋体" w:eastAsia="宋体" w:cs="仿宋"/>
          <w:spacing w:val="-13"/>
          <w:sz w:val="24"/>
          <w:szCs w:val="24"/>
        </w:rPr>
      </w:pPr>
    </w:p>
    <w:p>
      <w:pPr>
        <w:spacing w:before="120" w:line="360" w:lineRule="auto"/>
        <w:ind w:left="20" w:firstLine="762" w:firstLineChars="300"/>
        <w:outlineLvl w:val="9"/>
        <w:rPr>
          <w:rFonts w:hint="default" w:ascii="仿宋" w:hAnsi="仿宋" w:eastAsia="仿宋" w:cs="仿宋"/>
          <w:b/>
          <w:bCs/>
          <w:spacing w:val="-13"/>
          <w:sz w:val="28"/>
          <w:szCs w:val="28"/>
          <w:lang w:val="en-US" w:eastAsia="zh-CN"/>
        </w:rPr>
      </w:pPr>
      <w:bookmarkStart w:id="22" w:name="_Toc28131"/>
      <w:r>
        <w:rPr>
          <w:rFonts w:hint="eastAsia" w:ascii="仿宋" w:hAnsi="仿宋" w:eastAsia="仿宋" w:cs="仿宋"/>
          <w:b w:val="0"/>
          <w:bCs w:val="0"/>
          <w:spacing w:val="-13"/>
          <w:sz w:val="28"/>
          <w:szCs w:val="28"/>
          <w:lang w:val="en-US" w:eastAsia="zh-CN"/>
        </w:rPr>
        <w:t>表2-1</w:t>
      </w:r>
    </w:p>
    <w:p>
      <w:pPr>
        <w:spacing w:before="120" w:line="360" w:lineRule="auto"/>
        <w:ind w:left="20" w:firstLine="765" w:firstLineChars="300"/>
        <w:jc w:val="center"/>
        <w:outlineLvl w:val="2"/>
        <w:rPr>
          <w:rFonts w:ascii="仿宋" w:hAnsi="仿宋" w:eastAsia="仿宋" w:cs="仿宋"/>
          <w:b/>
          <w:bCs/>
          <w:spacing w:val="-13"/>
          <w:sz w:val="28"/>
          <w:szCs w:val="28"/>
        </w:rPr>
      </w:pPr>
      <w:r>
        <w:rPr>
          <w:rFonts w:hint="eastAsia" w:ascii="仿宋" w:hAnsi="仿宋" w:eastAsia="仿宋" w:cs="仿宋"/>
          <w:b/>
          <w:bCs/>
          <w:spacing w:val="-13"/>
          <w:sz w:val="28"/>
          <w:szCs w:val="28"/>
        </w:rPr>
        <w:t>收入费用表（1）</w:t>
      </w:r>
      <w:bookmarkEnd w:id="22"/>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23" w:name="ML_1_1_SRFYB1"/>
    </w:p>
    <w:tbl>
      <w:tblPr>
        <w:tblStyle w:val="8"/>
        <w:tblW w:w="9275" w:type="dxa"/>
        <w:tblInd w:w="5" w:type="dxa"/>
        <w:tblLayout w:type="fixed"/>
        <w:tblCellMar>
          <w:top w:w="0" w:type="dxa"/>
          <w:left w:w="0" w:type="dxa"/>
          <w:bottom w:w="0" w:type="dxa"/>
          <w:right w:w="0" w:type="dxa"/>
        </w:tblCellMar>
      </w:tblPr>
      <w:tblGrid>
        <w:gridCol w:w="4534"/>
        <w:gridCol w:w="1907"/>
        <w:gridCol w:w="1417"/>
        <w:gridCol w:w="1417"/>
      </w:tblGrid>
      <w:tr>
        <w:tblPrEx>
          <w:tblLayout w:type="fixed"/>
          <w:tblCellMar>
            <w:top w:w="0" w:type="dxa"/>
            <w:left w:w="0" w:type="dxa"/>
            <w:bottom w:w="0" w:type="dxa"/>
            <w:right w:w="0" w:type="dxa"/>
          </w:tblCellMar>
        </w:tblPrEx>
        <w:trPr>
          <w:trHeight w:val="340"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编制单位：溆浦县中都乡人民政府</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2024年</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附注</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财政拨款收入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1,206.77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1,086.71</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事业收入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上级补助收入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附属单位上缴收入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经营收入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附表20</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非同级财政拨款收入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投资收益</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捐赠收入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利息收入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租金收入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收入合计</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1,206.77</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1,086.71</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业务活动费用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1,206.77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1,086.70</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单位管理费用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附表25</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经营费用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附表26</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资产处置费用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上缴上级费用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对附属单位补助费用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所得税费用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费用合计</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1,206.77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1,086.70</w:t>
            </w: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本年盈余</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0.01</w:t>
            </w:r>
          </w:p>
        </w:tc>
      </w:tr>
      <w:tr>
        <w:tblPrEx>
          <w:tblLayout w:type="fixed"/>
          <w:tblCellMar>
            <w:top w:w="0" w:type="dxa"/>
            <w:left w:w="0" w:type="dxa"/>
            <w:bottom w:w="0" w:type="dxa"/>
            <w:right w:w="0" w:type="dxa"/>
          </w:tblCellMar>
        </w:tblPrEx>
        <w:trPr>
          <w:trHeight w:val="2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bookmarkEnd w:id="23"/>
    </w:tbl>
    <w:p>
      <w:pPr>
        <w:ind w:left="20" w:firstLine="2472" w:firstLineChars="1150"/>
        <w:rPr>
          <w:rFonts w:ascii="宋体" w:hAnsi="宋体" w:eastAsia="宋体" w:cs="仿宋"/>
          <w:b/>
          <w:spacing w:val="-13"/>
          <w:sz w:val="24"/>
          <w:szCs w:val="24"/>
        </w:rPr>
      </w:pPr>
    </w:p>
    <w:p>
      <w:pPr>
        <w:spacing w:before="120" w:line="360" w:lineRule="auto"/>
        <w:ind w:left="20" w:firstLine="762" w:firstLineChars="300"/>
        <w:outlineLvl w:val="9"/>
        <w:rPr>
          <w:rFonts w:hint="default" w:ascii="仿宋" w:hAnsi="仿宋" w:eastAsia="仿宋" w:cs="仿宋"/>
          <w:b/>
          <w:bCs/>
          <w:spacing w:val="-13"/>
          <w:sz w:val="28"/>
          <w:szCs w:val="28"/>
          <w:lang w:val="en-US" w:eastAsia="zh-CN"/>
        </w:rPr>
      </w:pPr>
      <w:bookmarkStart w:id="24" w:name="_Toc16621"/>
      <w:r>
        <w:rPr>
          <w:rFonts w:hint="eastAsia" w:ascii="仿宋" w:hAnsi="仿宋" w:eastAsia="仿宋" w:cs="仿宋"/>
          <w:b w:val="0"/>
          <w:bCs w:val="0"/>
          <w:spacing w:val="-13"/>
          <w:sz w:val="28"/>
          <w:szCs w:val="28"/>
          <w:lang w:val="en-US" w:eastAsia="zh-CN"/>
        </w:rPr>
        <w:t>表2-2</w:t>
      </w:r>
    </w:p>
    <w:p>
      <w:pPr>
        <w:spacing w:before="120" w:line="360" w:lineRule="auto"/>
        <w:ind w:left="20" w:firstLine="765" w:firstLineChars="300"/>
        <w:jc w:val="center"/>
        <w:outlineLvl w:val="2"/>
        <w:rPr>
          <w:rFonts w:ascii="仿宋" w:hAnsi="仿宋" w:eastAsia="仿宋" w:cs="仿宋"/>
          <w:b/>
          <w:bCs/>
          <w:spacing w:val="-13"/>
          <w:sz w:val="28"/>
          <w:szCs w:val="28"/>
        </w:rPr>
      </w:pPr>
      <w:r>
        <w:rPr>
          <w:rFonts w:hint="eastAsia" w:ascii="仿宋" w:hAnsi="仿宋" w:eastAsia="仿宋" w:cs="仿宋"/>
          <w:b/>
          <w:bCs/>
          <w:spacing w:val="-13"/>
          <w:sz w:val="28"/>
          <w:szCs w:val="28"/>
        </w:rPr>
        <w:t>收入费用表（2）</w:t>
      </w:r>
      <w:bookmarkEnd w:id="24"/>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25" w:name="ML_1_1_SRFYB2"/>
    </w:p>
    <w:tbl>
      <w:tblPr>
        <w:tblStyle w:val="8"/>
        <w:tblW w:w="9275" w:type="dxa"/>
        <w:tblInd w:w="5" w:type="dxa"/>
        <w:tblLayout w:type="fixed"/>
        <w:tblCellMar>
          <w:top w:w="0" w:type="dxa"/>
          <w:left w:w="0" w:type="dxa"/>
          <w:bottom w:w="0" w:type="dxa"/>
          <w:right w:w="0" w:type="dxa"/>
        </w:tblCellMar>
      </w:tblPr>
      <w:tblGrid>
        <w:gridCol w:w="4534"/>
        <w:gridCol w:w="1907"/>
        <w:gridCol w:w="1417"/>
        <w:gridCol w:w="1417"/>
      </w:tblGrid>
      <w:tr>
        <w:tblPrEx>
          <w:tblLayout w:type="fixed"/>
          <w:tblCellMar>
            <w:top w:w="0" w:type="dxa"/>
            <w:left w:w="0" w:type="dxa"/>
            <w:bottom w:w="0" w:type="dxa"/>
            <w:right w:w="0" w:type="dxa"/>
          </w:tblCellMar>
        </w:tblPrEx>
        <w:trPr>
          <w:trHeight w:val="340"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编制单位：溆浦县中都乡人民政府</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2024年</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附注</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财政拨款收入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1,206.77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1,086.71</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事业收入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上级补助收入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附属单位上缴收入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经营收入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附表20</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非同级财政拨款收入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投资收益</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捐赠收入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利息收入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租金收入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其他收入</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收入合计</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1,206.77</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1,086.71</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工资福利费用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562.88</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531.77</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商品和服务费用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222.98</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223.32</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对个人和家庭的补助费用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107.59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192.37</w:t>
            </w: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对企业补助费用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固定资产折旧费用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无形资产摊销费用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公共基础设施折旧（摊销）费用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保障性住房折旧费用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计提专用基金</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资产处置费用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上缴上级费用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对附属单位补助费用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所得税费用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其他费用</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附表28</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313.32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139.24</w:t>
            </w:r>
          </w:p>
        </w:tc>
      </w:tr>
    </w:tbl>
    <w:p>
      <w:pPr>
        <w:widowControl w:val="0"/>
        <w:kinsoku/>
        <w:snapToGrid/>
        <w:spacing w:line="0" w:lineRule="atLeast"/>
        <w:textAlignment w:val="auto"/>
        <w:rPr>
          <w:rFonts w:ascii="Times New Roman" w:hAnsi="Times New Roman" w:eastAsia="Times New Roman" w:cs="Times New Roman"/>
          <w:snapToGrid/>
          <w:color w:val="auto"/>
          <w:sz w:val="2"/>
          <w:szCs w:val="24"/>
        </w:rPr>
      </w:pPr>
    </w:p>
    <w:tbl>
      <w:tblPr>
        <w:tblStyle w:val="8"/>
        <w:tblW w:w="9275" w:type="dxa"/>
        <w:tblInd w:w="5" w:type="dxa"/>
        <w:tblLayout w:type="fixed"/>
        <w:tblCellMar>
          <w:top w:w="0" w:type="dxa"/>
          <w:left w:w="0" w:type="dxa"/>
          <w:bottom w:w="0" w:type="dxa"/>
          <w:right w:w="0" w:type="dxa"/>
        </w:tblCellMar>
      </w:tblPr>
      <w:tblGrid>
        <w:gridCol w:w="4534"/>
        <w:gridCol w:w="1907"/>
        <w:gridCol w:w="1417"/>
        <w:gridCol w:w="1417"/>
      </w:tblGrid>
      <w:tr>
        <w:tblPrEx>
          <w:tblLayout w:type="fixed"/>
          <w:tblCellMar>
            <w:top w:w="0" w:type="dxa"/>
            <w:left w:w="0" w:type="dxa"/>
            <w:bottom w:w="0" w:type="dxa"/>
            <w:right w:w="0" w:type="dxa"/>
          </w:tblCellMar>
        </w:tblPrEx>
        <w:trPr>
          <w:trHeight w:val="3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费用合计</w:t>
            </w: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1,206.77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1,086.70</w:t>
            </w:r>
          </w:p>
        </w:tc>
      </w:tr>
      <w:tr>
        <w:tblPrEx>
          <w:tblLayout w:type="fixed"/>
          <w:tblCellMar>
            <w:top w:w="0" w:type="dxa"/>
            <w:left w:w="0" w:type="dxa"/>
            <w:bottom w:w="0" w:type="dxa"/>
            <w:right w:w="0" w:type="dxa"/>
          </w:tblCellMar>
        </w:tblPrEx>
        <w:trPr>
          <w:trHeight w:val="385" w:hRule="exact"/>
        </w:trPr>
        <w:tc>
          <w:tcPr>
            <w:tcW w:w="4534"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本年盈余</w:t>
            </w:r>
          </w:p>
        </w:tc>
        <w:tc>
          <w:tcPr>
            <w:tcW w:w="190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0.01</w:t>
            </w:r>
          </w:p>
        </w:tc>
      </w:tr>
      <w:tr>
        <w:tblPrEx>
          <w:tblLayout w:type="fixed"/>
          <w:tblCellMar>
            <w:top w:w="0" w:type="dxa"/>
            <w:left w:w="0" w:type="dxa"/>
            <w:bottom w:w="0" w:type="dxa"/>
            <w:right w:w="0" w:type="dxa"/>
          </w:tblCellMar>
        </w:tblPrEx>
        <w:trPr>
          <w:trHeight w:val="285" w:hRule="exact"/>
        </w:trPr>
        <w:tc>
          <w:tcPr>
            <w:tcW w:w="4534"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9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285" w:hRule="exact"/>
        </w:trPr>
        <w:tc>
          <w:tcPr>
            <w:tcW w:w="9275"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25" w:lineRule="exact"/>
              <w:ind w:left="20"/>
              <w:textAlignment w:val="auto"/>
              <w:rPr>
                <w:rFonts w:ascii="宋体" w:hAnsi="Times New Roman" w:cs="宋体"/>
                <w:snapToGrid/>
                <w:sz w:val="18"/>
                <w:szCs w:val="24"/>
              </w:rPr>
            </w:pPr>
            <w:r>
              <w:rPr>
                <w:rFonts w:ascii="宋体" w:hAnsi="Times New Roman" w:cs="宋体"/>
                <w:snapToGrid/>
                <w:sz w:val="18"/>
                <w:szCs w:val="24"/>
              </w:rPr>
              <w:t>表 2-2 的“其他费用”包括“业务活动费用”、“单位管理费用”、“经营费用”等会计科目中的其他部分。</w:t>
            </w:r>
          </w:p>
        </w:tc>
      </w:tr>
      <w:bookmarkEnd w:id="25"/>
    </w:tbl>
    <w:p>
      <w:pPr>
        <w:ind w:left="20" w:firstLine="2472" w:firstLineChars="1150"/>
        <w:rPr>
          <w:rFonts w:ascii="宋体" w:hAnsi="宋体" w:eastAsia="宋体" w:cs="仿宋"/>
          <w:b/>
          <w:spacing w:val="-13"/>
          <w:sz w:val="24"/>
          <w:szCs w:val="24"/>
        </w:rPr>
      </w:pPr>
    </w:p>
    <w:p>
      <w:pPr>
        <w:tabs>
          <w:tab w:val="left" w:pos="600"/>
        </w:tabs>
        <w:spacing w:before="120" w:beforeLines="50" w:line="360" w:lineRule="auto"/>
        <w:ind w:left="20" w:firstLine="599" w:firstLineChars="184"/>
        <w:outlineLvl w:val="1"/>
        <w:rPr>
          <w:rFonts w:ascii="楷体" w:hAnsi="楷体" w:eastAsia="楷体" w:cs="楷体"/>
          <w:bCs/>
          <w:spacing w:val="23"/>
          <w:sz w:val="28"/>
          <w:szCs w:val="28"/>
        </w:rPr>
      </w:pPr>
      <w:bookmarkStart w:id="26" w:name="_Toc19198"/>
      <w:r>
        <w:rPr>
          <w:rFonts w:ascii="楷体" w:hAnsi="楷体" w:eastAsia="楷体" w:cs="楷体"/>
          <w:bCs/>
          <w:spacing w:val="23"/>
          <w:sz w:val="28"/>
          <w:szCs w:val="28"/>
        </w:rPr>
        <w:t>(二) 政府部门会计报表附注</w:t>
      </w:r>
      <w:bookmarkEnd w:id="26"/>
    </w:p>
    <w:p>
      <w:pPr>
        <w:spacing w:before="120" w:line="224" w:lineRule="auto"/>
        <w:ind w:left="20" w:right="11" w:firstLine="564"/>
        <w:outlineLvl w:val="2"/>
        <w:rPr>
          <w:rFonts w:ascii="仿宋" w:hAnsi="仿宋" w:eastAsia="仿宋" w:cs="仿宋"/>
          <w:b/>
          <w:bCs/>
          <w:spacing w:val="1"/>
          <w:sz w:val="28"/>
          <w:szCs w:val="28"/>
        </w:rPr>
      </w:pPr>
      <w:bookmarkStart w:id="27" w:name="_Toc21358"/>
      <w:r>
        <w:rPr>
          <w:rFonts w:hint="eastAsia" w:ascii="仿宋" w:hAnsi="仿宋" w:eastAsia="仿宋" w:cs="仿宋"/>
          <w:b/>
          <w:bCs/>
          <w:spacing w:val="1"/>
          <w:sz w:val="28"/>
          <w:szCs w:val="28"/>
        </w:rPr>
        <w:t>1.会计报表编制基础</w:t>
      </w:r>
      <w:bookmarkEnd w:id="27"/>
    </w:p>
    <w:p>
      <w:pPr>
        <w:ind w:left="20" w:firstLine="624" w:firstLineChars="200"/>
        <w:rPr>
          <w:rFonts w:ascii="仿宋" w:hAnsi="仿宋" w:eastAsia="仿宋" w:cs="仿宋"/>
          <w:spacing w:val="11"/>
          <w:sz w:val="29"/>
          <w:szCs w:val="29"/>
        </w:rPr>
      </w:pPr>
      <w:r>
        <w:rPr>
          <w:rFonts w:ascii="仿宋" w:hAnsi="仿宋" w:eastAsia="仿宋" w:cs="仿宋"/>
          <w:spacing w:val="11"/>
          <w:sz w:val="29"/>
          <w:szCs w:val="29"/>
        </w:rPr>
        <w:t>本单位财务报告以权责发生制的财务会计为编制基础。</w:t>
      </w:r>
    </w:p>
    <w:p>
      <w:pPr>
        <w:ind w:left="20" w:firstLine="624" w:firstLineChars="200"/>
        <w:rPr>
          <w:rFonts w:ascii="仿宋" w:hAnsi="仿宋" w:eastAsia="仿宋" w:cs="仿宋"/>
          <w:spacing w:val="11"/>
          <w:sz w:val="29"/>
          <w:szCs w:val="29"/>
        </w:rPr>
      </w:pPr>
    </w:p>
    <w:p>
      <w:pPr>
        <w:spacing w:before="120" w:line="224" w:lineRule="auto"/>
        <w:ind w:left="20" w:right="11" w:firstLine="564"/>
        <w:outlineLvl w:val="2"/>
        <w:rPr>
          <w:rFonts w:ascii="仿宋" w:hAnsi="仿宋" w:eastAsia="仿宋" w:cs="仿宋"/>
          <w:b/>
          <w:bCs/>
          <w:spacing w:val="1"/>
          <w:sz w:val="28"/>
          <w:szCs w:val="28"/>
        </w:rPr>
      </w:pPr>
      <w:bookmarkStart w:id="28" w:name="_Toc30112"/>
      <w:r>
        <w:rPr>
          <w:rFonts w:hint="eastAsia" w:ascii="仿宋" w:hAnsi="仿宋" w:eastAsia="仿宋" w:cs="仿宋"/>
          <w:b/>
          <w:bCs/>
          <w:spacing w:val="1"/>
          <w:sz w:val="28"/>
          <w:szCs w:val="28"/>
        </w:rPr>
        <w:t>2.遵循相关制度规定的声明</w:t>
      </w:r>
      <w:bookmarkEnd w:id="28"/>
    </w:p>
    <w:p>
      <w:pPr>
        <w:ind w:left="20" w:firstLine="624" w:firstLineChars="200"/>
        <w:rPr>
          <w:rFonts w:ascii="仿宋" w:hAnsi="仿宋" w:eastAsia="仿宋" w:cs="仿宋"/>
          <w:spacing w:val="11"/>
          <w:sz w:val="29"/>
          <w:szCs w:val="29"/>
        </w:rPr>
      </w:pPr>
      <w:r>
        <w:rPr>
          <w:rFonts w:ascii="仿宋" w:hAnsi="仿宋" w:eastAsia="仿宋" w:cs="仿宋"/>
          <w:spacing w:val="11"/>
          <w:sz w:val="29"/>
          <w:szCs w:val="29"/>
        </w:rPr>
        <w:t>编制的会计报表符合政府会计准则丶相关会计制度和财务报告编制规定的要求，如实反映政府部门的财务状况丶运行情况等有关信息。</w:t>
      </w:r>
    </w:p>
    <w:p>
      <w:pPr>
        <w:ind w:left="20" w:firstLine="624" w:firstLineChars="200"/>
        <w:rPr>
          <w:rFonts w:ascii="仿宋" w:hAnsi="仿宋" w:eastAsia="仿宋" w:cs="仿宋"/>
          <w:spacing w:val="11"/>
          <w:sz w:val="29"/>
          <w:szCs w:val="29"/>
        </w:rPr>
      </w:pPr>
    </w:p>
    <w:p>
      <w:pPr>
        <w:spacing w:before="120" w:line="224" w:lineRule="auto"/>
        <w:ind w:left="20" w:right="11" w:firstLine="564"/>
        <w:outlineLvl w:val="2"/>
        <w:rPr>
          <w:rFonts w:ascii="仿宋" w:hAnsi="仿宋" w:eastAsia="仿宋" w:cs="仿宋"/>
          <w:b/>
          <w:bCs/>
          <w:spacing w:val="1"/>
          <w:sz w:val="28"/>
          <w:szCs w:val="28"/>
        </w:rPr>
      </w:pPr>
      <w:bookmarkStart w:id="29" w:name="_Toc3641"/>
      <w:r>
        <w:rPr>
          <w:rFonts w:hint="eastAsia" w:ascii="仿宋" w:hAnsi="仿宋" w:eastAsia="仿宋" w:cs="仿宋"/>
          <w:b/>
          <w:bCs/>
          <w:spacing w:val="1"/>
          <w:sz w:val="28"/>
          <w:szCs w:val="28"/>
        </w:rPr>
        <w:t>3.合并范围</w:t>
      </w:r>
      <w:bookmarkEnd w:id="29"/>
    </w:p>
    <w:p>
      <w:pPr>
        <w:ind w:left="20" w:firstLine="624" w:firstLineChars="200"/>
        <w:rPr>
          <w:rFonts w:ascii="仿宋" w:hAnsi="仿宋" w:eastAsia="仿宋" w:cs="仿宋"/>
          <w:spacing w:val="11"/>
          <w:sz w:val="29"/>
          <w:szCs w:val="29"/>
        </w:rPr>
      </w:pPr>
      <w:r>
        <w:rPr>
          <w:rFonts w:ascii="仿宋" w:hAnsi="仿宋" w:eastAsia="仿宋" w:cs="仿宋"/>
          <w:spacing w:val="11"/>
          <w:sz w:val="29"/>
          <w:szCs w:val="29"/>
        </w:rPr>
        <w:t>溆浦县中都乡人民政府本级。</w:t>
      </w:r>
    </w:p>
    <w:p>
      <w:pPr>
        <w:ind w:left="20" w:firstLine="624" w:firstLineChars="200"/>
        <w:rPr>
          <w:rFonts w:ascii="仿宋" w:hAnsi="仿宋" w:eastAsia="仿宋" w:cs="仿宋"/>
          <w:spacing w:val="11"/>
          <w:sz w:val="29"/>
          <w:szCs w:val="29"/>
        </w:rPr>
      </w:pPr>
    </w:p>
    <w:p>
      <w:pPr>
        <w:spacing w:before="120" w:line="224" w:lineRule="auto"/>
        <w:ind w:left="20" w:right="11" w:firstLine="564"/>
        <w:outlineLvl w:val="2"/>
        <w:rPr>
          <w:rFonts w:ascii="仿宋" w:hAnsi="仿宋" w:eastAsia="仿宋" w:cs="仿宋"/>
          <w:b/>
          <w:bCs/>
          <w:spacing w:val="1"/>
          <w:sz w:val="28"/>
          <w:szCs w:val="28"/>
        </w:rPr>
      </w:pPr>
      <w:bookmarkStart w:id="30" w:name="_Toc29140"/>
      <w:r>
        <w:rPr>
          <w:rFonts w:hint="eastAsia" w:ascii="仿宋" w:hAnsi="仿宋" w:eastAsia="仿宋" w:cs="仿宋"/>
          <w:b/>
          <w:bCs/>
          <w:spacing w:val="1"/>
          <w:sz w:val="28"/>
          <w:szCs w:val="28"/>
        </w:rPr>
        <w:t>4.重要会计政策与会计估计变更情况</w:t>
      </w:r>
      <w:bookmarkEnd w:id="30"/>
    </w:p>
    <w:p>
      <w:pPr>
        <w:ind w:left="20" w:firstLine="624" w:firstLineChars="200"/>
        <w:rPr>
          <w:rFonts w:ascii="仿宋" w:hAnsi="仿宋" w:eastAsia="仿宋" w:cs="仿宋"/>
          <w:spacing w:val="11"/>
          <w:sz w:val="29"/>
          <w:szCs w:val="29"/>
        </w:rPr>
      </w:pPr>
      <w:r>
        <w:rPr>
          <w:rFonts w:ascii="仿宋" w:hAnsi="仿宋" w:eastAsia="仿宋" w:cs="仿宋"/>
          <w:spacing w:val="11"/>
          <w:sz w:val="29"/>
          <w:szCs w:val="29"/>
        </w:rPr>
        <w:t>（1）会计期间：2024年1月1日--2024年12月31日</w:t>
      </w:r>
    </w:p>
    <w:p>
      <w:pPr>
        <w:ind w:left="20" w:firstLine="624" w:firstLineChars="200"/>
        <w:rPr>
          <w:rFonts w:ascii="仿宋" w:hAnsi="仿宋" w:eastAsia="仿宋" w:cs="仿宋"/>
          <w:spacing w:val="11"/>
          <w:sz w:val="29"/>
          <w:szCs w:val="29"/>
        </w:rPr>
      </w:pPr>
      <w:r>
        <w:rPr>
          <w:rFonts w:ascii="仿宋" w:hAnsi="仿宋" w:eastAsia="仿宋" w:cs="仿宋"/>
          <w:spacing w:val="11"/>
          <w:sz w:val="29"/>
          <w:szCs w:val="29"/>
        </w:rPr>
        <w:t>（2）记账本位币：人民币</w:t>
      </w:r>
    </w:p>
    <w:p>
      <w:pPr>
        <w:ind w:left="20" w:firstLine="624" w:firstLineChars="200"/>
        <w:rPr>
          <w:rFonts w:ascii="仿宋" w:hAnsi="仿宋" w:eastAsia="仿宋" w:cs="仿宋"/>
          <w:spacing w:val="11"/>
          <w:sz w:val="29"/>
          <w:szCs w:val="29"/>
        </w:rPr>
      </w:pPr>
      <w:r>
        <w:rPr>
          <w:rFonts w:ascii="仿宋" w:hAnsi="仿宋" w:eastAsia="仿宋" w:cs="仿宋"/>
          <w:spacing w:val="11"/>
          <w:sz w:val="29"/>
          <w:szCs w:val="29"/>
        </w:rPr>
        <w:t>（3）会计报表中重要资产、负债、收入和费用项目的含义、确认原则、计量方法等会计政策以及具体会计方法的解释和说明。</w:t>
      </w:r>
      <w:r>
        <w:rPr>
          <w:rFonts w:ascii="Arial Unicode MS" w:hAnsi="Arial Unicode MS" w:eastAsia="Arial Unicode MS" w:cs="Arial Unicode MS"/>
          <w:spacing w:val="11"/>
          <w:sz w:val="29"/>
          <w:szCs w:val="29"/>
        </w:rPr>
        <w:t>  </w:t>
      </w:r>
      <w:r>
        <w:rPr>
          <w:rFonts w:ascii="仿宋" w:hAnsi="仿宋" w:eastAsia="仿宋" w:cs="仿宋"/>
          <w:spacing w:val="11"/>
          <w:sz w:val="29"/>
          <w:szCs w:val="29"/>
        </w:rPr>
        <w:t>固定资产、公共基础设施的类别、折旧年限及折旧方法。折旧方法采用平均年限法。</w:t>
      </w:r>
    </w:p>
    <w:p>
      <w:pPr>
        <w:ind w:left="20" w:firstLine="624" w:firstLineChars="200"/>
        <w:rPr>
          <w:rFonts w:ascii="仿宋" w:hAnsi="仿宋" w:eastAsia="仿宋" w:cs="仿宋"/>
          <w:spacing w:val="11"/>
          <w:sz w:val="29"/>
          <w:szCs w:val="29"/>
        </w:rPr>
      </w:pPr>
    </w:p>
    <w:p>
      <w:pPr>
        <w:spacing w:before="120" w:line="224" w:lineRule="auto"/>
        <w:ind w:left="20" w:right="11" w:firstLine="564"/>
        <w:outlineLvl w:val="2"/>
        <w:rPr>
          <w:rFonts w:ascii="仿宋" w:hAnsi="仿宋" w:eastAsia="仿宋" w:cs="仿宋"/>
          <w:b/>
          <w:bCs/>
          <w:spacing w:val="1"/>
          <w:sz w:val="28"/>
          <w:szCs w:val="28"/>
        </w:rPr>
      </w:pPr>
      <w:bookmarkStart w:id="31" w:name="_Toc32258"/>
      <w:r>
        <w:rPr>
          <w:rFonts w:hint="eastAsia" w:ascii="仿宋" w:hAnsi="仿宋" w:eastAsia="仿宋" w:cs="仿宋"/>
          <w:b/>
          <w:bCs/>
          <w:spacing w:val="1"/>
          <w:sz w:val="28"/>
          <w:szCs w:val="28"/>
        </w:rPr>
        <w:t>5.会计报表重要项目的明细信息及说明</w:t>
      </w:r>
      <w:bookmarkEnd w:id="31"/>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32" w:name="ML_1_2_HBZJMXXXB1"/>
      <w:bookmarkEnd w:id="32"/>
    </w:p>
    <w:tbl>
      <w:tblPr>
        <w:tblStyle w:val="8"/>
        <w:tblW w:w="8809" w:type="dxa"/>
        <w:tblInd w:w="5" w:type="dxa"/>
        <w:tblLayout w:type="fixed"/>
        <w:tblCellMar>
          <w:top w:w="0" w:type="dxa"/>
          <w:left w:w="0" w:type="dxa"/>
          <w:bottom w:w="0" w:type="dxa"/>
          <w:right w:w="0" w:type="dxa"/>
        </w:tblCellMar>
      </w:tblPr>
      <w:tblGrid>
        <w:gridCol w:w="4849"/>
        <w:gridCol w:w="1320"/>
        <w:gridCol w:w="1320"/>
        <w:gridCol w:w="1320"/>
      </w:tblGrid>
      <w:tr>
        <w:tblPrEx>
          <w:tblLayout w:type="fixed"/>
          <w:tblCellMar>
            <w:top w:w="0" w:type="dxa"/>
            <w:left w:w="0" w:type="dxa"/>
            <w:bottom w:w="0" w:type="dxa"/>
            <w:right w:w="0" w:type="dxa"/>
          </w:tblCellMar>
        </w:tblPrEx>
        <w:trPr>
          <w:trHeight w:val="566" w:hRule="exact"/>
        </w:trPr>
        <w:tc>
          <w:tcPr>
            <w:tcW w:w="8809"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(1) 货币资金明细信息如下：</w:t>
            </w:r>
          </w:p>
        </w:tc>
      </w:tr>
      <w:tr>
        <w:tblPrEx>
          <w:tblLayout w:type="fixed"/>
          <w:tblCellMar>
            <w:top w:w="0" w:type="dxa"/>
            <w:left w:w="0" w:type="dxa"/>
            <w:bottom w:w="0" w:type="dxa"/>
            <w:right w:w="0" w:type="dxa"/>
          </w:tblCellMar>
        </w:tblPrEx>
        <w:trPr>
          <w:trHeight w:val="396" w:hRule="exact"/>
        </w:trPr>
        <w:tc>
          <w:tcPr>
            <w:tcW w:w="8809"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附表1</w:t>
            </w:r>
          </w:p>
        </w:tc>
      </w:tr>
      <w:tr>
        <w:tblPrEx>
          <w:tblLayout w:type="fixed"/>
          <w:tblCellMar>
            <w:top w:w="0" w:type="dxa"/>
            <w:left w:w="0" w:type="dxa"/>
            <w:bottom w:w="0" w:type="dxa"/>
            <w:right w:w="0" w:type="dxa"/>
          </w:tblCellMar>
        </w:tblPrEx>
        <w:trPr>
          <w:trHeight w:val="396" w:hRule="exact"/>
        </w:trPr>
        <w:tc>
          <w:tcPr>
            <w:tcW w:w="8809"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货币资金明细表</w:t>
            </w:r>
          </w:p>
        </w:tc>
      </w:tr>
      <w:tr>
        <w:tblPrEx>
          <w:tblLayout w:type="fixed"/>
          <w:tblCellMar>
            <w:top w:w="0" w:type="dxa"/>
            <w:left w:w="0" w:type="dxa"/>
            <w:bottom w:w="0" w:type="dxa"/>
            <w:right w:w="0" w:type="dxa"/>
          </w:tblCellMar>
        </w:tblPrEx>
        <w:trPr>
          <w:trHeight w:val="340" w:hRule="exact"/>
        </w:trPr>
        <w:tc>
          <w:tcPr>
            <w:tcW w:w="8809"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484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年初数</w:t>
            </w:r>
          </w:p>
        </w:tc>
      </w:tr>
      <w:tr>
        <w:tblPrEx>
          <w:tblLayout w:type="fixed"/>
          <w:tblCellMar>
            <w:top w:w="0" w:type="dxa"/>
            <w:left w:w="0" w:type="dxa"/>
            <w:bottom w:w="0" w:type="dxa"/>
            <w:right w:w="0" w:type="dxa"/>
          </w:tblCellMar>
        </w:tblPrEx>
        <w:trPr>
          <w:trHeight w:val="385" w:hRule="exact"/>
        </w:trPr>
        <w:tc>
          <w:tcPr>
            <w:tcW w:w="48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库存现金</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8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银行存款</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59.29</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83.74</w:t>
            </w:r>
          </w:p>
        </w:tc>
      </w:tr>
      <w:tr>
        <w:tblPrEx>
          <w:tblLayout w:type="fixed"/>
          <w:tblCellMar>
            <w:top w:w="0" w:type="dxa"/>
            <w:left w:w="0" w:type="dxa"/>
            <w:bottom w:w="0" w:type="dxa"/>
            <w:right w:w="0" w:type="dxa"/>
          </w:tblCellMar>
        </w:tblPrEx>
        <w:trPr>
          <w:trHeight w:val="385" w:hRule="exact"/>
        </w:trPr>
        <w:tc>
          <w:tcPr>
            <w:tcW w:w="48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其他货币资金</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484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59.29</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83.74</w:t>
            </w:r>
          </w:p>
        </w:tc>
      </w:tr>
    </w:tbl>
    <w:p>
      <w:pPr>
        <w:spacing w:before="120" w:line="360" w:lineRule="auto"/>
        <w:ind w:left="20" w:firstLine="588" w:firstLineChars="200"/>
        <w:rPr>
          <w:rFonts w:hint="eastAsia" w:ascii="仿宋" w:hAnsi="仿宋" w:eastAsia="仿宋" w:cs="仿宋"/>
          <w:spacing w:val="2"/>
          <w:sz w:val="29"/>
          <w:szCs w:val="29"/>
        </w:rPr>
      </w:pPr>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33" w:name="ML_1_2_YSPJMXXXB2"/>
      <w:r>
        <w:rPr>
          <w:rFonts w:ascii="仿宋" w:hAnsi="仿宋" w:eastAsia="仿宋" w:cs="仿宋"/>
          <w:spacing w:val="2"/>
          <w:sz w:val="29"/>
          <w:szCs w:val="29"/>
        </w:rPr>
        <w:t>(2) 应收票据明细信息（无）</w:t>
      </w:r>
      <w:bookmarkEnd w:id="33"/>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4"/>
          <w:sz w:val="29"/>
          <w:szCs w:val="29"/>
        </w:rPr>
      </w:pPr>
      <w:bookmarkStart w:id="34" w:name="ML_1_2_YSZKJEMXXXB3"/>
      <w:r>
        <w:rPr>
          <w:rFonts w:ascii="仿宋" w:hAnsi="仿宋" w:eastAsia="仿宋" w:cs="仿宋"/>
          <w:spacing w:val="2"/>
          <w:sz w:val="29"/>
          <w:szCs w:val="29"/>
        </w:rPr>
        <w:t>(3) 应收账款净额明细信息（无）</w:t>
      </w:r>
      <w:bookmarkEnd w:id="34"/>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4"/>
          <w:sz w:val="29"/>
          <w:szCs w:val="29"/>
        </w:rPr>
      </w:pPr>
      <w:bookmarkStart w:id="35" w:name="ML_1_2_YFZKMXXXB4"/>
      <w:r>
        <w:rPr>
          <w:rFonts w:ascii="仿宋" w:hAnsi="仿宋" w:eastAsia="仿宋" w:cs="仿宋"/>
          <w:spacing w:val="2"/>
          <w:sz w:val="29"/>
          <w:szCs w:val="29"/>
        </w:rPr>
        <w:t>(4) 预付账款明细信息（无）</w:t>
      </w:r>
      <w:bookmarkEnd w:id="35"/>
      <w:r>
        <w:rPr>
          <w:rFonts w:hint="eastAsia" w:ascii="仿宋" w:hAnsi="仿宋" w:eastAsia="仿宋" w:cs="仿宋"/>
          <w:spacing w:val="2"/>
          <w:sz w:val="29"/>
          <w:szCs w:val="29"/>
        </w:rPr>
        <w:t xml:space="preserve"> </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36" w:name="ML_1_2_QTYSKJEMXXXB5"/>
      <w:bookmarkEnd w:id="36"/>
    </w:p>
    <w:tbl>
      <w:tblPr>
        <w:tblStyle w:val="8"/>
        <w:tblW w:w="9663" w:type="dxa"/>
        <w:tblInd w:w="5" w:type="dxa"/>
        <w:tblLayout w:type="fixed"/>
        <w:tblCellMar>
          <w:top w:w="0" w:type="dxa"/>
          <w:left w:w="0" w:type="dxa"/>
          <w:bottom w:w="0" w:type="dxa"/>
          <w:right w:w="0" w:type="dxa"/>
        </w:tblCellMar>
      </w:tblPr>
      <w:tblGrid>
        <w:gridCol w:w="3749"/>
        <w:gridCol w:w="2039"/>
        <w:gridCol w:w="1020"/>
        <w:gridCol w:w="1020"/>
        <w:gridCol w:w="1835"/>
      </w:tblGrid>
      <w:tr>
        <w:tblPrEx>
          <w:tblLayout w:type="fixed"/>
          <w:tblCellMar>
            <w:top w:w="0" w:type="dxa"/>
            <w:left w:w="0" w:type="dxa"/>
            <w:bottom w:w="0" w:type="dxa"/>
            <w:right w:w="0" w:type="dxa"/>
          </w:tblCellMar>
        </w:tblPrEx>
        <w:trPr>
          <w:trHeight w:val="566" w:hRule="exact"/>
        </w:trPr>
        <w:tc>
          <w:tcPr>
            <w:tcW w:w="9663"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(5) 其他应收款净额明细信息如下</w:t>
            </w:r>
          </w:p>
        </w:tc>
      </w:tr>
      <w:tr>
        <w:tblPrEx>
          <w:tblLayout w:type="fixed"/>
          <w:tblCellMar>
            <w:top w:w="0" w:type="dxa"/>
            <w:left w:w="0" w:type="dxa"/>
            <w:bottom w:w="0" w:type="dxa"/>
            <w:right w:w="0" w:type="dxa"/>
          </w:tblCellMar>
        </w:tblPrEx>
        <w:trPr>
          <w:trHeight w:val="396" w:hRule="exact"/>
        </w:trPr>
        <w:tc>
          <w:tcPr>
            <w:tcW w:w="9663"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附表5</w:t>
            </w:r>
          </w:p>
        </w:tc>
      </w:tr>
      <w:tr>
        <w:tblPrEx>
          <w:tblLayout w:type="fixed"/>
          <w:tblCellMar>
            <w:top w:w="0" w:type="dxa"/>
            <w:left w:w="0" w:type="dxa"/>
            <w:bottom w:w="0" w:type="dxa"/>
            <w:right w:w="0" w:type="dxa"/>
          </w:tblCellMar>
        </w:tblPrEx>
        <w:trPr>
          <w:trHeight w:val="396" w:hRule="exact"/>
        </w:trPr>
        <w:tc>
          <w:tcPr>
            <w:tcW w:w="9663"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其他应收款净额明细表</w:t>
            </w:r>
          </w:p>
        </w:tc>
      </w:tr>
      <w:tr>
        <w:tblPrEx>
          <w:tblLayout w:type="fixed"/>
          <w:tblCellMar>
            <w:top w:w="0" w:type="dxa"/>
            <w:left w:w="0" w:type="dxa"/>
            <w:bottom w:w="0" w:type="dxa"/>
            <w:right w:w="0" w:type="dxa"/>
          </w:tblCellMar>
        </w:tblPrEx>
        <w:trPr>
          <w:trHeight w:val="340" w:hRule="exact"/>
        </w:trPr>
        <w:tc>
          <w:tcPr>
            <w:tcW w:w="9663"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3749" w:type="dxa"/>
            <w:vMerge w:val="restart"/>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债务人</w:t>
            </w:r>
          </w:p>
        </w:tc>
        <w:tc>
          <w:tcPr>
            <w:tcW w:w="203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其他应收款原值</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减：坏账准备</w:t>
            </w:r>
          </w:p>
        </w:tc>
        <w:tc>
          <w:tcPr>
            <w:tcW w:w="1835"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其他应收款净值</w:t>
            </w:r>
          </w:p>
        </w:tc>
      </w:tr>
      <w:tr>
        <w:tblPrEx>
          <w:tblLayout w:type="fixed"/>
          <w:tblCellMar>
            <w:top w:w="0" w:type="dxa"/>
            <w:left w:w="0" w:type="dxa"/>
            <w:bottom w:w="0" w:type="dxa"/>
            <w:right w:w="0" w:type="dxa"/>
          </w:tblCellMar>
        </w:tblPrEx>
        <w:trPr>
          <w:trHeight w:val="793" w:hRule="exact"/>
        </w:trPr>
        <w:tc>
          <w:tcPr>
            <w:tcW w:w="3749" w:type="dxa"/>
            <w:vMerge w:val="continue"/>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203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c>
          <w:tcPr>
            <w:tcW w:w="1020" w:type="dxa"/>
            <w:tcBorders>
              <w:top w:val="single" w:color="000000" w:sz="8" w:space="0"/>
              <w:left w:val="single" w:color="000000" w:sz="8"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当期补提或冲减数</w:t>
            </w:r>
          </w:p>
        </w:tc>
        <w:tc>
          <w:tcPr>
            <w:tcW w:w="1020" w:type="dxa"/>
            <w:tcBorders>
              <w:top w:val="single" w:color="000000" w:sz="8" w:space="0"/>
              <w:left w:val="single" w:color="FFFFFF" w:sz="4" w:space="0"/>
              <w:bottom w:val="single" w:color="000000" w:sz="8" w:space="0"/>
              <w:right w:val="single" w:color="000000" w:sz="8"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c>
          <w:tcPr>
            <w:tcW w:w="1835"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r>
      <w:tr>
        <w:tblPrEx>
          <w:tblLayout w:type="fixed"/>
          <w:tblCellMar>
            <w:top w:w="0" w:type="dxa"/>
            <w:left w:w="0" w:type="dxa"/>
            <w:bottom w:w="0" w:type="dxa"/>
            <w:right w:w="0" w:type="dxa"/>
          </w:tblCellMar>
        </w:tblPrEx>
        <w:trPr>
          <w:trHeight w:val="385" w:hRule="exact"/>
        </w:trPr>
        <w:tc>
          <w:tcPr>
            <w:tcW w:w="37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应收本部门内部单位</w:t>
            </w:r>
          </w:p>
        </w:tc>
        <w:tc>
          <w:tcPr>
            <w:tcW w:w="203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000000" w:sz="8"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8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7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应收本部门以外的同级政府单位</w:t>
            </w:r>
          </w:p>
        </w:tc>
        <w:tc>
          <w:tcPr>
            <w:tcW w:w="203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000000" w:sz="8"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8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7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应收本部门以外的非同级政府单位</w:t>
            </w:r>
          </w:p>
        </w:tc>
        <w:tc>
          <w:tcPr>
            <w:tcW w:w="203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000000" w:sz="8"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8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7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应收同级财政</w:t>
            </w:r>
          </w:p>
        </w:tc>
        <w:tc>
          <w:tcPr>
            <w:tcW w:w="203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000000" w:sz="8"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8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7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应收其他单位</w:t>
            </w:r>
          </w:p>
        </w:tc>
        <w:tc>
          <w:tcPr>
            <w:tcW w:w="203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45.52</w:t>
            </w:r>
          </w:p>
        </w:tc>
        <w:tc>
          <w:tcPr>
            <w:tcW w:w="1020"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000000" w:sz="8"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8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45.52</w:t>
            </w:r>
          </w:p>
        </w:tc>
      </w:tr>
      <w:tr>
        <w:tblPrEx>
          <w:tblLayout w:type="fixed"/>
          <w:tblCellMar>
            <w:top w:w="0" w:type="dxa"/>
            <w:left w:w="0" w:type="dxa"/>
            <w:bottom w:w="0" w:type="dxa"/>
            <w:right w:w="0" w:type="dxa"/>
          </w:tblCellMar>
        </w:tblPrEx>
        <w:trPr>
          <w:trHeight w:val="385" w:hRule="exact"/>
        </w:trPr>
        <w:tc>
          <w:tcPr>
            <w:tcW w:w="374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1180"/>
              <w:textAlignment w:val="auto"/>
              <w:rPr>
                <w:rFonts w:ascii="宋体" w:hAnsi="Times New Roman" w:cs="宋体"/>
                <w:snapToGrid/>
                <w:sz w:val="20"/>
                <w:szCs w:val="24"/>
              </w:rPr>
            </w:pPr>
            <w:r>
              <w:rPr>
                <w:rFonts w:ascii="宋体" w:hAnsi="Times New Roman" w:cs="宋体"/>
                <w:b/>
                <w:snapToGrid/>
                <w:sz w:val="20"/>
                <w:szCs w:val="24"/>
              </w:rPr>
              <w:t>合计</w:t>
            </w:r>
          </w:p>
        </w:tc>
        <w:tc>
          <w:tcPr>
            <w:tcW w:w="203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45.52</w:t>
            </w:r>
          </w:p>
        </w:tc>
        <w:tc>
          <w:tcPr>
            <w:tcW w:w="10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835"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45.52</w:t>
            </w:r>
          </w:p>
        </w:tc>
      </w:tr>
      <w:tr>
        <w:tblPrEx>
          <w:tblLayout w:type="fixed"/>
          <w:tblCellMar>
            <w:top w:w="0" w:type="dxa"/>
            <w:left w:w="0" w:type="dxa"/>
            <w:bottom w:w="0" w:type="dxa"/>
            <w:right w:w="0" w:type="dxa"/>
          </w:tblCellMar>
        </w:tblPrEx>
        <w:trPr>
          <w:trHeight w:val="340" w:hRule="exact"/>
        </w:trPr>
        <w:tc>
          <w:tcPr>
            <w:tcW w:w="374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25" w:lineRule="exact"/>
              <w:ind w:left="20"/>
              <w:textAlignment w:val="auto"/>
              <w:rPr>
                <w:rFonts w:ascii="宋体" w:hAnsi="Times New Roman" w:cs="宋体"/>
                <w:snapToGrid/>
                <w:sz w:val="18"/>
                <w:szCs w:val="24"/>
              </w:rPr>
            </w:pPr>
            <w:r>
              <w:rPr>
                <w:rFonts w:ascii="宋体" w:hAnsi="Times New Roman" w:cs="宋体"/>
                <w:snapToGrid/>
                <w:sz w:val="18"/>
                <w:szCs w:val="24"/>
              </w:rPr>
              <w:t xml:space="preserve">注：当期坏账准备冲减数以“-”号填列。 </w:t>
            </w:r>
          </w:p>
        </w:tc>
        <w:tc>
          <w:tcPr>
            <w:tcW w:w="203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8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bl>
    <w:p>
      <w:pPr>
        <w:spacing w:before="120" w:line="360" w:lineRule="auto"/>
        <w:ind w:left="20" w:firstLine="588" w:firstLineChars="200"/>
        <w:rPr>
          <w:rFonts w:hint="eastAsia" w:ascii="仿宋" w:hAnsi="仿宋" w:eastAsia="仿宋" w:cs="仿宋"/>
          <w:spacing w:val="2"/>
          <w:sz w:val="29"/>
          <w:szCs w:val="29"/>
        </w:rPr>
      </w:pPr>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37" w:name="ML_1_2_CQTZJTZSYMXXXB6"/>
      <w:r>
        <w:rPr>
          <w:rFonts w:ascii="仿宋" w:hAnsi="仿宋" w:eastAsia="仿宋" w:cs="仿宋"/>
          <w:spacing w:val="2"/>
          <w:sz w:val="29"/>
          <w:szCs w:val="29"/>
        </w:rPr>
        <w:t>(6) 长期投资及投资收益明细信息（无）</w:t>
      </w:r>
      <w:bookmarkEnd w:id="37"/>
      <w:r>
        <w:rPr>
          <w:rFonts w:hint="eastAsia" w:ascii="仿宋" w:hAnsi="仿宋" w:eastAsia="仿宋" w:cs="仿宋"/>
          <w:spacing w:val="2"/>
          <w:sz w:val="29"/>
          <w:szCs w:val="29"/>
        </w:rPr>
        <w:t xml:space="preserve"> </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38" w:name="ML_1_2_GDZCMXXXB7"/>
      <w:bookmarkEnd w:id="38"/>
    </w:p>
    <w:tbl>
      <w:tblPr>
        <w:tblStyle w:val="8"/>
        <w:tblW w:w="9231" w:type="dxa"/>
        <w:tblInd w:w="5" w:type="dxa"/>
        <w:tblLayout w:type="fixed"/>
        <w:tblCellMar>
          <w:top w:w="0" w:type="dxa"/>
          <w:left w:w="0" w:type="dxa"/>
          <w:bottom w:w="0" w:type="dxa"/>
          <w:right w:w="0" w:type="dxa"/>
        </w:tblCellMar>
      </w:tblPr>
      <w:tblGrid>
        <w:gridCol w:w="3563"/>
        <w:gridCol w:w="1417"/>
        <w:gridCol w:w="1417"/>
        <w:gridCol w:w="1417"/>
        <w:gridCol w:w="1417"/>
      </w:tblGrid>
      <w:tr>
        <w:tblPrEx>
          <w:tblLayout w:type="fixed"/>
          <w:tblCellMar>
            <w:top w:w="0" w:type="dxa"/>
            <w:left w:w="0" w:type="dxa"/>
            <w:bottom w:w="0" w:type="dxa"/>
            <w:right w:w="0" w:type="dxa"/>
          </w:tblCellMar>
        </w:tblPrEx>
        <w:trPr>
          <w:trHeight w:val="566" w:hRule="exact"/>
        </w:trPr>
        <w:tc>
          <w:tcPr>
            <w:tcW w:w="9231"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(7) 固定资产明细信息如下:</w:t>
            </w:r>
          </w:p>
        </w:tc>
      </w:tr>
      <w:tr>
        <w:tblPrEx>
          <w:tblLayout w:type="fixed"/>
          <w:tblCellMar>
            <w:top w:w="0" w:type="dxa"/>
            <w:left w:w="0" w:type="dxa"/>
            <w:bottom w:w="0" w:type="dxa"/>
            <w:right w:w="0" w:type="dxa"/>
          </w:tblCellMar>
        </w:tblPrEx>
        <w:trPr>
          <w:trHeight w:val="396" w:hRule="exact"/>
        </w:trPr>
        <w:tc>
          <w:tcPr>
            <w:tcW w:w="9231"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附表7</w:t>
            </w:r>
          </w:p>
        </w:tc>
      </w:tr>
      <w:tr>
        <w:tblPrEx>
          <w:tblLayout w:type="fixed"/>
          <w:tblCellMar>
            <w:top w:w="0" w:type="dxa"/>
            <w:left w:w="0" w:type="dxa"/>
            <w:bottom w:w="0" w:type="dxa"/>
            <w:right w:w="0" w:type="dxa"/>
          </w:tblCellMar>
        </w:tblPrEx>
        <w:trPr>
          <w:trHeight w:val="396" w:hRule="exact"/>
        </w:trPr>
        <w:tc>
          <w:tcPr>
            <w:tcW w:w="9231"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固定资产明细表</w:t>
            </w:r>
          </w:p>
        </w:tc>
      </w:tr>
      <w:tr>
        <w:tblPrEx>
          <w:tblLayout w:type="fixed"/>
          <w:tblCellMar>
            <w:top w:w="0" w:type="dxa"/>
            <w:left w:w="0" w:type="dxa"/>
            <w:bottom w:w="0" w:type="dxa"/>
            <w:right w:w="0" w:type="dxa"/>
          </w:tblCellMar>
        </w:tblPrEx>
        <w:trPr>
          <w:trHeight w:val="340" w:hRule="exact"/>
        </w:trPr>
        <w:tc>
          <w:tcPr>
            <w:tcW w:w="9231"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356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年初数</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本年增加</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本年减少</w:t>
            </w:r>
          </w:p>
        </w:tc>
        <w:tc>
          <w:tcPr>
            <w:tcW w:w="141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r>
      <w:tr>
        <w:tblPrEx>
          <w:tblLayout w:type="fixed"/>
          <w:tblCellMar>
            <w:top w:w="0" w:type="dxa"/>
            <w:left w:w="0" w:type="dxa"/>
            <w:bottom w:w="0" w:type="dxa"/>
            <w:right w:w="0" w:type="dxa"/>
          </w:tblCellMar>
        </w:tblPrEx>
        <w:trPr>
          <w:trHeight w:val="385" w:hRule="exact"/>
        </w:trPr>
        <w:tc>
          <w:tcPr>
            <w:tcW w:w="3563"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原值合计</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367.54</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9.73</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377.26</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281.37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281.37</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50.78</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9.30</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60.08</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家具和用具</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35.39</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0.43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35.81</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累计折旧合计</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98.58</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19.50</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118.07</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51.86</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12.42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64.28</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41.35</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6.14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47.49</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家具和用具</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5.37</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0.94</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6.30</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净值合计</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268.96</w:t>
            </w: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259.19</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229.51</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217.09</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9.43</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12.59</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家具和用具</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30.02</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29.51</w:t>
            </w:r>
          </w:p>
        </w:tc>
      </w:tr>
      <w:tr>
        <w:tblPrEx>
          <w:tblLayout w:type="fixed"/>
          <w:tblCellMar>
            <w:top w:w="0" w:type="dxa"/>
            <w:left w:w="0" w:type="dxa"/>
            <w:bottom w:w="0" w:type="dxa"/>
            <w:right w:w="0" w:type="dxa"/>
          </w:tblCellMar>
        </w:tblPrEx>
        <w:trPr>
          <w:trHeight w:val="385" w:hRule="exact"/>
        </w:trPr>
        <w:tc>
          <w:tcPr>
            <w:tcW w:w="35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41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285" w:hRule="exact"/>
        </w:trPr>
        <w:tc>
          <w:tcPr>
            <w:tcW w:w="3563"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417" w:type="dxa"/>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bl>
    <w:p>
      <w:pPr>
        <w:spacing w:before="120" w:line="360" w:lineRule="auto"/>
        <w:ind w:left="20" w:firstLine="588" w:firstLineChars="200"/>
        <w:rPr>
          <w:rFonts w:hint="eastAsia" w:ascii="仿宋" w:hAnsi="仿宋" w:eastAsia="仿宋" w:cs="仿宋"/>
          <w:spacing w:val="2"/>
          <w:sz w:val="29"/>
          <w:szCs w:val="29"/>
        </w:rPr>
      </w:pPr>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39" w:name="ML_1_2_ZJGCMXXXB8"/>
      <w:r>
        <w:rPr>
          <w:rFonts w:ascii="仿宋" w:hAnsi="仿宋" w:eastAsia="仿宋" w:cs="仿宋"/>
          <w:spacing w:val="2"/>
          <w:sz w:val="29"/>
          <w:szCs w:val="29"/>
        </w:rPr>
        <w:t>(8) 在建工程明细信息（无）</w:t>
      </w:r>
      <w:bookmarkEnd w:id="39"/>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0" w:name="ML_1_2_WXZCMXXXB9"/>
      <w:r>
        <w:rPr>
          <w:rFonts w:ascii="仿宋" w:hAnsi="仿宋" w:eastAsia="仿宋" w:cs="仿宋"/>
          <w:spacing w:val="2"/>
          <w:sz w:val="29"/>
          <w:szCs w:val="29"/>
        </w:rPr>
        <w:t>(9) 无形资产明细信息（无）</w:t>
      </w:r>
      <w:bookmarkEnd w:id="40"/>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1" w:name="ML_1_2_GGJCSSMXXXB10"/>
      <w:r>
        <w:rPr>
          <w:rFonts w:ascii="仿宋" w:hAnsi="仿宋" w:eastAsia="仿宋" w:cs="仿宋"/>
          <w:spacing w:val="2"/>
          <w:sz w:val="29"/>
          <w:szCs w:val="29"/>
        </w:rPr>
        <w:t>(10) 公共基础设施明细信息（无）</w:t>
      </w:r>
      <w:bookmarkEnd w:id="41"/>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2" w:name="ML_1_2_ZFCBWZMXXXB11"/>
      <w:r>
        <w:rPr>
          <w:rFonts w:ascii="仿宋" w:hAnsi="仿宋" w:eastAsia="仿宋" w:cs="仿宋"/>
          <w:spacing w:val="2"/>
          <w:sz w:val="29"/>
          <w:szCs w:val="29"/>
        </w:rPr>
        <w:t>(11) 政府储备物资明细信息（无）</w:t>
      </w:r>
      <w:bookmarkEnd w:id="42"/>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3" w:name="ML_1_2_BZXZFMXXXB12"/>
      <w:r>
        <w:rPr>
          <w:rFonts w:ascii="仿宋" w:hAnsi="仿宋" w:eastAsia="仿宋" w:cs="仿宋"/>
          <w:spacing w:val="2"/>
          <w:sz w:val="29"/>
          <w:szCs w:val="29"/>
        </w:rPr>
        <w:t>(12) 保障性住房明细信息（无）</w:t>
      </w:r>
      <w:bookmarkEnd w:id="43"/>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4" w:name="ML_1_2_YFPJMXXXB14"/>
      <w:r>
        <w:rPr>
          <w:rFonts w:ascii="仿宋" w:hAnsi="仿宋" w:eastAsia="仿宋" w:cs="仿宋"/>
          <w:spacing w:val="2"/>
          <w:sz w:val="29"/>
          <w:szCs w:val="29"/>
        </w:rPr>
        <w:t>(13) 应付票据明细信息（无）</w:t>
      </w:r>
      <w:bookmarkEnd w:id="44"/>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5" w:name="ML_1_2_YFZKMXXXB15"/>
      <w:r>
        <w:rPr>
          <w:rFonts w:ascii="仿宋" w:hAnsi="仿宋" w:eastAsia="仿宋" w:cs="仿宋"/>
          <w:spacing w:val="2"/>
          <w:sz w:val="29"/>
          <w:szCs w:val="29"/>
        </w:rPr>
        <w:t>(14) 应付账款明细信息（无）</w:t>
      </w:r>
      <w:bookmarkEnd w:id="45"/>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6" w:name="ML_1_2_YSZKMXXXB16"/>
      <w:r>
        <w:rPr>
          <w:rFonts w:ascii="仿宋" w:hAnsi="仿宋" w:eastAsia="仿宋" w:cs="仿宋"/>
          <w:spacing w:val="2"/>
          <w:sz w:val="29"/>
          <w:szCs w:val="29"/>
        </w:rPr>
        <w:t>(15) 预收账款明细信息（无）</w:t>
      </w:r>
      <w:bookmarkEnd w:id="46"/>
      <w:r>
        <w:rPr>
          <w:rFonts w:hint="eastAsia" w:ascii="仿宋" w:hAnsi="仿宋" w:eastAsia="仿宋" w:cs="仿宋"/>
          <w:spacing w:val="2"/>
          <w:sz w:val="29"/>
          <w:szCs w:val="29"/>
        </w:rPr>
        <w:t xml:space="preserve"> </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47" w:name="ML_1_2_QTYFKMXXXB17"/>
      <w:bookmarkEnd w:id="47"/>
    </w:p>
    <w:tbl>
      <w:tblPr>
        <w:tblStyle w:val="8"/>
        <w:tblW w:w="8809" w:type="dxa"/>
        <w:tblInd w:w="5" w:type="dxa"/>
        <w:tblLayout w:type="fixed"/>
        <w:tblCellMar>
          <w:top w:w="0" w:type="dxa"/>
          <w:left w:w="0" w:type="dxa"/>
          <w:bottom w:w="0" w:type="dxa"/>
          <w:right w:w="0" w:type="dxa"/>
        </w:tblCellMar>
      </w:tblPr>
      <w:tblGrid>
        <w:gridCol w:w="3529"/>
        <w:gridCol w:w="1320"/>
        <w:gridCol w:w="1320"/>
        <w:gridCol w:w="1320"/>
        <w:gridCol w:w="1320"/>
      </w:tblGrid>
      <w:tr>
        <w:tblPrEx>
          <w:tblLayout w:type="fixed"/>
          <w:tblCellMar>
            <w:top w:w="0" w:type="dxa"/>
            <w:left w:w="0" w:type="dxa"/>
            <w:bottom w:w="0" w:type="dxa"/>
            <w:right w:w="0" w:type="dxa"/>
          </w:tblCellMar>
        </w:tblPrEx>
        <w:trPr>
          <w:trHeight w:val="56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(16) 其他应付款明细信息如下：</w:t>
            </w:r>
          </w:p>
        </w:tc>
      </w:tr>
      <w:tr>
        <w:tblPrEx>
          <w:tblLayout w:type="fixed"/>
          <w:tblCellMar>
            <w:top w:w="0" w:type="dxa"/>
            <w:left w:w="0" w:type="dxa"/>
            <w:bottom w:w="0" w:type="dxa"/>
            <w:right w:w="0" w:type="dxa"/>
          </w:tblCellMar>
        </w:tblPrEx>
        <w:trPr>
          <w:trHeight w:val="39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附表16</w:t>
            </w:r>
          </w:p>
        </w:tc>
      </w:tr>
      <w:tr>
        <w:tblPrEx>
          <w:tblLayout w:type="fixed"/>
          <w:tblCellMar>
            <w:top w:w="0" w:type="dxa"/>
            <w:left w:w="0" w:type="dxa"/>
            <w:bottom w:w="0" w:type="dxa"/>
            <w:right w:w="0" w:type="dxa"/>
          </w:tblCellMar>
        </w:tblPrEx>
        <w:trPr>
          <w:trHeight w:val="39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其他应付款明细表</w:t>
            </w:r>
          </w:p>
        </w:tc>
      </w:tr>
      <w:tr>
        <w:tblPrEx>
          <w:tblLayout w:type="fixed"/>
          <w:tblCellMar>
            <w:top w:w="0" w:type="dxa"/>
            <w:left w:w="0" w:type="dxa"/>
            <w:bottom w:w="0" w:type="dxa"/>
            <w:right w:w="0" w:type="dxa"/>
          </w:tblCellMar>
        </w:tblPrEx>
        <w:trPr>
          <w:trHeight w:val="340"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352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债权人</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应付本部门内部单位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应付本部门以外的同级政府单位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应付本部门以外的非同级政府单位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应付同级财政</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应付其他单位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100.51</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100.51</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40"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 xml:space="preserve">注：“应付同级财政”主要包括预拨经费、向同级财政部门借入的款项。 </w:t>
            </w:r>
          </w:p>
        </w:tc>
      </w:tr>
    </w:tbl>
    <w:p>
      <w:pPr>
        <w:spacing w:before="120" w:line="360" w:lineRule="auto"/>
        <w:ind w:left="20" w:firstLine="588" w:firstLineChars="200"/>
        <w:rPr>
          <w:rFonts w:hint="eastAsia" w:ascii="仿宋" w:hAnsi="仿宋" w:eastAsia="仿宋" w:cs="仿宋"/>
          <w:spacing w:val="2"/>
          <w:sz w:val="29"/>
          <w:szCs w:val="29"/>
        </w:rPr>
      </w:pPr>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8" w:name="ML_1_2_CQJKMXXXB18"/>
      <w:r>
        <w:rPr>
          <w:rFonts w:ascii="仿宋" w:hAnsi="仿宋" w:eastAsia="仿宋" w:cs="仿宋"/>
          <w:spacing w:val="2"/>
          <w:sz w:val="29"/>
          <w:szCs w:val="29"/>
        </w:rPr>
        <w:t>(17) 长期借款明细信息（无）</w:t>
      </w:r>
      <w:bookmarkEnd w:id="48"/>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49" w:name="ML_1_2_CQYFKMXXXB19"/>
      <w:r>
        <w:rPr>
          <w:rFonts w:ascii="仿宋" w:hAnsi="仿宋" w:eastAsia="仿宋" w:cs="仿宋"/>
          <w:spacing w:val="2"/>
          <w:sz w:val="29"/>
          <w:szCs w:val="29"/>
        </w:rPr>
        <w:t>(18) 长期应付款明细信息（无）</w:t>
      </w:r>
      <w:bookmarkEnd w:id="49"/>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0" w:name="ML_1_2_SYSRMXXXB20"/>
      <w:r>
        <w:rPr>
          <w:rFonts w:ascii="仿宋" w:hAnsi="仿宋" w:eastAsia="仿宋" w:cs="仿宋"/>
          <w:spacing w:val="2"/>
          <w:sz w:val="29"/>
          <w:szCs w:val="29"/>
        </w:rPr>
        <w:t>(19) 事业收入明细信息（无）</w:t>
      </w:r>
      <w:bookmarkEnd w:id="50"/>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1" w:name="ML_1_2_JYSRMXXXB21"/>
      <w:r>
        <w:rPr>
          <w:rFonts w:ascii="仿宋" w:hAnsi="仿宋" w:eastAsia="仿宋" w:cs="仿宋"/>
          <w:spacing w:val="2"/>
          <w:sz w:val="29"/>
          <w:szCs w:val="29"/>
        </w:rPr>
        <w:t>(20) 经营收入明细信息（无）</w:t>
      </w:r>
      <w:bookmarkEnd w:id="51"/>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2" w:name="ML_1_2_FTJCZBKSRMXXXB22"/>
      <w:r>
        <w:rPr>
          <w:rFonts w:ascii="仿宋" w:hAnsi="仿宋" w:eastAsia="仿宋" w:cs="仿宋"/>
          <w:spacing w:val="2"/>
          <w:sz w:val="29"/>
          <w:szCs w:val="29"/>
        </w:rPr>
        <w:t>(21) 非同级财政拨款收入明细信息（无）</w:t>
      </w:r>
      <w:bookmarkEnd w:id="52"/>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3" w:name="ML_1_2_ZJSRMXXXB23"/>
      <w:r>
        <w:rPr>
          <w:rFonts w:ascii="仿宋" w:hAnsi="仿宋" w:eastAsia="仿宋" w:cs="仿宋"/>
          <w:spacing w:val="2"/>
          <w:sz w:val="29"/>
          <w:szCs w:val="29"/>
        </w:rPr>
        <w:t>(22) 租金收入明细信息（无）</w:t>
      </w:r>
      <w:bookmarkEnd w:id="53"/>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4" w:name="ML_1_2_QTSRMXXXB24"/>
      <w:r>
        <w:rPr>
          <w:rFonts w:ascii="仿宋" w:hAnsi="仿宋" w:eastAsia="仿宋" w:cs="仿宋"/>
          <w:spacing w:val="2"/>
          <w:sz w:val="29"/>
          <w:szCs w:val="29"/>
        </w:rPr>
        <w:t>(23) 其他收入明细信息（无）</w:t>
      </w:r>
      <w:bookmarkEnd w:id="54"/>
      <w:r>
        <w:rPr>
          <w:rFonts w:hint="eastAsia" w:ascii="仿宋" w:hAnsi="仿宋" w:eastAsia="仿宋" w:cs="仿宋"/>
          <w:spacing w:val="2"/>
          <w:sz w:val="29"/>
          <w:szCs w:val="29"/>
        </w:rPr>
        <w:t xml:space="preserve"> </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55" w:name="ML_1_2_YWHDFYMXXXB25"/>
      <w:bookmarkEnd w:id="55"/>
    </w:p>
    <w:tbl>
      <w:tblPr>
        <w:tblStyle w:val="8"/>
        <w:tblW w:w="8809" w:type="dxa"/>
        <w:tblInd w:w="5" w:type="dxa"/>
        <w:tblLayout w:type="fixed"/>
        <w:tblCellMar>
          <w:top w:w="0" w:type="dxa"/>
          <w:left w:w="0" w:type="dxa"/>
          <w:bottom w:w="0" w:type="dxa"/>
          <w:right w:w="0" w:type="dxa"/>
        </w:tblCellMar>
      </w:tblPr>
      <w:tblGrid>
        <w:gridCol w:w="3529"/>
        <w:gridCol w:w="1320"/>
        <w:gridCol w:w="1320"/>
        <w:gridCol w:w="1320"/>
        <w:gridCol w:w="1320"/>
      </w:tblGrid>
      <w:tr>
        <w:tblPrEx>
          <w:tblLayout w:type="fixed"/>
          <w:tblCellMar>
            <w:top w:w="0" w:type="dxa"/>
            <w:left w:w="0" w:type="dxa"/>
            <w:bottom w:w="0" w:type="dxa"/>
            <w:right w:w="0" w:type="dxa"/>
          </w:tblCellMar>
        </w:tblPrEx>
        <w:trPr>
          <w:trHeight w:val="56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(24)业务活动费用明细信息如下:</w:t>
            </w:r>
          </w:p>
        </w:tc>
      </w:tr>
      <w:tr>
        <w:tblPrEx>
          <w:tblLayout w:type="fixed"/>
          <w:tblCellMar>
            <w:top w:w="0" w:type="dxa"/>
            <w:left w:w="0" w:type="dxa"/>
            <w:bottom w:w="0" w:type="dxa"/>
            <w:right w:w="0" w:type="dxa"/>
          </w:tblCellMar>
        </w:tblPrEx>
        <w:trPr>
          <w:trHeight w:val="39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附表24</w:t>
            </w:r>
          </w:p>
        </w:tc>
      </w:tr>
      <w:tr>
        <w:tblPrEx>
          <w:tblLayout w:type="fixed"/>
          <w:tblCellMar>
            <w:top w:w="0" w:type="dxa"/>
            <w:left w:w="0" w:type="dxa"/>
            <w:bottom w:w="0" w:type="dxa"/>
            <w:right w:w="0" w:type="dxa"/>
          </w:tblCellMar>
        </w:tblPrEx>
        <w:trPr>
          <w:trHeight w:val="39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业务活动费用明细表</w:t>
            </w:r>
          </w:p>
        </w:tc>
      </w:tr>
      <w:tr>
        <w:tblPrEx>
          <w:tblLayout w:type="fixed"/>
          <w:tblCellMar>
            <w:top w:w="0" w:type="dxa"/>
            <w:left w:w="0" w:type="dxa"/>
            <w:bottom w:w="0" w:type="dxa"/>
            <w:right w:w="0" w:type="dxa"/>
          </w:tblCellMar>
        </w:tblPrEx>
        <w:trPr>
          <w:trHeight w:val="340"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352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工资和福利费用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562.88</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531.77</w:t>
            </w: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商品和服务费用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222.98</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223.32</w:t>
            </w: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对个人和家庭的补助费用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107.59</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192.37</w:t>
            </w: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对企业补助费用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固定资产折旧费用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无形资产摊销费用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公共基础设施折旧（摊销）费用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保障性住房折旧费用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计提专用基金</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其他业务活动费用</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313.32</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139.24</w:t>
            </w:r>
          </w:p>
        </w:tc>
      </w:tr>
      <w:tr>
        <w:tblPrEx>
          <w:tblLayout w:type="fixed"/>
          <w:tblCellMar>
            <w:top w:w="0" w:type="dxa"/>
            <w:left w:w="0" w:type="dxa"/>
            <w:bottom w:w="0" w:type="dxa"/>
            <w:right w:w="0" w:type="dxa"/>
          </w:tblCellMar>
        </w:tblPrEx>
        <w:trPr>
          <w:trHeight w:val="385" w:hRule="exact"/>
        </w:trPr>
        <w:tc>
          <w:tcPr>
            <w:tcW w:w="352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1,206.77</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1,086.70</w:t>
            </w:r>
          </w:p>
        </w:tc>
      </w:tr>
    </w:tbl>
    <w:p>
      <w:pPr>
        <w:spacing w:before="120" w:line="360" w:lineRule="auto"/>
        <w:ind w:left="20" w:firstLine="588" w:firstLineChars="200"/>
        <w:rPr>
          <w:rFonts w:hint="eastAsia" w:ascii="仿宋" w:hAnsi="仿宋" w:eastAsia="仿宋" w:cs="仿宋"/>
          <w:spacing w:val="2"/>
          <w:sz w:val="29"/>
          <w:szCs w:val="29"/>
        </w:rPr>
      </w:pPr>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6" w:name="ML_1_2_DWGLFYMXXXB26"/>
      <w:r>
        <w:rPr>
          <w:rFonts w:ascii="仿宋" w:hAnsi="仿宋" w:eastAsia="仿宋" w:cs="仿宋"/>
          <w:spacing w:val="2"/>
          <w:sz w:val="29"/>
          <w:szCs w:val="29"/>
        </w:rPr>
        <w:t>(25) 单位管理费用明细信息（无）</w:t>
      </w:r>
      <w:bookmarkEnd w:id="56"/>
      <w:r>
        <w:rPr>
          <w:rFonts w:hint="eastAsia" w:ascii="仿宋" w:hAnsi="仿宋" w:eastAsia="仿宋" w:cs="仿宋"/>
          <w:spacing w:val="2"/>
          <w:sz w:val="29"/>
          <w:szCs w:val="29"/>
        </w:rPr>
        <w:t xml:space="preserve"> </w:t>
      </w:r>
    </w:p>
    <w:p>
      <w:pPr>
        <w:spacing w:before="120" w:line="360" w:lineRule="auto"/>
        <w:ind w:left="20" w:firstLine="588" w:firstLineChars="200"/>
        <w:rPr>
          <w:rFonts w:ascii="仿宋" w:hAnsi="仿宋" w:eastAsia="仿宋" w:cs="仿宋"/>
          <w:spacing w:val="2"/>
          <w:sz w:val="29"/>
          <w:szCs w:val="29"/>
        </w:rPr>
      </w:pPr>
      <w:bookmarkStart w:id="57" w:name="ML_1_2_JYFYMXXXB27"/>
      <w:r>
        <w:rPr>
          <w:rFonts w:ascii="仿宋" w:hAnsi="仿宋" w:eastAsia="仿宋" w:cs="仿宋"/>
          <w:spacing w:val="2"/>
          <w:sz w:val="29"/>
          <w:szCs w:val="29"/>
        </w:rPr>
        <w:t>(26) 经营费用明细信息（无）</w:t>
      </w:r>
      <w:bookmarkEnd w:id="57"/>
      <w:r>
        <w:rPr>
          <w:rFonts w:hint="eastAsia" w:ascii="仿宋" w:hAnsi="仿宋" w:eastAsia="仿宋" w:cs="仿宋"/>
          <w:spacing w:val="2"/>
          <w:sz w:val="29"/>
          <w:szCs w:val="29"/>
        </w:rPr>
        <w:t xml:space="preserve"> </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58" w:name="ML_1_2_SPHFWFYMXXXB28"/>
      <w:bookmarkEnd w:id="58"/>
    </w:p>
    <w:tbl>
      <w:tblPr>
        <w:tblStyle w:val="8"/>
        <w:tblW w:w="8809" w:type="dxa"/>
        <w:tblInd w:w="5" w:type="dxa"/>
        <w:tblLayout w:type="fixed"/>
        <w:tblCellMar>
          <w:top w:w="0" w:type="dxa"/>
          <w:left w:w="0" w:type="dxa"/>
          <w:bottom w:w="0" w:type="dxa"/>
          <w:right w:w="0" w:type="dxa"/>
        </w:tblCellMar>
      </w:tblPr>
      <w:tblGrid>
        <w:gridCol w:w="3529"/>
        <w:gridCol w:w="1320"/>
        <w:gridCol w:w="1320"/>
        <w:gridCol w:w="1320"/>
        <w:gridCol w:w="1320"/>
      </w:tblGrid>
      <w:tr>
        <w:tblPrEx>
          <w:tblLayout w:type="fixed"/>
          <w:tblCellMar>
            <w:top w:w="0" w:type="dxa"/>
            <w:left w:w="0" w:type="dxa"/>
            <w:bottom w:w="0" w:type="dxa"/>
            <w:right w:w="0" w:type="dxa"/>
          </w:tblCellMar>
        </w:tblPrEx>
        <w:trPr>
          <w:trHeight w:val="56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(27) 商品和服务费用明细信息如下：</w:t>
            </w:r>
          </w:p>
        </w:tc>
      </w:tr>
      <w:tr>
        <w:tblPrEx>
          <w:tblLayout w:type="fixed"/>
          <w:tblCellMar>
            <w:top w:w="0" w:type="dxa"/>
            <w:left w:w="0" w:type="dxa"/>
            <w:bottom w:w="0" w:type="dxa"/>
            <w:right w:w="0" w:type="dxa"/>
          </w:tblCellMar>
        </w:tblPrEx>
        <w:trPr>
          <w:trHeight w:val="39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附表27</w:t>
            </w:r>
          </w:p>
        </w:tc>
      </w:tr>
      <w:tr>
        <w:tblPrEx>
          <w:tblLayout w:type="fixed"/>
          <w:tblCellMar>
            <w:top w:w="0" w:type="dxa"/>
            <w:left w:w="0" w:type="dxa"/>
            <w:bottom w:w="0" w:type="dxa"/>
            <w:right w:w="0" w:type="dxa"/>
          </w:tblCellMar>
        </w:tblPrEx>
        <w:trPr>
          <w:trHeight w:val="396"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商品和服务费用明细表</w:t>
            </w:r>
          </w:p>
        </w:tc>
      </w:tr>
      <w:tr>
        <w:tblPrEx>
          <w:tblLayout w:type="fixed"/>
          <w:tblCellMar>
            <w:top w:w="0" w:type="dxa"/>
            <w:left w:w="0" w:type="dxa"/>
            <w:bottom w:w="0" w:type="dxa"/>
            <w:right w:w="0" w:type="dxa"/>
          </w:tblCellMar>
        </w:tblPrEx>
        <w:trPr>
          <w:trHeight w:val="340" w:hRule="exact"/>
        </w:trPr>
        <w:tc>
          <w:tcPr>
            <w:tcW w:w="8809"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3529" w:type="dxa"/>
            <w:vMerge w:val="restart"/>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5280" w:type="dxa"/>
            <w:gridSpan w:val="4"/>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r>
      <w:tr>
        <w:tblPrEx>
          <w:tblLayout w:type="fixed"/>
          <w:tblCellMar>
            <w:top w:w="0" w:type="dxa"/>
            <w:left w:w="0" w:type="dxa"/>
            <w:bottom w:w="0" w:type="dxa"/>
            <w:right w:w="0" w:type="dxa"/>
          </w:tblCellMar>
        </w:tblPrEx>
        <w:trPr>
          <w:trHeight w:val="396" w:hRule="exact"/>
        </w:trPr>
        <w:tc>
          <w:tcPr>
            <w:tcW w:w="3529" w:type="dxa"/>
            <w:vMerge w:val="continue"/>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320" w:type="dxa"/>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业务活动费用</w:t>
            </w:r>
          </w:p>
        </w:tc>
        <w:tc>
          <w:tcPr>
            <w:tcW w:w="1320" w:type="dxa"/>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单位管理费用</w:t>
            </w:r>
          </w:p>
        </w:tc>
        <w:tc>
          <w:tcPr>
            <w:tcW w:w="1320" w:type="dxa"/>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经营费用</w:t>
            </w: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支付给本部门内部单位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支付给本部门以外的同级政府单位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支付给本部门以外的非同级政府单位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支付给其他单位</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222.98</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222.98</w:t>
            </w: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3529"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222.98</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222.98</w:t>
            </w: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bl>
    <w:p>
      <w:pPr>
        <w:spacing w:before="120" w:line="360" w:lineRule="auto"/>
        <w:ind w:left="20" w:firstLine="588" w:firstLineChars="200"/>
        <w:rPr>
          <w:rFonts w:hint="eastAsia" w:ascii="仿宋" w:hAnsi="仿宋" w:eastAsia="仿宋" w:cs="仿宋"/>
          <w:spacing w:val="2"/>
          <w:sz w:val="29"/>
          <w:szCs w:val="29"/>
        </w:rPr>
      </w:pPr>
      <w:r>
        <w:rPr>
          <w:rFonts w:hint="eastAsia" w:ascii="仿宋" w:hAnsi="仿宋" w:eastAsia="仿宋" w:cs="仿宋"/>
          <w:spacing w:val="2"/>
          <w:sz w:val="29"/>
          <w:szCs w:val="29"/>
        </w:rPr>
        <w:t xml:space="preserve"> </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59" w:name="ML_1_2_QTFYMXXXB29"/>
    </w:p>
    <w:tbl>
      <w:tblPr>
        <w:tblStyle w:val="8"/>
        <w:tblW w:w="9717" w:type="dxa"/>
        <w:tblInd w:w="5" w:type="dxa"/>
        <w:tblLayout w:type="fixed"/>
        <w:tblCellMar>
          <w:top w:w="0" w:type="dxa"/>
          <w:left w:w="0" w:type="dxa"/>
          <w:bottom w:w="0" w:type="dxa"/>
          <w:right w:w="0" w:type="dxa"/>
        </w:tblCellMar>
      </w:tblPr>
      <w:tblGrid>
        <w:gridCol w:w="2295"/>
        <w:gridCol w:w="1133"/>
        <w:gridCol w:w="1303"/>
        <w:gridCol w:w="1303"/>
        <w:gridCol w:w="1133"/>
        <w:gridCol w:w="1020"/>
        <w:gridCol w:w="1530"/>
      </w:tblGrid>
      <w:tr>
        <w:tblPrEx>
          <w:tblLayout w:type="fixed"/>
          <w:tblCellMar>
            <w:top w:w="0" w:type="dxa"/>
            <w:left w:w="0" w:type="dxa"/>
            <w:bottom w:w="0" w:type="dxa"/>
            <w:right w:w="0" w:type="dxa"/>
          </w:tblCellMar>
        </w:tblPrEx>
        <w:trPr>
          <w:trHeight w:val="566" w:hRule="exact"/>
        </w:trPr>
        <w:tc>
          <w:tcPr>
            <w:tcW w:w="9717"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330" w:lineRule="exact"/>
              <w:ind w:left="20"/>
              <w:textAlignment w:val="auto"/>
              <w:rPr>
                <w:rFonts w:ascii="仿宋" w:hAnsi="Times New Roman" w:eastAsia="仿宋" w:cs="仿宋"/>
                <w:snapToGrid/>
                <w:sz w:val="28"/>
                <w:szCs w:val="24"/>
              </w:rPr>
            </w:pPr>
            <w:r>
              <w:rPr>
                <w:rFonts w:ascii="仿宋" w:hAnsi="Times New Roman" w:eastAsia="仿宋" w:cs="仿宋"/>
                <w:snapToGrid/>
                <w:sz w:val="28"/>
                <w:szCs w:val="24"/>
              </w:rPr>
              <w:t xml:space="preserve">    (28) 其他费用明细信息如下:</w:t>
            </w:r>
          </w:p>
        </w:tc>
      </w:tr>
      <w:tr>
        <w:tblPrEx>
          <w:tblLayout w:type="fixed"/>
          <w:tblCellMar>
            <w:top w:w="0" w:type="dxa"/>
            <w:left w:w="0" w:type="dxa"/>
            <w:bottom w:w="0" w:type="dxa"/>
            <w:right w:w="0" w:type="dxa"/>
          </w:tblCellMar>
        </w:tblPrEx>
        <w:trPr>
          <w:trHeight w:val="396" w:hRule="exact"/>
        </w:trPr>
        <w:tc>
          <w:tcPr>
            <w:tcW w:w="9717"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附表28</w:t>
            </w:r>
          </w:p>
        </w:tc>
      </w:tr>
      <w:tr>
        <w:tblPrEx>
          <w:tblLayout w:type="fixed"/>
          <w:tblCellMar>
            <w:top w:w="0" w:type="dxa"/>
            <w:left w:w="0" w:type="dxa"/>
            <w:bottom w:w="0" w:type="dxa"/>
            <w:right w:w="0" w:type="dxa"/>
          </w:tblCellMar>
        </w:tblPrEx>
        <w:trPr>
          <w:trHeight w:val="396" w:hRule="exact"/>
        </w:trPr>
        <w:tc>
          <w:tcPr>
            <w:tcW w:w="9717"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其他费用明细表</w:t>
            </w:r>
          </w:p>
        </w:tc>
      </w:tr>
      <w:tr>
        <w:tblPrEx>
          <w:tblLayout w:type="fixed"/>
          <w:tblCellMar>
            <w:top w:w="0" w:type="dxa"/>
            <w:left w:w="0" w:type="dxa"/>
            <w:bottom w:w="0" w:type="dxa"/>
            <w:right w:w="0" w:type="dxa"/>
          </w:tblCellMar>
        </w:tblPrEx>
        <w:trPr>
          <w:trHeight w:val="340" w:hRule="exact"/>
        </w:trPr>
        <w:tc>
          <w:tcPr>
            <w:tcW w:w="9717"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2295" w:type="dxa"/>
            <w:vMerge w:val="restart"/>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7422" w:type="dxa"/>
            <w:gridSpan w:val="6"/>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r>
      <w:tr>
        <w:tblPrEx>
          <w:tblLayout w:type="fixed"/>
          <w:tblCellMar>
            <w:top w:w="0" w:type="dxa"/>
            <w:left w:w="0" w:type="dxa"/>
            <w:bottom w:w="0" w:type="dxa"/>
            <w:right w:w="0" w:type="dxa"/>
          </w:tblCellMar>
        </w:tblPrEx>
        <w:trPr>
          <w:trHeight w:val="396" w:hRule="exact"/>
        </w:trPr>
        <w:tc>
          <w:tcPr>
            <w:tcW w:w="2295" w:type="dxa"/>
            <w:vMerge w:val="continue"/>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133" w:type="dxa"/>
            <w:vMerge w:val="restart"/>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合计</w:t>
            </w:r>
          </w:p>
        </w:tc>
        <w:tc>
          <w:tcPr>
            <w:tcW w:w="1303" w:type="dxa"/>
            <w:vMerge w:val="restart"/>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业务活动费用</w:t>
            </w:r>
          </w:p>
        </w:tc>
        <w:tc>
          <w:tcPr>
            <w:tcW w:w="1303" w:type="dxa"/>
            <w:vMerge w:val="restart"/>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单位管理费用</w:t>
            </w:r>
          </w:p>
        </w:tc>
        <w:tc>
          <w:tcPr>
            <w:tcW w:w="1133" w:type="dxa"/>
            <w:vMerge w:val="restart"/>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经营费用</w:t>
            </w:r>
          </w:p>
        </w:tc>
        <w:tc>
          <w:tcPr>
            <w:tcW w:w="2550" w:type="dxa"/>
            <w:gridSpan w:val="2"/>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其他费用</w:t>
            </w:r>
          </w:p>
        </w:tc>
      </w:tr>
      <w:tr>
        <w:tblPrEx>
          <w:tblLayout w:type="fixed"/>
          <w:tblCellMar>
            <w:top w:w="0" w:type="dxa"/>
            <w:left w:w="0" w:type="dxa"/>
            <w:bottom w:w="0" w:type="dxa"/>
            <w:right w:w="0" w:type="dxa"/>
          </w:tblCellMar>
        </w:tblPrEx>
        <w:trPr>
          <w:trHeight w:val="396" w:hRule="exact"/>
        </w:trPr>
        <w:tc>
          <w:tcPr>
            <w:tcW w:w="2295" w:type="dxa"/>
            <w:vMerge w:val="continue"/>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133" w:type="dxa"/>
            <w:vMerge w:val="continue"/>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303" w:type="dxa"/>
            <w:vMerge w:val="continue"/>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303" w:type="dxa"/>
            <w:vMerge w:val="continue"/>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133" w:type="dxa"/>
            <w:vMerge w:val="continue"/>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宋体" w:hAnsi="Times New Roman" w:cs="宋体"/>
                <w:snapToGrid/>
                <w:sz w:val="20"/>
                <w:szCs w:val="24"/>
              </w:rPr>
            </w:pPr>
          </w:p>
        </w:tc>
        <w:tc>
          <w:tcPr>
            <w:tcW w:w="1020" w:type="dxa"/>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小计</w:t>
            </w:r>
          </w:p>
        </w:tc>
        <w:tc>
          <w:tcPr>
            <w:tcW w:w="1530" w:type="dxa"/>
            <w:tcBorders>
              <w:top w:val="single" w:color="FFFFFF" w:sz="4"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其中：利息费用</w:t>
            </w:r>
          </w:p>
        </w:tc>
      </w:tr>
      <w:tr>
        <w:tblPrEx>
          <w:tblLayout w:type="fixed"/>
          <w:tblCellMar>
            <w:top w:w="0" w:type="dxa"/>
            <w:left w:w="0" w:type="dxa"/>
            <w:bottom w:w="0" w:type="dxa"/>
            <w:right w:w="0" w:type="dxa"/>
          </w:tblCellMar>
        </w:tblPrEx>
        <w:trPr>
          <w:trHeight w:val="385" w:hRule="exact"/>
        </w:trPr>
        <w:tc>
          <w:tcPr>
            <w:tcW w:w="229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支付给本部门内部单位</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53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480" w:hRule="exact"/>
        </w:trPr>
        <w:tc>
          <w:tcPr>
            <w:tcW w:w="229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支付给本部门以外的同级政府单位</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53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480" w:hRule="exact"/>
        </w:trPr>
        <w:tc>
          <w:tcPr>
            <w:tcW w:w="229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支付给本部门以外的非同级政府单位</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53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229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支付给其他单位</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313.32</w:t>
            </w: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313.32</w:t>
            </w:r>
          </w:p>
        </w:tc>
        <w:tc>
          <w:tcPr>
            <w:tcW w:w="130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530"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85" w:hRule="exact"/>
        </w:trPr>
        <w:tc>
          <w:tcPr>
            <w:tcW w:w="2295"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13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313.32</w:t>
            </w:r>
          </w:p>
        </w:tc>
        <w:tc>
          <w:tcPr>
            <w:tcW w:w="130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313.32</w:t>
            </w:r>
          </w:p>
        </w:tc>
        <w:tc>
          <w:tcPr>
            <w:tcW w:w="130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13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02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c>
          <w:tcPr>
            <w:tcW w:w="1530"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jc w:val="right"/>
              <w:textAlignment w:val="auto"/>
              <w:rPr>
                <w:rFonts w:ascii="Times New Roman" w:hAnsi="Times New Roman" w:eastAsia="Times New Roman" w:cs="Times New Roman"/>
                <w:snapToGrid/>
                <w:color w:val="auto"/>
                <w:sz w:val="24"/>
                <w:szCs w:val="24"/>
              </w:rPr>
            </w:pPr>
          </w:p>
        </w:tc>
      </w:tr>
      <w:bookmarkEnd w:id="59"/>
    </w:tbl>
    <w:p>
      <w:pPr>
        <w:spacing w:before="120" w:line="360" w:lineRule="auto"/>
        <w:ind w:left="20" w:firstLine="588" w:firstLineChars="200"/>
        <w:rPr>
          <w:rFonts w:ascii="仿宋" w:hAnsi="仿宋" w:eastAsia="仿宋" w:cs="仿宋"/>
          <w:spacing w:val="2"/>
          <w:sz w:val="29"/>
          <w:szCs w:val="29"/>
        </w:rPr>
      </w:pPr>
    </w:p>
    <w:p>
      <w:pPr>
        <w:spacing w:before="120" w:line="360" w:lineRule="auto"/>
        <w:ind w:left="20" w:firstLine="588" w:firstLineChars="200"/>
        <w:rPr>
          <w:rFonts w:ascii="仿宋" w:hAnsi="仿宋" w:eastAsia="仿宋" w:cs="仿宋"/>
          <w:spacing w:val="2"/>
          <w:sz w:val="29"/>
          <w:szCs w:val="29"/>
        </w:rPr>
      </w:pPr>
    </w:p>
    <w:p>
      <w:pPr>
        <w:spacing w:line="224" w:lineRule="auto"/>
        <w:ind w:left="20" w:right="11" w:firstLine="566" w:firstLineChars="200"/>
        <w:outlineLvl w:val="2"/>
        <w:rPr>
          <w:rFonts w:ascii="仿宋" w:hAnsi="仿宋" w:eastAsia="仿宋" w:cs="仿宋"/>
          <w:b/>
          <w:bCs/>
          <w:spacing w:val="-2"/>
          <w:sz w:val="29"/>
          <w:szCs w:val="29"/>
          <w14:textOutline w14:w="5448" w14:cap="sq">
            <w14:solidFill>
              <w14:srgbClr w14:val="000000"/>
            </w14:solidFill>
            <w14:bevel/>
          </w14:textOutline>
        </w:rPr>
      </w:pPr>
      <w:bookmarkStart w:id="60" w:name="_Toc14062"/>
      <w:r>
        <w:rPr>
          <w:rFonts w:hint="eastAsia" w:ascii="仿宋" w:hAnsi="仿宋" w:eastAsia="仿宋" w:cs="仿宋"/>
          <w:b/>
          <w:bCs/>
          <w:spacing w:val="1"/>
          <w:sz w:val="28"/>
          <w:szCs w:val="28"/>
        </w:rPr>
        <w:t>6.需要说明的其他事项</w:t>
      </w:r>
      <w:bookmarkEnd w:id="60"/>
    </w:p>
    <w:p>
      <w:pPr>
        <w:spacing w:before="120" w:line="396" w:lineRule="auto"/>
        <w:ind w:left="20" w:right="130" w:firstLine="596"/>
        <w:rPr>
          <w:rFonts w:ascii="仿宋" w:hAnsi="仿宋" w:eastAsia="仿宋" w:cs="仿宋"/>
          <w:spacing w:val="8"/>
          <w:sz w:val="29"/>
          <w:szCs w:val="29"/>
        </w:rPr>
      </w:pPr>
      <w:r>
        <w:rPr>
          <w:rFonts w:ascii="仿宋" w:hAnsi="仿宋" w:eastAsia="仿宋" w:cs="仿宋"/>
          <w:spacing w:val="8"/>
          <w:sz w:val="29"/>
          <w:szCs w:val="29"/>
        </w:rPr>
        <w:t>(1)</w:t>
      </w:r>
      <w:r>
        <w:rPr>
          <w:rFonts w:hint="eastAsia" w:ascii="仿宋" w:hAnsi="仿宋" w:eastAsia="仿宋" w:cs="仿宋"/>
          <w:spacing w:val="8"/>
          <w:sz w:val="29"/>
          <w:szCs w:val="29"/>
        </w:rPr>
        <w:t>资产负债表日后重大事项。</w:t>
      </w:r>
    </w:p>
    <w:p>
      <w:pPr>
        <w:spacing w:before="120" w:line="396" w:lineRule="auto"/>
        <w:ind w:left="20" w:right="130" w:firstLine="612" w:firstLineChars="200"/>
        <w:rPr>
          <w:rFonts w:ascii="仿宋" w:hAnsi="仿宋" w:eastAsia="仿宋" w:cs="仿宋"/>
          <w:spacing w:val="8"/>
          <w:sz w:val="29"/>
          <w:szCs w:val="29"/>
        </w:rPr>
      </w:pPr>
      <w:r>
        <w:rPr>
          <w:rFonts w:ascii="仿宋" w:hAnsi="仿宋" w:eastAsia="仿宋" w:cs="仿宋"/>
          <w:spacing w:val="8"/>
          <w:sz w:val="29"/>
          <w:szCs w:val="29"/>
        </w:rPr>
        <w:t>无。</w:t>
      </w:r>
    </w:p>
    <w:p>
      <w:pPr>
        <w:spacing w:before="120" w:line="396" w:lineRule="auto"/>
        <w:ind w:left="20" w:right="130" w:firstLine="612" w:firstLineChars="200"/>
        <w:rPr>
          <w:rFonts w:ascii="仿宋" w:hAnsi="仿宋" w:eastAsia="仿宋" w:cs="仿宋"/>
          <w:spacing w:val="8"/>
          <w:sz w:val="29"/>
          <w:szCs w:val="29"/>
        </w:rPr>
      </w:pPr>
    </w:p>
    <w:p>
      <w:pPr>
        <w:spacing w:before="120" w:line="396" w:lineRule="auto"/>
        <w:ind w:left="20" w:right="130" w:firstLine="596"/>
        <w:rPr>
          <w:rFonts w:ascii="仿宋" w:hAnsi="仿宋" w:eastAsia="仿宋" w:cs="仿宋"/>
          <w:spacing w:val="8"/>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2</w:t>
      </w:r>
      <w:r>
        <w:rPr>
          <w:rFonts w:ascii="仿宋" w:hAnsi="仿宋" w:eastAsia="仿宋" w:cs="仿宋"/>
          <w:spacing w:val="8"/>
          <w:sz w:val="29"/>
          <w:szCs w:val="29"/>
        </w:rPr>
        <w:t>)重要或有事项说明。逐笔披露政府部门或有事项的事由和金额，如担保事项、未决诉讼或未决仲裁等，若无法预计金额应说明理由</w:t>
      </w:r>
      <w:r>
        <w:rPr>
          <w:rFonts w:hint="eastAsia" w:ascii="仿宋" w:hAnsi="仿宋" w:eastAsia="仿宋" w:cs="仿宋"/>
          <w:spacing w:val="8"/>
          <w:sz w:val="29"/>
          <w:szCs w:val="29"/>
        </w:rPr>
        <w:t>。</w:t>
      </w:r>
    </w:p>
    <w:p>
      <w:pPr>
        <w:spacing w:before="120" w:line="396" w:lineRule="auto"/>
        <w:ind w:left="20" w:right="130" w:firstLine="612" w:firstLineChars="200"/>
        <w:rPr>
          <w:rFonts w:ascii="仿宋" w:hAnsi="仿宋" w:eastAsia="仿宋" w:cs="仿宋"/>
          <w:spacing w:val="8"/>
          <w:sz w:val="29"/>
          <w:szCs w:val="29"/>
        </w:rPr>
      </w:pPr>
      <w:r>
        <w:rPr>
          <w:rFonts w:ascii="仿宋" w:hAnsi="仿宋" w:eastAsia="仿宋" w:cs="仿宋"/>
          <w:spacing w:val="8"/>
          <w:sz w:val="29"/>
          <w:szCs w:val="29"/>
        </w:rPr>
        <w:t>无。</w:t>
      </w:r>
    </w:p>
    <w:p>
      <w:pPr>
        <w:spacing w:before="120" w:line="396" w:lineRule="auto"/>
        <w:ind w:left="20" w:right="130" w:firstLine="612" w:firstLineChars="200"/>
        <w:rPr>
          <w:rFonts w:ascii="仿宋" w:hAnsi="仿宋" w:eastAsia="仿宋" w:cs="仿宋"/>
          <w:spacing w:val="8"/>
          <w:sz w:val="29"/>
          <w:szCs w:val="29"/>
        </w:rPr>
      </w:pPr>
    </w:p>
    <w:p>
      <w:pPr>
        <w:spacing w:before="120" w:line="360" w:lineRule="auto"/>
        <w:ind w:left="20" w:right="130" w:firstLine="596"/>
        <w:rPr>
          <w:rFonts w:ascii="仿宋" w:hAnsi="仿宋" w:eastAsia="仿宋" w:cs="仿宋"/>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3</w:t>
      </w:r>
      <w:r>
        <w:rPr>
          <w:rFonts w:ascii="仿宋" w:hAnsi="仿宋" w:eastAsia="仿宋" w:cs="仿宋"/>
          <w:spacing w:val="8"/>
          <w:sz w:val="29"/>
          <w:szCs w:val="29"/>
        </w:rPr>
        <w:t>)以名义金额计量的资产名称、数量等情况，以及以名义金额计量理由的说明</w:t>
      </w:r>
      <w:r>
        <w:rPr>
          <w:rFonts w:ascii="宋体" w:hAnsi="宋体" w:eastAsia="宋体" w:cs="仿宋"/>
          <w:spacing w:val="9"/>
          <w:sz w:val="24"/>
          <w:szCs w:val="24"/>
        </w:rPr>
        <w:t>。</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61" w:name="ML_1_2_YMYJEJLZCQKB"/>
      <w:bookmarkEnd w:id="61"/>
    </w:p>
    <w:tbl>
      <w:tblPr>
        <w:tblStyle w:val="8"/>
        <w:tblW w:w="9634" w:type="dxa"/>
        <w:tblInd w:w="5" w:type="dxa"/>
        <w:tblLayout w:type="fixed"/>
        <w:tblCellMar>
          <w:top w:w="0" w:type="dxa"/>
          <w:left w:w="0" w:type="dxa"/>
          <w:bottom w:w="0" w:type="dxa"/>
          <w:right w:w="0" w:type="dxa"/>
        </w:tblCellMar>
      </w:tblPr>
      <w:tblGrid>
        <w:gridCol w:w="2267"/>
        <w:gridCol w:w="1133"/>
        <w:gridCol w:w="1133"/>
        <w:gridCol w:w="5101"/>
      </w:tblGrid>
      <w:tr>
        <w:tblPrEx>
          <w:tblLayout w:type="fixed"/>
          <w:tblCellMar>
            <w:top w:w="0" w:type="dxa"/>
            <w:left w:w="0" w:type="dxa"/>
            <w:bottom w:w="0" w:type="dxa"/>
            <w:right w:w="0" w:type="dxa"/>
          </w:tblCellMar>
        </w:tblPrEx>
        <w:trPr>
          <w:trHeight w:val="850" w:hRule="exact"/>
        </w:trPr>
        <w:tc>
          <w:tcPr>
            <w:tcW w:w="9634"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以名义金额计量资产情况表</w:t>
            </w:r>
          </w:p>
        </w:tc>
      </w:tr>
      <w:tr>
        <w:tblPrEx>
          <w:tblLayout w:type="fixed"/>
          <w:tblCellMar>
            <w:top w:w="0" w:type="dxa"/>
            <w:left w:w="0" w:type="dxa"/>
            <w:bottom w:w="0" w:type="dxa"/>
            <w:right w:w="0" w:type="dxa"/>
          </w:tblCellMar>
        </w:tblPrEx>
        <w:trPr>
          <w:trHeight w:val="396" w:hRule="exact"/>
        </w:trPr>
        <w:tc>
          <w:tcPr>
            <w:tcW w:w="2267" w:type="dxa"/>
            <w:vMerge w:val="restart"/>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对象</w:t>
            </w:r>
          </w:p>
        </w:tc>
        <w:tc>
          <w:tcPr>
            <w:tcW w:w="2266" w:type="dxa"/>
            <w:gridSpan w:val="2"/>
            <w:tcBorders>
              <w:top w:val="single" w:color="000000" w:sz="8"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数量</w:t>
            </w:r>
          </w:p>
        </w:tc>
        <w:tc>
          <w:tcPr>
            <w:tcW w:w="5101" w:type="dxa"/>
            <w:tcBorders>
              <w:top w:val="single" w:color="000000" w:sz="8" w:space="0"/>
              <w:left w:val="single" w:color="000000" w:sz="8" w:space="0"/>
              <w:bottom w:val="single" w:color="FFFFFF" w:sz="4" w:space="0"/>
              <w:right w:val="single" w:color="FFFFFF" w:sz="4" w:space="0"/>
            </w:tcBorders>
            <w:shd w:val="clear" w:color="auto" w:fill="FFFFFF"/>
            <w:vAlign w:val="center"/>
          </w:tcPr>
          <w:p>
            <w:pPr>
              <w:widowControl w:val="0"/>
              <w:kinsoku/>
              <w:snapToGrid/>
              <w:jc w:val="center"/>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vMerge w:val="continue"/>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c>
          <w:tcPr>
            <w:tcW w:w="113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5101" w:type="dxa"/>
            <w:tcBorders>
              <w:top w:val="single" w:color="000000" w:sz="8" w:space="0"/>
              <w:left w:val="single" w:color="000000" w:sz="8" w:space="0"/>
              <w:bottom w:val="single" w:color="000000" w:sz="8" w:space="0"/>
              <w:right w:val="single" w:color="FFFFFF" w:sz="4" w:space="0"/>
            </w:tcBorders>
            <w:shd w:val="clear" w:color="auto" w:fill="FFFFFF"/>
            <w:vAlign w:val="center"/>
          </w:tcPr>
          <w:p>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以名义金额计量的理由</w:t>
            </w: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存货</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固定资产</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家具、用具</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无形资产</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专利权</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非专利技术</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著作权</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资源资质</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商标权</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信息数据</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w:t>
            </w: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FFFFFF" w:sz="4" w:space="0"/>
              <w:left w:val="single" w:color="000000" w:sz="8"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2267"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260"/>
              <w:textAlignment w:val="auto"/>
              <w:rPr>
                <w:rFonts w:ascii="宋体" w:hAnsi="Times New Roman" w:cs="宋体"/>
                <w:snapToGrid/>
                <w:sz w:val="20"/>
                <w:szCs w:val="24"/>
              </w:rPr>
            </w:pPr>
            <w:r>
              <w:rPr>
                <w:rFonts w:ascii="宋体" w:hAnsi="Times New Roman" w:cs="宋体"/>
                <w:snapToGrid/>
                <w:sz w:val="20"/>
                <w:szCs w:val="24"/>
              </w:rPr>
              <w:t>合计</w:t>
            </w:r>
          </w:p>
        </w:tc>
        <w:tc>
          <w:tcPr>
            <w:tcW w:w="113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1133"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c>
          <w:tcPr>
            <w:tcW w:w="5101"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bl>
    <w:p>
      <w:pPr>
        <w:spacing w:before="120" w:line="360" w:lineRule="auto"/>
        <w:ind w:left="166" w:leftChars="79" w:right="129" w:firstLine="620" w:firstLineChars="301"/>
        <w:jc w:val="center"/>
        <w:rPr>
          <w:rFonts w:hint="eastAsia" w:ascii="宋体" w:hAnsi="宋体" w:eastAsia="宋体" w:cs="宋体"/>
          <w:spacing w:val="8"/>
          <w:sz w:val="19"/>
          <w:szCs w:val="19"/>
          <w14:textOutline w14:w="3619" w14:cap="sq">
            <w14:solidFill>
              <w14:srgbClr w14:val="000000"/>
            </w14:solidFill>
            <w14:bevel/>
          </w14:textOutline>
        </w:rPr>
      </w:pPr>
      <w:r>
        <w:rPr>
          <w:rFonts w:hint="eastAsia" w:ascii="宋体" w:hAnsi="宋体" w:eastAsia="宋体" w:cs="宋体"/>
          <w:spacing w:val="8"/>
          <w:sz w:val="19"/>
          <w:szCs w:val="19"/>
          <w14:textOutline w14:w="3619" w14:cap="sq">
            <w14:solidFill>
              <w14:srgbClr w14:val="000000"/>
            </w14:solidFill>
            <w14:bevel/>
          </w14:textOutline>
        </w:rPr>
        <w:t xml:space="preserve"> </w:t>
      </w:r>
    </w:p>
    <w:p>
      <w:pPr>
        <w:spacing w:before="120" w:line="360" w:lineRule="auto"/>
        <w:ind w:left="20" w:right="130" w:firstLine="596"/>
        <w:rPr>
          <w:rFonts w:ascii="仿宋" w:hAnsi="仿宋" w:eastAsia="仿宋" w:cs="仿宋"/>
          <w:spacing w:val="8"/>
          <w:sz w:val="29"/>
          <w:szCs w:val="29"/>
        </w:rPr>
      </w:pPr>
      <w:r>
        <w:rPr>
          <w:rFonts w:ascii="仿宋" w:hAnsi="仿宋" w:eastAsia="仿宋" w:cs="仿宋"/>
          <w:spacing w:val="8"/>
          <w:sz w:val="29"/>
          <w:szCs w:val="29"/>
        </w:rPr>
        <w:t>(4)</w:t>
      </w:r>
      <w:r>
        <w:rPr>
          <w:rFonts w:hint="eastAsia" w:ascii="仿宋" w:hAnsi="仿宋" w:eastAsia="仿宋" w:cs="仿宋"/>
          <w:spacing w:val="8"/>
          <w:sz w:val="29"/>
          <w:szCs w:val="29"/>
        </w:rPr>
        <w:t>使用政府专项债券资金形成的固定资产、在建工程、公共基础设施、保障性住房等资产的记账主体、账面价值、使用情况、收益情况及累计使用债券资金金额</w:t>
      </w:r>
      <w:r>
        <w:rPr>
          <w:rFonts w:ascii="仿宋" w:hAnsi="仿宋" w:eastAsia="仿宋" w:cs="仿宋"/>
          <w:spacing w:val="8"/>
          <w:sz w:val="29"/>
          <w:szCs w:val="29"/>
        </w:rPr>
        <w:t>。</w:t>
      </w:r>
    </w:p>
    <w:p>
      <w:pPr>
        <w:spacing w:before="120" w:line="360" w:lineRule="auto"/>
        <w:ind w:left="20" w:right="130" w:firstLine="596"/>
        <w:rPr>
          <w:rFonts w:ascii="仿宋" w:hAnsi="仿宋" w:eastAsia="仿宋" w:cs="仿宋"/>
          <w:spacing w:val="8"/>
          <w:sz w:val="29"/>
          <w:szCs w:val="29"/>
        </w:rPr>
      </w:pPr>
      <w:r>
        <w:rPr>
          <w:rFonts w:ascii="仿宋" w:hAnsi="仿宋" w:eastAsia="仿宋" w:cs="仿宋"/>
          <w:spacing w:val="8"/>
          <w:sz w:val="29"/>
          <w:szCs w:val="29"/>
        </w:rPr>
        <w:t>无。</w:t>
      </w:r>
    </w:p>
    <w:p>
      <w:pPr>
        <w:spacing w:before="120" w:line="360" w:lineRule="auto"/>
        <w:ind w:left="20" w:right="130" w:firstLine="596"/>
        <w:rPr>
          <w:rFonts w:ascii="仿宋" w:hAnsi="仿宋" w:eastAsia="仿宋" w:cs="仿宋"/>
          <w:spacing w:val="8"/>
          <w:sz w:val="29"/>
          <w:szCs w:val="29"/>
        </w:rPr>
      </w:pPr>
    </w:p>
    <w:p>
      <w:pPr>
        <w:spacing w:before="120" w:line="360" w:lineRule="auto"/>
        <w:ind w:left="20" w:right="130" w:firstLine="596"/>
        <w:rPr>
          <w:rFonts w:ascii="仿宋" w:hAnsi="仿宋" w:eastAsia="仿宋" w:cs="仿宋"/>
          <w:spacing w:val="8"/>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5</w:t>
      </w:r>
      <w:r>
        <w:rPr>
          <w:rFonts w:ascii="仿宋" w:hAnsi="仿宋" w:eastAsia="仿宋" w:cs="仿宋"/>
          <w:spacing w:val="8"/>
          <w:sz w:val="29"/>
          <w:szCs w:val="29"/>
        </w:rPr>
        <w:t>)</w:t>
      </w:r>
      <w:r>
        <w:rPr>
          <w:rFonts w:hint="eastAsia" w:ascii="仿宋" w:hAnsi="仿宋" w:eastAsia="仿宋" w:cs="仿宋"/>
          <w:spacing w:val="8"/>
          <w:sz w:val="29"/>
          <w:szCs w:val="29"/>
        </w:rPr>
        <w:t>使用其他债务资金形成的固定资产、在建工程、公共基础设施、保障性住房等资产的账面价值、使用情况、收益情况及债务偿还情况。</w:t>
      </w:r>
    </w:p>
    <w:p>
      <w:pPr>
        <w:spacing w:before="120" w:line="396" w:lineRule="auto"/>
        <w:ind w:left="20" w:right="130" w:firstLine="616" w:firstLineChars="200"/>
        <w:rPr>
          <w:rFonts w:ascii="仿宋" w:hAnsi="仿宋" w:eastAsia="仿宋" w:cs="仿宋"/>
          <w:spacing w:val="9"/>
          <w:sz w:val="29"/>
          <w:szCs w:val="29"/>
        </w:rPr>
      </w:pPr>
      <w:r>
        <w:rPr>
          <w:rFonts w:ascii="仿宋" w:hAnsi="仿宋" w:eastAsia="仿宋" w:cs="仿宋"/>
          <w:spacing w:val="9"/>
          <w:sz w:val="29"/>
          <w:szCs w:val="29"/>
        </w:rPr>
        <w:t>无。</w:t>
      </w:r>
    </w:p>
    <w:p>
      <w:pPr>
        <w:spacing w:before="120" w:line="396" w:lineRule="auto"/>
        <w:ind w:left="20" w:right="130" w:firstLine="616" w:firstLineChars="200"/>
        <w:rPr>
          <w:rFonts w:ascii="仿宋" w:hAnsi="仿宋" w:eastAsia="仿宋" w:cs="仿宋"/>
          <w:spacing w:val="9"/>
          <w:sz w:val="29"/>
          <w:szCs w:val="29"/>
        </w:rPr>
      </w:pPr>
    </w:p>
    <w:p>
      <w:pPr>
        <w:pStyle w:val="15"/>
        <w:spacing w:before="120" w:line="360" w:lineRule="auto"/>
        <w:ind w:left="20" w:firstLine="584" w:firstLineChars="0"/>
        <w:rPr>
          <w:rFonts w:ascii="仿宋" w:hAnsi="仿宋" w:eastAsia="仿宋" w:cs="仿宋"/>
          <w:spacing w:val="8"/>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6</w:t>
      </w:r>
      <w:r>
        <w:rPr>
          <w:rFonts w:ascii="仿宋" w:hAnsi="仿宋" w:eastAsia="仿宋" w:cs="仿宋"/>
          <w:spacing w:val="8"/>
          <w:sz w:val="29"/>
          <w:szCs w:val="29"/>
        </w:rPr>
        <w:t>)重要资产置换、无偿调入(出)、捐入(出)、报废、重大毁损等情况的说明。</w:t>
      </w:r>
    </w:p>
    <w:p>
      <w:pPr>
        <w:pStyle w:val="15"/>
        <w:spacing w:before="120" w:line="396" w:lineRule="auto"/>
        <w:ind w:left="20" w:firstLine="596"/>
        <w:rPr>
          <w:rFonts w:ascii="仿宋" w:hAnsi="仿宋" w:eastAsia="仿宋" w:cs="仿宋"/>
          <w:spacing w:val="8"/>
          <w:sz w:val="29"/>
          <w:szCs w:val="29"/>
        </w:rPr>
      </w:pPr>
      <w:r>
        <w:rPr>
          <w:rFonts w:ascii="仿宋" w:hAnsi="仿宋" w:eastAsia="仿宋" w:cs="仿宋"/>
          <w:spacing w:val="8"/>
          <w:sz w:val="29"/>
          <w:szCs w:val="29"/>
        </w:rPr>
        <w:t>无。</w:t>
      </w:r>
    </w:p>
    <w:p>
      <w:pPr>
        <w:pStyle w:val="15"/>
        <w:spacing w:before="120" w:line="396" w:lineRule="auto"/>
        <w:ind w:left="20" w:firstLine="596"/>
        <w:rPr>
          <w:rFonts w:ascii="仿宋" w:hAnsi="仿宋" w:eastAsia="仿宋" w:cs="仿宋"/>
          <w:spacing w:val="8"/>
          <w:sz w:val="29"/>
          <w:szCs w:val="29"/>
        </w:rPr>
      </w:pPr>
    </w:p>
    <w:p>
      <w:pPr>
        <w:pStyle w:val="15"/>
        <w:spacing w:before="120" w:line="360" w:lineRule="auto"/>
        <w:ind w:left="20" w:firstLine="584" w:firstLineChars="0"/>
        <w:rPr>
          <w:rFonts w:ascii="仿宋" w:hAnsi="仿宋" w:eastAsia="仿宋" w:cs="仿宋"/>
          <w:spacing w:val="8"/>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7</w:t>
      </w:r>
      <w:r>
        <w:rPr>
          <w:rFonts w:ascii="仿宋" w:hAnsi="仿宋" w:eastAsia="仿宋" w:cs="仿宋"/>
          <w:spacing w:val="8"/>
          <w:sz w:val="29"/>
          <w:szCs w:val="29"/>
        </w:rPr>
        <w:t>)对于政府部门管理的公共基础设施、文物文化资产、保障性住房、自然资源资产等重要资产，披露种类和实物量等相关信息。</w:t>
      </w:r>
    </w:p>
    <w:p>
      <w:pPr>
        <w:pStyle w:val="15"/>
        <w:spacing w:before="120" w:line="396" w:lineRule="auto"/>
        <w:ind w:left="20" w:firstLine="596"/>
        <w:rPr>
          <w:rFonts w:ascii="仿宋" w:hAnsi="仿宋" w:eastAsia="仿宋" w:cs="仿宋"/>
          <w:spacing w:val="8"/>
          <w:sz w:val="29"/>
          <w:szCs w:val="29"/>
        </w:rPr>
      </w:pPr>
      <w:r>
        <w:rPr>
          <w:rFonts w:ascii="仿宋" w:hAnsi="仿宋" w:eastAsia="仿宋" w:cs="仿宋"/>
          <w:spacing w:val="8"/>
          <w:sz w:val="29"/>
          <w:szCs w:val="29"/>
        </w:rPr>
        <w:t>无。</w:t>
      </w:r>
    </w:p>
    <w:p>
      <w:pPr>
        <w:pStyle w:val="15"/>
        <w:spacing w:before="120" w:line="396" w:lineRule="auto"/>
        <w:ind w:left="20" w:firstLine="596"/>
        <w:rPr>
          <w:rFonts w:ascii="仿宋" w:hAnsi="仿宋" w:eastAsia="仿宋" w:cs="仿宋"/>
          <w:spacing w:val="8"/>
          <w:sz w:val="29"/>
          <w:szCs w:val="29"/>
        </w:rPr>
      </w:pPr>
    </w:p>
    <w:p>
      <w:pPr>
        <w:pStyle w:val="15"/>
        <w:spacing w:before="120" w:line="360" w:lineRule="auto"/>
        <w:ind w:left="20" w:firstLine="584" w:firstLineChars="0"/>
        <w:rPr>
          <w:rFonts w:ascii="仿宋" w:hAnsi="仿宋" w:eastAsia="仿宋" w:cs="仿宋"/>
          <w:spacing w:val="8"/>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8</w:t>
      </w:r>
      <w:r>
        <w:rPr>
          <w:rFonts w:ascii="仿宋" w:hAnsi="仿宋" w:eastAsia="仿宋" w:cs="仿宋"/>
          <w:spacing w:val="8"/>
          <w:sz w:val="29"/>
          <w:szCs w:val="29"/>
        </w:rPr>
        <w:t>)《政府会计准则制度解释第4号》中规定的特殊情况抵销事项的报表项目及金额(由一级部门合并主体说明)。</w:t>
      </w:r>
    </w:p>
    <w:p>
      <w:pPr>
        <w:pStyle w:val="15"/>
        <w:spacing w:before="120" w:line="396" w:lineRule="auto"/>
        <w:ind w:left="20" w:firstLine="596"/>
        <w:rPr>
          <w:rFonts w:ascii="仿宋" w:hAnsi="仿宋" w:eastAsia="仿宋" w:cs="仿宋"/>
          <w:spacing w:val="8"/>
          <w:sz w:val="29"/>
          <w:szCs w:val="29"/>
        </w:rPr>
      </w:pPr>
      <w:r>
        <w:rPr>
          <w:rFonts w:ascii="仿宋" w:hAnsi="仿宋" w:eastAsia="仿宋" w:cs="仿宋"/>
          <w:spacing w:val="8"/>
          <w:sz w:val="29"/>
          <w:szCs w:val="29"/>
        </w:rPr>
        <w:t>无。</w:t>
      </w:r>
    </w:p>
    <w:p>
      <w:pPr>
        <w:pStyle w:val="15"/>
        <w:spacing w:before="120" w:line="396" w:lineRule="auto"/>
        <w:ind w:left="20" w:firstLine="596"/>
        <w:rPr>
          <w:rFonts w:ascii="仿宋" w:hAnsi="仿宋" w:eastAsia="仿宋" w:cs="仿宋"/>
          <w:spacing w:val="8"/>
          <w:sz w:val="29"/>
          <w:szCs w:val="29"/>
        </w:rPr>
      </w:pPr>
    </w:p>
    <w:p>
      <w:pPr>
        <w:pStyle w:val="15"/>
        <w:spacing w:before="120" w:line="360" w:lineRule="auto"/>
        <w:ind w:left="20" w:firstLine="584" w:firstLineChars="0"/>
        <w:rPr>
          <w:rFonts w:ascii="仿宋" w:hAnsi="仿宋" w:eastAsia="仿宋" w:cs="仿宋"/>
          <w:spacing w:val="8"/>
          <w:sz w:val="29"/>
          <w:szCs w:val="29"/>
        </w:rPr>
      </w:pPr>
      <w:r>
        <w:rPr>
          <w:rFonts w:ascii="仿宋" w:hAnsi="仿宋" w:eastAsia="仿宋" w:cs="仿宋"/>
          <w:spacing w:val="8"/>
          <w:sz w:val="29"/>
          <w:szCs w:val="29"/>
        </w:rPr>
        <w:t>(9)政府会计具体准则中要求附注披露的其他内容，以及其他未在报表中列示，但对政府部门财务状况有重大影响的事项。</w:t>
      </w:r>
    </w:p>
    <w:p>
      <w:pPr>
        <w:pStyle w:val="15"/>
        <w:spacing w:before="120" w:line="396" w:lineRule="auto"/>
        <w:ind w:left="20" w:firstLine="596"/>
        <w:rPr>
          <w:rFonts w:ascii="仿宋" w:hAnsi="仿宋" w:eastAsia="仿宋" w:cs="仿宋"/>
          <w:spacing w:val="8"/>
          <w:sz w:val="29"/>
          <w:szCs w:val="29"/>
        </w:rPr>
      </w:pPr>
      <w:r>
        <w:rPr>
          <w:rFonts w:ascii="仿宋" w:hAnsi="仿宋" w:eastAsia="仿宋" w:cs="仿宋"/>
          <w:spacing w:val="8"/>
          <w:sz w:val="29"/>
          <w:szCs w:val="29"/>
        </w:rPr>
        <w:t>无。</w:t>
      </w:r>
    </w:p>
    <w:p>
      <w:pPr>
        <w:pStyle w:val="15"/>
        <w:spacing w:before="120" w:line="396" w:lineRule="auto"/>
        <w:ind w:left="20" w:firstLine="596"/>
        <w:rPr>
          <w:rFonts w:ascii="仿宋" w:hAnsi="仿宋" w:eastAsia="仿宋" w:cs="仿宋"/>
          <w:spacing w:val="8"/>
          <w:sz w:val="29"/>
          <w:szCs w:val="29"/>
        </w:rPr>
      </w:pPr>
    </w:p>
    <w:p>
      <w:pPr>
        <w:pStyle w:val="15"/>
        <w:spacing w:before="120" w:line="360" w:lineRule="auto"/>
        <w:ind w:left="20" w:firstLine="584" w:firstLineChars="0"/>
        <w:rPr>
          <w:rFonts w:ascii="仿宋" w:hAnsi="仿宋" w:eastAsia="仿宋" w:cs="仿宋"/>
          <w:spacing w:val="8"/>
          <w:sz w:val="29"/>
          <w:szCs w:val="29"/>
        </w:rPr>
      </w:pPr>
      <w:r>
        <w:rPr>
          <w:rFonts w:ascii="仿宋" w:hAnsi="仿宋" w:eastAsia="仿宋" w:cs="仿宋"/>
          <w:spacing w:val="8"/>
          <w:sz w:val="29"/>
          <w:szCs w:val="29"/>
        </w:rPr>
        <w:t>(</w:t>
      </w:r>
      <w:r>
        <w:rPr>
          <w:rFonts w:hint="eastAsia" w:ascii="仿宋" w:hAnsi="仿宋" w:eastAsia="仿宋" w:cs="仿宋"/>
          <w:spacing w:val="8"/>
          <w:sz w:val="29"/>
          <w:szCs w:val="29"/>
        </w:rPr>
        <w:t>10</w:t>
      </w:r>
      <w:r>
        <w:rPr>
          <w:rFonts w:ascii="仿宋" w:hAnsi="仿宋" w:eastAsia="仿宋" w:cs="仿宋"/>
          <w:spacing w:val="8"/>
          <w:sz w:val="29"/>
          <w:szCs w:val="29"/>
        </w:rPr>
        <w:t>)资产负债表项目年初数调整情况。</w:t>
      </w:r>
    </w:p>
    <w:p>
      <w:pPr>
        <w:pStyle w:val="15"/>
        <w:spacing w:before="120" w:line="396" w:lineRule="auto"/>
        <w:ind w:left="20" w:firstLine="596"/>
        <w:rPr>
          <w:rFonts w:ascii="仿宋" w:hAnsi="仿宋" w:eastAsia="仿宋" w:cs="仿宋"/>
          <w:spacing w:val="8"/>
          <w:sz w:val="29"/>
          <w:szCs w:val="29"/>
        </w:rPr>
      </w:pPr>
      <w:r>
        <w:rPr>
          <w:rFonts w:ascii="仿宋" w:hAnsi="仿宋" w:eastAsia="仿宋" w:cs="仿宋"/>
          <w:spacing w:val="8"/>
          <w:sz w:val="29"/>
          <w:szCs w:val="29"/>
        </w:rPr>
        <w:t>无。</w:t>
      </w:r>
    </w:p>
    <w:p>
      <w:pPr>
        <w:pStyle w:val="15"/>
        <w:spacing w:before="120" w:line="396" w:lineRule="auto"/>
        <w:ind w:left="20" w:firstLine="596"/>
        <w:rPr>
          <w:rFonts w:ascii="仿宋" w:hAnsi="仿宋" w:eastAsia="仿宋" w:cs="仿宋"/>
          <w:spacing w:val="8"/>
          <w:sz w:val="29"/>
          <w:szCs w:val="29"/>
        </w:rPr>
      </w:pPr>
    </w:p>
    <w:p>
      <w:pPr>
        <w:pStyle w:val="15"/>
        <w:spacing w:before="120" w:line="396" w:lineRule="auto"/>
        <w:ind w:left="20" w:firstLine="596"/>
        <w:rPr>
          <w:rFonts w:ascii="仿宋" w:hAnsi="仿宋" w:eastAsia="仿宋" w:cs="仿宋"/>
          <w:spacing w:val="8"/>
          <w:sz w:val="29"/>
          <w:szCs w:val="29"/>
        </w:rPr>
      </w:pPr>
    </w:p>
    <w:p>
      <w:pPr>
        <w:spacing w:line="360" w:lineRule="auto"/>
        <w:ind w:left="20" w:firstLine="552"/>
        <w:outlineLvl w:val="0"/>
        <w:rPr>
          <w:rFonts w:ascii="黑体" w:hAnsi="黑体" w:eastAsia="黑体" w:cs="黑体"/>
          <w:b/>
          <w:spacing w:val="-5"/>
          <w:sz w:val="28"/>
          <w:szCs w:val="28"/>
        </w:rPr>
      </w:pPr>
      <w:bookmarkStart w:id="62" w:name="_Toc11383"/>
      <w:r>
        <w:rPr>
          <w:rFonts w:ascii="黑体" w:hAnsi="黑体" w:eastAsia="黑体" w:cs="黑体"/>
          <w:b/>
          <w:spacing w:val="-5"/>
          <w:sz w:val="28"/>
          <w:szCs w:val="28"/>
        </w:rPr>
        <w:t>二、政府部门财务分析</w:t>
      </w:r>
      <w:bookmarkEnd w:id="62"/>
    </w:p>
    <w:p>
      <w:pPr>
        <w:spacing w:line="221" w:lineRule="auto"/>
        <w:ind w:left="20" w:firstLine="546"/>
        <w:outlineLvl w:val="1"/>
        <w:rPr>
          <w:rFonts w:ascii="楷体" w:hAnsi="楷体" w:eastAsia="楷体" w:cs="楷体"/>
          <w:b/>
          <w:spacing w:val="-8"/>
          <w:sz w:val="28"/>
          <w:szCs w:val="28"/>
        </w:rPr>
      </w:pPr>
      <w:bookmarkStart w:id="63" w:name="_Toc229"/>
      <w:r>
        <w:rPr>
          <w:rFonts w:ascii="楷体" w:hAnsi="楷体" w:eastAsia="楷体" w:cs="楷体"/>
          <w:b/>
          <w:spacing w:val="-8"/>
          <w:sz w:val="28"/>
          <w:szCs w:val="28"/>
        </w:rPr>
        <w:t>(一) 政府部门工作目标完成情况</w:t>
      </w:r>
      <w:bookmarkEnd w:id="63"/>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1.深入学习贯彻中共十九大精神及十九届二中、三中、四中、五中、六中全会精神，不断巩固共同思想政治基础。</w:t>
      </w:r>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2.加强宣传工作力度和理论研究工作，全面加强宣传思想工作。</w:t>
      </w:r>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3.加强组织建设，为履行好参政党职能提供组织保障。</w:t>
      </w:r>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4.围绕中共县委、县政府各阶段的中心工作，认真履行参政议政职能。</w:t>
      </w:r>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5.积极发挥党员的主体作用，进一步做好社会服务工作。</w:t>
      </w:r>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6.以提高服务保障能力为核心，全面加强机关能力建设。</w:t>
      </w:r>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7.完成上级组织交办的各种工作任务。</w:t>
      </w:r>
    </w:p>
    <w:p>
      <w:pPr>
        <w:spacing w:before="120" w:beforeLines="50" w:line="396" w:lineRule="auto"/>
        <w:ind w:left="15" w:leftChars="7" w:right="11" w:firstLine="604" w:firstLineChars="200"/>
        <w:rPr>
          <w:rFonts w:ascii="仿宋" w:hAnsi="仿宋" w:eastAsia="仿宋" w:cs="仿宋"/>
          <w:spacing w:val="6"/>
          <w:sz w:val="29"/>
          <w:szCs w:val="29"/>
        </w:rPr>
      </w:pPr>
    </w:p>
    <w:p>
      <w:pPr>
        <w:spacing w:line="221" w:lineRule="auto"/>
        <w:ind w:left="20" w:firstLine="546"/>
        <w:outlineLvl w:val="1"/>
        <w:rPr>
          <w:rFonts w:ascii="楷体" w:hAnsi="楷体" w:eastAsia="楷体" w:cs="楷体"/>
          <w:b/>
          <w:spacing w:val="-8"/>
          <w:sz w:val="28"/>
          <w:szCs w:val="28"/>
        </w:rPr>
      </w:pPr>
      <w:bookmarkStart w:id="64" w:name="_Toc25261"/>
      <w:r>
        <w:rPr>
          <w:rFonts w:ascii="楷体" w:hAnsi="楷体" w:eastAsia="楷体" w:cs="楷体"/>
          <w:b/>
          <w:spacing w:val="-8"/>
          <w:sz w:val="28"/>
          <w:szCs w:val="28"/>
        </w:rPr>
        <w:t>(二) 政府部门财务状况分析</w:t>
      </w:r>
      <w:bookmarkEnd w:id="64"/>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2024年末部门资产总额363.99万元、负债总额100.5万元、净资产总额263.48万元。资产负债率为27.61%，与上年降低2.89个百分比，表明本单位本单位资金状况良好，无较大债务偿还压力。</w:t>
      </w:r>
    </w:p>
    <w:p>
      <w:pPr>
        <w:spacing w:before="120" w:beforeLines="50" w:line="396" w:lineRule="auto"/>
        <w:ind w:left="15" w:leftChars="7" w:right="11" w:firstLine="604" w:firstLineChars="200"/>
        <w:rPr>
          <w:rFonts w:ascii="仿宋" w:hAnsi="仿宋" w:eastAsia="仿宋" w:cs="仿宋"/>
          <w:spacing w:val="6"/>
          <w:sz w:val="29"/>
          <w:szCs w:val="29"/>
        </w:rPr>
      </w:pPr>
    </w:p>
    <w:p>
      <w:pPr>
        <w:spacing w:line="221" w:lineRule="auto"/>
        <w:ind w:left="20" w:firstLine="546"/>
        <w:outlineLvl w:val="1"/>
        <w:rPr>
          <w:rFonts w:ascii="楷体" w:hAnsi="楷体" w:eastAsia="楷体" w:cs="楷体"/>
          <w:b/>
          <w:spacing w:val="-8"/>
          <w:sz w:val="28"/>
          <w:szCs w:val="28"/>
        </w:rPr>
      </w:pPr>
      <w:bookmarkStart w:id="65" w:name="_Toc25996"/>
      <w:r>
        <w:rPr>
          <w:rFonts w:ascii="楷体" w:hAnsi="楷体" w:eastAsia="楷体" w:cs="楷体"/>
          <w:b/>
          <w:spacing w:val="-8"/>
          <w:sz w:val="28"/>
          <w:szCs w:val="28"/>
        </w:rPr>
        <w:t>(三) 政府部门运行情况分析</w:t>
      </w:r>
      <w:bookmarkEnd w:id="65"/>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据财务会计报表数据反映，2024年度部门收入总额1206.77万元，费用总额1206.77万元，收入费用相抵后本年盈余0万元。收入费用率为100%，（1）收入分析：财政拨款收入1206.77万元，其他收入0万元。 （2）支出分析：其中：业务活动费用1206.77万元，其中：工资福利费用562.88万元，商品和服务费用222.98万元，对个人和家庭的补助费用为107.59万元 ，其他费用313.32万元。</w:t>
      </w:r>
    </w:p>
    <w:p>
      <w:pPr>
        <w:spacing w:before="120" w:beforeLines="50" w:line="396" w:lineRule="auto"/>
        <w:ind w:left="15" w:leftChars="7" w:right="11" w:firstLine="604" w:firstLineChars="200"/>
        <w:rPr>
          <w:rFonts w:ascii="仿宋" w:hAnsi="仿宋" w:eastAsia="仿宋" w:cs="仿宋"/>
          <w:spacing w:val="6"/>
          <w:sz w:val="29"/>
          <w:szCs w:val="29"/>
        </w:rPr>
      </w:pPr>
    </w:p>
    <w:p>
      <w:pPr>
        <w:spacing w:line="221" w:lineRule="auto"/>
        <w:ind w:left="20" w:firstLine="546"/>
        <w:outlineLvl w:val="1"/>
        <w:rPr>
          <w:rFonts w:ascii="楷体" w:hAnsi="楷体" w:eastAsia="楷体" w:cs="楷体"/>
          <w:b/>
          <w:spacing w:val="-8"/>
          <w:sz w:val="28"/>
          <w:szCs w:val="28"/>
        </w:rPr>
      </w:pPr>
      <w:bookmarkStart w:id="66" w:name="_Toc21495"/>
      <w:r>
        <w:rPr>
          <w:rFonts w:ascii="楷体" w:hAnsi="楷体" w:eastAsia="楷体" w:cs="楷体"/>
          <w:b/>
          <w:spacing w:val="-8"/>
          <w:sz w:val="28"/>
          <w:szCs w:val="28"/>
        </w:rPr>
        <w:t>(四) 政府部门财务管理情况</w:t>
      </w:r>
      <w:bookmarkEnd w:id="66"/>
    </w:p>
    <w:p>
      <w:pPr>
        <w:spacing w:before="120" w:beforeLines="50" w:line="396" w:lineRule="auto"/>
        <w:ind w:left="15" w:leftChars="7" w:right="11" w:firstLine="604" w:firstLineChars="200"/>
        <w:rPr>
          <w:rFonts w:ascii="仿宋" w:hAnsi="仿宋" w:eastAsia="仿宋" w:cs="仿宋"/>
          <w:spacing w:val="6"/>
          <w:sz w:val="29"/>
          <w:szCs w:val="29"/>
        </w:rPr>
      </w:pPr>
      <w:r>
        <w:rPr>
          <w:rFonts w:ascii="仿宋" w:hAnsi="仿宋" w:eastAsia="仿宋" w:cs="仿宋"/>
          <w:spacing w:val="6"/>
          <w:sz w:val="29"/>
          <w:szCs w:val="29"/>
        </w:rPr>
        <w:t>本部门预算管理情况：我单位财务管理严格依法依规，做到公开公平公正，严格执行各项有关法律法规、财经纪律、财务规章制度。严格执行内部监督，无违法违规行为的产生。我单位对公务接待费用实行集体会签制，支出额严格控制在县财政下达的限额指标之内。</w:t>
      </w:r>
    </w:p>
    <w:p>
      <w:pPr>
        <w:spacing w:before="120" w:beforeLines="50" w:line="396" w:lineRule="auto"/>
        <w:ind w:left="15" w:leftChars="7" w:right="11" w:firstLine="604" w:firstLineChars="200"/>
        <w:rPr>
          <w:rFonts w:ascii="仿宋" w:hAnsi="仿宋" w:eastAsia="仿宋" w:cs="仿宋"/>
          <w:spacing w:val="6"/>
          <w:sz w:val="29"/>
          <w:szCs w:val="29"/>
        </w:rPr>
      </w:pPr>
    </w:p>
    <w:p>
      <w:pPr>
        <w:ind w:left="20" w:firstLine="592"/>
        <w:rPr>
          <w:rFonts w:ascii="仿宋" w:hAnsi="仿宋" w:eastAsia="仿宋" w:cs="仿宋"/>
          <w:spacing w:val="6"/>
          <w:sz w:val="29"/>
          <w:szCs w:val="29"/>
        </w:rPr>
      </w:pPr>
      <w:r>
        <w:rPr>
          <w:rFonts w:hint="eastAsia" w:ascii="仿宋" w:hAnsi="仿宋" w:eastAsia="仿宋" w:cs="仿宋"/>
          <w:spacing w:val="6"/>
          <w:sz w:val="29"/>
          <w:szCs w:val="29"/>
        </w:rPr>
        <w:br w:type="page"/>
      </w:r>
    </w:p>
    <w:p>
      <w:pPr>
        <w:spacing w:before="120" w:beforeLines="50" w:line="396" w:lineRule="auto"/>
        <w:ind w:right="11" w:firstLine="843" w:firstLineChars="300"/>
        <w:outlineLvl w:val="0"/>
        <w:rPr>
          <w:rFonts w:ascii="宋体" w:hAnsi="宋体" w:eastAsia="宋体" w:cs="宋体"/>
          <w:b/>
          <w:bCs/>
          <w:sz w:val="28"/>
          <w:szCs w:val="28"/>
        </w:rPr>
      </w:pPr>
      <w:bookmarkStart w:id="67" w:name="_Toc5263"/>
      <w:r>
        <w:rPr>
          <w:rFonts w:ascii="宋体" w:hAnsi="宋体" w:eastAsia="宋体" w:cs="宋体"/>
          <w:b/>
          <w:bCs/>
          <w:sz w:val="28"/>
          <w:szCs w:val="28"/>
        </w:rPr>
        <w:t>附件：补充报表</w:t>
      </w:r>
      <w:bookmarkEnd w:id="67"/>
    </w:p>
    <w:p>
      <w:pPr>
        <w:spacing w:before="120" w:beforeLines="50" w:line="396" w:lineRule="auto"/>
        <w:ind w:right="11"/>
        <w:outlineLvl w:val="9"/>
        <w:rPr>
          <w:rFonts w:hint="eastAsia" w:ascii="仿宋" w:hAnsi="仿宋" w:eastAsia="仿宋" w:cs="仿宋"/>
          <w:sz w:val="22"/>
          <w:szCs w:val="22"/>
        </w:rPr>
      </w:pPr>
      <w:r>
        <w:rPr>
          <w:rFonts w:hint="eastAsia" w:ascii="仿宋" w:hAnsi="仿宋" w:eastAsia="仿宋" w:cs="仿宋"/>
          <w:sz w:val="22"/>
          <w:szCs w:val="22"/>
        </w:rPr>
        <w:t>补充表1</w:t>
      </w:r>
    </w:p>
    <w:p>
      <w:pPr>
        <w:spacing w:before="120" w:beforeLines="50" w:line="396" w:lineRule="auto"/>
        <w:ind w:left="15" w:leftChars="7" w:right="11" w:firstLine="720" w:firstLineChars="300"/>
        <w:rPr>
          <w:rFonts w:ascii="宋体" w:hAnsi="宋体" w:eastAsia="宋体" w:cs="宋体"/>
          <w:sz w:val="24"/>
          <w:szCs w:val="24"/>
        </w:rPr>
      </w:pPr>
      <w:bookmarkStart w:id="68" w:name="ML_3_YFGCKQKB"/>
      <w:r>
        <w:rPr>
          <w:rFonts w:ascii="宋体" w:hAnsi="宋体" w:eastAsia="宋体" w:cs="宋体"/>
          <w:sz w:val="24"/>
          <w:szCs w:val="24"/>
        </w:rPr>
        <w:t>应付工程款情况表（无）</w:t>
      </w:r>
      <w:bookmarkEnd w:id="68"/>
    </w:p>
    <w:p>
      <w:pPr>
        <w:spacing w:before="120" w:beforeLines="50" w:line="396" w:lineRule="auto"/>
        <w:ind w:left="15" w:leftChars="7" w:right="11" w:firstLine="720" w:firstLineChars="300"/>
        <w:rPr>
          <w:rFonts w:ascii="宋体" w:hAnsi="宋体" w:eastAsia="宋体" w:cs="宋体"/>
          <w:sz w:val="24"/>
          <w:szCs w:val="24"/>
        </w:rPr>
      </w:pPr>
    </w:p>
    <w:p>
      <w:pPr>
        <w:spacing w:before="120" w:beforeLines="50" w:line="396" w:lineRule="auto"/>
        <w:ind w:right="11"/>
        <w:outlineLvl w:val="9"/>
        <w:rPr>
          <w:rFonts w:ascii="仿宋" w:hAnsi="仿宋" w:eastAsia="仿宋" w:cs="仿宋"/>
          <w:sz w:val="22"/>
          <w:szCs w:val="22"/>
        </w:rPr>
      </w:pPr>
      <w:r>
        <w:rPr>
          <w:rFonts w:hint="eastAsia" w:ascii="仿宋" w:hAnsi="仿宋" w:eastAsia="仿宋" w:cs="仿宋"/>
          <w:sz w:val="22"/>
          <w:szCs w:val="22"/>
        </w:rPr>
        <w:t>补充表2</w:t>
      </w:r>
    </w:p>
    <w:p>
      <w:pPr>
        <w:widowControl w:val="0"/>
        <w:kinsoku/>
        <w:snapToGrid/>
        <w:spacing w:line="0" w:lineRule="atLeast"/>
        <w:textAlignment w:val="auto"/>
        <w:rPr>
          <w:rFonts w:ascii="Times New Roman" w:hAnsi="Times New Roman" w:eastAsia="Times New Roman" w:cs="Times New Roman"/>
          <w:snapToGrid/>
          <w:color w:val="auto"/>
          <w:sz w:val="2"/>
          <w:szCs w:val="24"/>
        </w:rPr>
      </w:pPr>
      <w:bookmarkStart w:id="69" w:name="ML_3_BNYSJYYYYTJB"/>
    </w:p>
    <w:tbl>
      <w:tblPr>
        <w:tblStyle w:val="8"/>
        <w:tblW w:w="9636" w:type="dxa"/>
        <w:tblInd w:w="5" w:type="dxa"/>
        <w:tblLayout w:type="fixed"/>
        <w:tblCellMar>
          <w:top w:w="0" w:type="dxa"/>
          <w:left w:w="0" w:type="dxa"/>
          <w:bottom w:w="0" w:type="dxa"/>
          <w:right w:w="0" w:type="dxa"/>
        </w:tblCellMar>
      </w:tblPr>
      <w:tblGrid>
        <w:gridCol w:w="6235"/>
        <w:gridCol w:w="3401"/>
      </w:tblGrid>
      <w:tr>
        <w:tblPrEx>
          <w:tblLayout w:type="fixed"/>
          <w:tblCellMar>
            <w:top w:w="0" w:type="dxa"/>
            <w:left w:w="0" w:type="dxa"/>
            <w:bottom w:w="0" w:type="dxa"/>
            <w:right w:w="0" w:type="dxa"/>
          </w:tblCellMar>
        </w:tblPrEx>
        <w:trPr>
          <w:trHeight w:val="396" w:hRule="exact"/>
        </w:trPr>
        <w:tc>
          <w:tcPr>
            <w:tcW w:w="9636"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jc w:val="center"/>
              <w:textAlignment w:val="auto"/>
              <w:rPr>
                <w:rFonts w:ascii="宋体" w:hAnsi="Times New Roman" w:cs="宋体"/>
                <w:snapToGrid/>
                <w:sz w:val="20"/>
                <w:szCs w:val="24"/>
              </w:rPr>
            </w:pPr>
            <w:r>
              <w:rPr>
                <w:rFonts w:ascii="宋体" w:hAnsi="Times New Roman" w:cs="宋体"/>
                <w:b/>
                <w:snapToGrid/>
                <w:sz w:val="20"/>
                <w:szCs w:val="24"/>
              </w:rPr>
              <w:t>本年预算结余与盈余调节表</w:t>
            </w: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2024 年</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tblPrEx>
          <w:tblLayout w:type="fixed"/>
          <w:tblCellMar>
            <w:top w:w="0" w:type="dxa"/>
            <w:left w:w="0" w:type="dxa"/>
            <w:bottom w:w="0" w:type="dxa"/>
            <w:right w:w="0" w:type="dxa"/>
          </w:tblCellMar>
        </w:tblPrEx>
        <w:trPr>
          <w:trHeight w:val="396" w:hRule="exact"/>
        </w:trPr>
        <w:tc>
          <w:tcPr>
            <w:tcW w:w="6235"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4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3401"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40"/>
              <w:jc w:val="center"/>
              <w:textAlignment w:val="auto"/>
              <w:rPr>
                <w:rFonts w:ascii="宋体" w:hAnsi="Times New Roman" w:cs="宋体"/>
                <w:snapToGrid/>
                <w:sz w:val="20"/>
                <w:szCs w:val="24"/>
              </w:rPr>
            </w:pPr>
            <w:r>
              <w:rPr>
                <w:rFonts w:ascii="宋体" w:hAnsi="Times New Roman" w:cs="宋体"/>
                <w:b/>
                <w:snapToGrid/>
                <w:sz w:val="20"/>
                <w:szCs w:val="24"/>
              </w:rPr>
              <w:t>金额</w:t>
            </w: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一、本年预算结余（本年预算收支差额）</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二、差异调节</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（一）重要事项的差异</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加：1.当期确认为收入但没有确认为预算收入</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（1）应收款项、预收账款确认的收入</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（2）接受非货币性资产捐赠确认的收入</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2.当期确认为预算支出但没有确认为费用</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（1）支付应付款项、预付账款的支出</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（2）为取得存货、政府储备物资等计入物资成本的支出</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（3）为购建固定资产等的资本性支出</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（4）偿还借款本息支出</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减：1.当期确认为预算收入但没有确认为收入</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（1）收到应收款项、预收账款确认的预算收入</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（2）取得借款确认的预算收入</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2.当期确认为费用但没有确认为预算支出</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（1）发出存货、政府储备物资等确认的费用</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（2）计提的折旧费用和摊销费用</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（3）确认的资产处置费用（处置资产价值）</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（4）应付款项、预付账款确认的费用</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（二）其他事项差异</w:t>
            </w:r>
          </w:p>
        </w:tc>
        <w:tc>
          <w:tcPr>
            <w:tcW w:w="3401"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6235"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三、本年盈余（本年收入与费用的差额）</w:t>
            </w:r>
          </w:p>
        </w:tc>
        <w:tc>
          <w:tcPr>
            <w:tcW w:w="3401" w:type="dxa"/>
            <w:tcBorders>
              <w:top w:val="single" w:color="000000" w:sz="8" w:space="0"/>
              <w:left w:val="single" w:color="FFFFFF" w:sz="4" w:space="0"/>
              <w:bottom w:val="single" w:color="000000" w:sz="8" w:space="0"/>
              <w:right w:val="single" w:color="FFFFFF" w:sz="4" w:space="0"/>
            </w:tcBorders>
            <w:shd w:val="clear" w:color="auto" w:fill="FFFFFF"/>
            <w:vAlign w:val="center"/>
          </w:tcPr>
          <w:p>
            <w:pPr>
              <w:widowControl w:val="0"/>
              <w:kinsoku/>
              <w:snapToGrid/>
              <w:textAlignment w:val="auto"/>
              <w:rPr>
                <w:rFonts w:ascii="Times New Roman" w:hAnsi="Times New Roman" w:eastAsia="Times New Roman" w:cs="Times New Roman"/>
                <w:snapToGrid/>
                <w:color w:val="auto"/>
                <w:sz w:val="24"/>
                <w:szCs w:val="24"/>
              </w:rPr>
            </w:pPr>
          </w:p>
        </w:tc>
      </w:tr>
      <w:tr>
        <w:tblPrEx>
          <w:tblLayout w:type="fixed"/>
          <w:tblCellMar>
            <w:top w:w="0" w:type="dxa"/>
            <w:left w:w="0" w:type="dxa"/>
            <w:bottom w:w="0" w:type="dxa"/>
            <w:right w:w="0" w:type="dxa"/>
          </w:tblCellMar>
        </w:tblPrEx>
        <w:trPr>
          <w:trHeight w:val="396" w:hRule="exact"/>
        </w:trPr>
        <w:tc>
          <w:tcPr>
            <w:tcW w:w="9636"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注：部门层面通过加总所属单位本年预算结余与盈余调节表生成。</w:t>
            </w:r>
          </w:p>
        </w:tc>
      </w:tr>
      <w:bookmarkEnd w:id="69"/>
    </w:tbl>
    <w:p>
      <w:pPr>
        <w:spacing w:before="120" w:beforeLines="50" w:line="396" w:lineRule="auto"/>
        <w:ind w:left="15" w:leftChars="7" w:right="11" w:firstLine="720" w:firstLineChars="300"/>
        <w:rPr>
          <w:rFonts w:ascii="宋体" w:hAnsi="宋体" w:eastAsia="宋体" w:cs="宋体"/>
          <w:sz w:val="24"/>
          <w:szCs w:val="24"/>
        </w:rPr>
      </w:pPr>
    </w:p>
    <w:sectPr>
      <w:footerReference r:id="rId5" w:type="default"/>
      <w:pgSz w:w="11906" w:h="16839"/>
      <w:pgMar w:top="1431" w:right="1711" w:bottom="1170" w:left="1785" w:header="0" w:footer="99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20" w:firstLine="340"/>
      <w:rPr>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6726"/>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MzA4YjYzMjY0Y2VkNGU3NjVmOTQzYzljM2E5ODMifQ=="/>
  </w:docVars>
  <w:rsids>
    <w:rsidRoot w:val="00D24ADA"/>
    <w:rsid w:val="000009F6"/>
    <w:rsid w:val="00011AD6"/>
    <w:rsid w:val="00027E89"/>
    <w:rsid w:val="00096661"/>
    <w:rsid w:val="000A30CC"/>
    <w:rsid w:val="000A310B"/>
    <w:rsid w:val="000B7557"/>
    <w:rsid w:val="000C6375"/>
    <w:rsid w:val="000C78B2"/>
    <w:rsid w:val="000F355C"/>
    <w:rsid w:val="00111694"/>
    <w:rsid w:val="001139AF"/>
    <w:rsid w:val="00143C7F"/>
    <w:rsid w:val="00145E73"/>
    <w:rsid w:val="0017385C"/>
    <w:rsid w:val="00175998"/>
    <w:rsid w:val="00180472"/>
    <w:rsid w:val="00196244"/>
    <w:rsid w:val="001A52B4"/>
    <w:rsid w:val="001A776A"/>
    <w:rsid w:val="001B17D9"/>
    <w:rsid w:val="001B40FC"/>
    <w:rsid w:val="001C21EF"/>
    <w:rsid w:val="001C2CC9"/>
    <w:rsid w:val="001E6999"/>
    <w:rsid w:val="00212E04"/>
    <w:rsid w:val="00222B7C"/>
    <w:rsid w:val="00225A66"/>
    <w:rsid w:val="00233EF6"/>
    <w:rsid w:val="002441F1"/>
    <w:rsid w:val="00274176"/>
    <w:rsid w:val="002754ED"/>
    <w:rsid w:val="0028189B"/>
    <w:rsid w:val="002862FC"/>
    <w:rsid w:val="002A055A"/>
    <w:rsid w:val="002D1339"/>
    <w:rsid w:val="002D139B"/>
    <w:rsid w:val="002D18B1"/>
    <w:rsid w:val="002D311D"/>
    <w:rsid w:val="002D79C5"/>
    <w:rsid w:val="002E0006"/>
    <w:rsid w:val="002E3544"/>
    <w:rsid w:val="002F6766"/>
    <w:rsid w:val="0030297D"/>
    <w:rsid w:val="00336FE2"/>
    <w:rsid w:val="00376968"/>
    <w:rsid w:val="00383F1B"/>
    <w:rsid w:val="003A42A9"/>
    <w:rsid w:val="003D5EC6"/>
    <w:rsid w:val="003D6850"/>
    <w:rsid w:val="003F75BA"/>
    <w:rsid w:val="00441621"/>
    <w:rsid w:val="00444D67"/>
    <w:rsid w:val="004479E5"/>
    <w:rsid w:val="00490C4C"/>
    <w:rsid w:val="0049664F"/>
    <w:rsid w:val="004A7EF0"/>
    <w:rsid w:val="004B3B57"/>
    <w:rsid w:val="004F2CFC"/>
    <w:rsid w:val="004F48E6"/>
    <w:rsid w:val="00500FD2"/>
    <w:rsid w:val="0050353F"/>
    <w:rsid w:val="005045F0"/>
    <w:rsid w:val="005120B9"/>
    <w:rsid w:val="005331E2"/>
    <w:rsid w:val="00547DFD"/>
    <w:rsid w:val="00557D6E"/>
    <w:rsid w:val="00563C0B"/>
    <w:rsid w:val="005666E5"/>
    <w:rsid w:val="005669F2"/>
    <w:rsid w:val="00572255"/>
    <w:rsid w:val="00574F49"/>
    <w:rsid w:val="00575E65"/>
    <w:rsid w:val="00580C03"/>
    <w:rsid w:val="005B139D"/>
    <w:rsid w:val="005C4701"/>
    <w:rsid w:val="005E1484"/>
    <w:rsid w:val="005E4E9C"/>
    <w:rsid w:val="005F1BDD"/>
    <w:rsid w:val="006019F2"/>
    <w:rsid w:val="00605976"/>
    <w:rsid w:val="00606DDC"/>
    <w:rsid w:val="00615763"/>
    <w:rsid w:val="00617F7E"/>
    <w:rsid w:val="00622F93"/>
    <w:rsid w:val="00631E8D"/>
    <w:rsid w:val="00640C2B"/>
    <w:rsid w:val="00641210"/>
    <w:rsid w:val="00653225"/>
    <w:rsid w:val="00657775"/>
    <w:rsid w:val="00666DCD"/>
    <w:rsid w:val="00683846"/>
    <w:rsid w:val="0068385C"/>
    <w:rsid w:val="0068732B"/>
    <w:rsid w:val="006C60B5"/>
    <w:rsid w:val="006D5F81"/>
    <w:rsid w:val="006F4AEF"/>
    <w:rsid w:val="00722175"/>
    <w:rsid w:val="00726325"/>
    <w:rsid w:val="007325C7"/>
    <w:rsid w:val="0073283C"/>
    <w:rsid w:val="00734C12"/>
    <w:rsid w:val="00747DB7"/>
    <w:rsid w:val="00776559"/>
    <w:rsid w:val="007813AD"/>
    <w:rsid w:val="0079770A"/>
    <w:rsid w:val="007A123B"/>
    <w:rsid w:val="007A3742"/>
    <w:rsid w:val="007D622E"/>
    <w:rsid w:val="007D6F59"/>
    <w:rsid w:val="007E0658"/>
    <w:rsid w:val="007F3C4A"/>
    <w:rsid w:val="0080176B"/>
    <w:rsid w:val="00811068"/>
    <w:rsid w:val="00815A10"/>
    <w:rsid w:val="00824826"/>
    <w:rsid w:val="008261D7"/>
    <w:rsid w:val="00830E88"/>
    <w:rsid w:val="00835F43"/>
    <w:rsid w:val="008404D5"/>
    <w:rsid w:val="00845764"/>
    <w:rsid w:val="00860FA3"/>
    <w:rsid w:val="00865128"/>
    <w:rsid w:val="00874ADB"/>
    <w:rsid w:val="008A2B82"/>
    <w:rsid w:val="008A590A"/>
    <w:rsid w:val="008A6157"/>
    <w:rsid w:val="008B1D0E"/>
    <w:rsid w:val="008B22AB"/>
    <w:rsid w:val="008B42A7"/>
    <w:rsid w:val="008D0DA4"/>
    <w:rsid w:val="008D4E5E"/>
    <w:rsid w:val="008F28F8"/>
    <w:rsid w:val="00936212"/>
    <w:rsid w:val="00940488"/>
    <w:rsid w:val="0095391B"/>
    <w:rsid w:val="00956E1F"/>
    <w:rsid w:val="009611D5"/>
    <w:rsid w:val="009614BC"/>
    <w:rsid w:val="009648D1"/>
    <w:rsid w:val="0098727E"/>
    <w:rsid w:val="009C1238"/>
    <w:rsid w:val="009E4D70"/>
    <w:rsid w:val="009F327D"/>
    <w:rsid w:val="00A26036"/>
    <w:rsid w:val="00A33510"/>
    <w:rsid w:val="00A52B0C"/>
    <w:rsid w:val="00A7260B"/>
    <w:rsid w:val="00AA19E8"/>
    <w:rsid w:val="00AA5FF1"/>
    <w:rsid w:val="00AC274D"/>
    <w:rsid w:val="00AC7E7E"/>
    <w:rsid w:val="00AF03F2"/>
    <w:rsid w:val="00B00A44"/>
    <w:rsid w:val="00B0273E"/>
    <w:rsid w:val="00B12BC1"/>
    <w:rsid w:val="00B21B68"/>
    <w:rsid w:val="00B22687"/>
    <w:rsid w:val="00B37FAD"/>
    <w:rsid w:val="00B47A4D"/>
    <w:rsid w:val="00B51F68"/>
    <w:rsid w:val="00B60A86"/>
    <w:rsid w:val="00B634BA"/>
    <w:rsid w:val="00B63ED7"/>
    <w:rsid w:val="00B701D8"/>
    <w:rsid w:val="00B83825"/>
    <w:rsid w:val="00B85290"/>
    <w:rsid w:val="00BA3B9A"/>
    <w:rsid w:val="00BD7801"/>
    <w:rsid w:val="00BE78D1"/>
    <w:rsid w:val="00C03953"/>
    <w:rsid w:val="00C240FB"/>
    <w:rsid w:val="00C54BAB"/>
    <w:rsid w:val="00C55B96"/>
    <w:rsid w:val="00C564C9"/>
    <w:rsid w:val="00C65671"/>
    <w:rsid w:val="00CB0907"/>
    <w:rsid w:val="00CB403C"/>
    <w:rsid w:val="00CB5E74"/>
    <w:rsid w:val="00CF4FCA"/>
    <w:rsid w:val="00D21368"/>
    <w:rsid w:val="00D235DE"/>
    <w:rsid w:val="00D24ADA"/>
    <w:rsid w:val="00D25D54"/>
    <w:rsid w:val="00D26127"/>
    <w:rsid w:val="00D3750D"/>
    <w:rsid w:val="00D45741"/>
    <w:rsid w:val="00D4754E"/>
    <w:rsid w:val="00D6791D"/>
    <w:rsid w:val="00D71124"/>
    <w:rsid w:val="00D77F66"/>
    <w:rsid w:val="00D82187"/>
    <w:rsid w:val="00DA6A22"/>
    <w:rsid w:val="00DB00CB"/>
    <w:rsid w:val="00DB4697"/>
    <w:rsid w:val="00DD280F"/>
    <w:rsid w:val="00DD6749"/>
    <w:rsid w:val="00DE0FB3"/>
    <w:rsid w:val="00DF5A4B"/>
    <w:rsid w:val="00E15DB4"/>
    <w:rsid w:val="00E44A8B"/>
    <w:rsid w:val="00E5570C"/>
    <w:rsid w:val="00E604C7"/>
    <w:rsid w:val="00E608FC"/>
    <w:rsid w:val="00E645F8"/>
    <w:rsid w:val="00E75B6F"/>
    <w:rsid w:val="00E856FF"/>
    <w:rsid w:val="00E87F21"/>
    <w:rsid w:val="00ED2C9D"/>
    <w:rsid w:val="00EF022A"/>
    <w:rsid w:val="00EF3862"/>
    <w:rsid w:val="00F0266F"/>
    <w:rsid w:val="00F10CD1"/>
    <w:rsid w:val="00F357C6"/>
    <w:rsid w:val="00F53591"/>
    <w:rsid w:val="00F53EB1"/>
    <w:rsid w:val="00F66760"/>
    <w:rsid w:val="00F913CA"/>
    <w:rsid w:val="00F975CD"/>
    <w:rsid w:val="00FA2E01"/>
    <w:rsid w:val="00FB0D55"/>
    <w:rsid w:val="00FC2F75"/>
    <w:rsid w:val="011949CD"/>
    <w:rsid w:val="01317F69"/>
    <w:rsid w:val="01374E54"/>
    <w:rsid w:val="01E23011"/>
    <w:rsid w:val="02094A42"/>
    <w:rsid w:val="02532161"/>
    <w:rsid w:val="0365214C"/>
    <w:rsid w:val="037D56E7"/>
    <w:rsid w:val="038A1AFE"/>
    <w:rsid w:val="039B3DC0"/>
    <w:rsid w:val="03FB660C"/>
    <w:rsid w:val="040000C7"/>
    <w:rsid w:val="0442423B"/>
    <w:rsid w:val="04471852"/>
    <w:rsid w:val="044E0E32"/>
    <w:rsid w:val="045439B3"/>
    <w:rsid w:val="049802FF"/>
    <w:rsid w:val="05467449"/>
    <w:rsid w:val="054B5371"/>
    <w:rsid w:val="056D178C"/>
    <w:rsid w:val="05B57528"/>
    <w:rsid w:val="05E46541"/>
    <w:rsid w:val="06222576"/>
    <w:rsid w:val="06532730"/>
    <w:rsid w:val="06CF5257"/>
    <w:rsid w:val="07317D98"/>
    <w:rsid w:val="077741FC"/>
    <w:rsid w:val="07837045"/>
    <w:rsid w:val="080D4B60"/>
    <w:rsid w:val="085A5FF7"/>
    <w:rsid w:val="087150EF"/>
    <w:rsid w:val="08D863C4"/>
    <w:rsid w:val="08E92ED7"/>
    <w:rsid w:val="093A3733"/>
    <w:rsid w:val="09442803"/>
    <w:rsid w:val="09E71B0D"/>
    <w:rsid w:val="0A122902"/>
    <w:rsid w:val="0A1D0BF3"/>
    <w:rsid w:val="0A536495"/>
    <w:rsid w:val="0A8767F8"/>
    <w:rsid w:val="0AE12A99"/>
    <w:rsid w:val="0B185CF6"/>
    <w:rsid w:val="0B2E376B"/>
    <w:rsid w:val="0B574A70"/>
    <w:rsid w:val="0B666A61"/>
    <w:rsid w:val="0B811AED"/>
    <w:rsid w:val="0B927856"/>
    <w:rsid w:val="0BB93035"/>
    <w:rsid w:val="0BC3242E"/>
    <w:rsid w:val="0BF70001"/>
    <w:rsid w:val="0C063DA0"/>
    <w:rsid w:val="0C201AF3"/>
    <w:rsid w:val="0C41302A"/>
    <w:rsid w:val="0C434FF4"/>
    <w:rsid w:val="0CBC3A23"/>
    <w:rsid w:val="0CC779D3"/>
    <w:rsid w:val="0CCE5DF6"/>
    <w:rsid w:val="0D533015"/>
    <w:rsid w:val="0D6B65B1"/>
    <w:rsid w:val="0DA00625"/>
    <w:rsid w:val="0E0F0F08"/>
    <w:rsid w:val="0E1924B1"/>
    <w:rsid w:val="0E356BBF"/>
    <w:rsid w:val="0E6179B4"/>
    <w:rsid w:val="0EA31D7A"/>
    <w:rsid w:val="0EB8730C"/>
    <w:rsid w:val="0EE83327"/>
    <w:rsid w:val="0F8B4CE8"/>
    <w:rsid w:val="0F916077"/>
    <w:rsid w:val="100C4134"/>
    <w:rsid w:val="103A5C8E"/>
    <w:rsid w:val="104F3F68"/>
    <w:rsid w:val="10505F32"/>
    <w:rsid w:val="10B57458"/>
    <w:rsid w:val="10BB33AB"/>
    <w:rsid w:val="10EC5C5A"/>
    <w:rsid w:val="10FE773C"/>
    <w:rsid w:val="11877731"/>
    <w:rsid w:val="11F8062F"/>
    <w:rsid w:val="1232769D"/>
    <w:rsid w:val="123A6C55"/>
    <w:rsid w:val="1282351E"/>
    <w:rsid w:val="12A179E6"/>
    <w:rsid w:val="12CA5B28"/>
    <w:rsid w:val="12E0534B"/>
    <w:rsid w:val="13477178"/>
    <w:rsid w:val="13CF0162"/>
    <w:rsid w:val="13D45CDA"/>
    <w:rsid w:val="14263231"/>
    <w:rsid w:val="147815B3"/>
    <w:rsid w:val="15427BF2"/>
    <w:rsid w:val="156C736A"/>
    <w:rsid w:val="15780A54"/>
    <w:rsid w:val="15A90C59"/>
    <w:rsid w:val="15D25265"/>
    <w:rsid w:val="16663DB9"/>
    <w:rsid w:val="167A31D7"/>
    <w:rsid w:val="168B3820"/>
    <w:rsid w:val="16E96798"/>
    <w:rsid w:val="171C4DC0"/>
    <w:rsid w:val="17D97DC5"/>
    <w:rsid w:val="17DB2585"/>
    <w:rsid w:val="17F003B0"/>
    <w:rsid w:val="17FF5486"/>
    <w:rsid w:val="18057602"/>
    <w:rsid w:val="18090EA0"/>
    <w:rsid w:val="18363C5F"/>
    <w:rsid w:val="18910E95"/>
    <w:rsid w:val="18A230A3"/>
    <w:rsid w:val="18A60DE5"/>
    <w:rsid w:val="18A80790"/>
    <w:rsid w:val="190F698A"/>
    <w:rsid w:val="19157D18"/>
    <w:rsid w:val="19265A82"/>
    <w:rsid w:val="193E2DCB"/>
    <w:rsid w:val="196A0658"/>
    <w:rsid w:val="19876C46"/>
    <w:rsid w:val="19B10F5D"/>
    <w:rsid w:val="19B117EF"/>
    <w:rsid w:val="19B46092"/>
    <w:rsid w:val="19D83220"/>
    <w:rsid w:val="19D96F98"/>
    <w:rsid w:val="19ED659F"/>
    <w:rsid w:val="1A11228E"/>
    <w:rsid w:val="1A147FD0"/>
    <w:rsid w:val="1A1561DB"/>
    <w:rsid w:val="1A457028"/>
    <w:rsid w:val="1A461E7E"/>
    <w:rsid w:val="1A5D3725"/>
    <w:rsid w:val="1ABD2416"/>
    <w:rsid w:val="1B441364"/>
    <w:rsid w:val="1B5763C6"/>
    <w:rsid w:val="1BB67591"/>
    <w:rsid w:val="1BD6553D"/>
    <w:rsid w:val="1CC932F4"/>
    <w:rsid w:val="1CCC4B92"/>
    <w:rsid w:val="1D2422D8"/>
    <w:rsid w:val="1D5E3A3C"/>
    <w:rsid w:val="1D69418F"/>
    <w:rsid w:val="1E215EB1"/>
    <w:rsid w:val="1E4C1AE7"/>
    <w:rsid w:val="1E51534F"/>
    <w:rsid w:val="1E957931"/>
    <w:rsid w:val="1ED33FB6"/>
    <w:rsid w:val="1FCA53B9"/>
    <w:rsid w:val="20831A0C"/>
    <w:rsid w:val="20B35E4D"/>
    <w:rsid w:val="20E406FC"/>
    <w:rsid w:val="20FA3A7C"/>
    <w:rsid w:val="20FE0E4A"/>
    <w:rsid w:val="2100305C"/>
    <w:rsid w:val="21093CBF"/>
    <w:rsid w:val="210E54DE"/>
    <w:rsid w:val="213E284F"/>
    <w:rsid w:val="214E201A"/>
    <w:rsid w:val="218527CE"/>
    <w:rsid w:val="218D48F0"/>
    <w:rsid w:val="21BE0F4D"/>
    <w:rsid w:val="220B3A67"/>
    <w:rsid w:val="222A0391"/>
    <w:rsid w:val="22521696"/>
    <w:rsid w:val="225E628C"/>
    <w:rsid w:val="22D36C7A"/>
    <w:rsid w:val="23241284"/>
    <w:rsid w:val="238F4548"/>
    <w:rsid w:val="23C51743"/>
    <w:rsid w:val="23C860B3"/>
    <w:rsid w:val="240D3AC6"/>
    <w:rsid w:val="244D480A"/>
    <w:rsid w:val="24545B99"/>
    <w:rsid w:val="247575E5"/>
    <w:rsid w:val="248B22C2"/>
    <w:rsid w:val="24961D0D"/>
    <w:rsid w:val="24A522A6"/>
    <w:rsid w:val="24B83BAA"/>
    <w:rsid w:val="24B91EA0"/>
    <w:rsid w:val="256736AA"/>
    <w:rsid w:val="26250EFD"/>
    <w:rsid w:val="26E01966"/>
    <w:rsid w:val="26FB67A0"/>
    <w:rsid w:val="277051B2"/>
    <w:rsid w:val="27814EF7"/>
    <w:rsid w:val="27D019DA"/>
    <w:rsid w:val="27D36DD5"/>
    <w:rsid w:val="27E14538"/>
    <w:rsid w:val="27FF5E1C"/>
    <w:rsid w:val="281178FD"/>
    <w:rsid w:val="28A40771"/>
    <w:rsid w:val="28A6098D"/>
    <w:rsid w:val="28F45255"/>
    <w:rsid w:val="294837F2"/>
    <w:rsid w:val="295B1778"/>
    <w:rsid w:val="295B5F19"/>
    <w:rsid w:val="29600466"/>
    <w:rsid w:val="29F23E8A"/>
    <w:rsid w:val="2A070FB7"/>
    <w:rsid w:val="2A094D30"/>
    <w:rsid w:val="2A0E2346"/>
    <w:rsid w:val="2A863A2B"/>
    <w:rsid w:val="2AD52E64"/>
    <w:rsid w:val="2AFA0B1C"/>
    <w:rsid w:val="2B1C6CE5"/>
    <w:rsid w:val="2B5B34E9"/>
    <w:rsid w:val="2BB1742D"/>
    <w:rsid w:val="2BEE0681"/>
    <w:rsid w:val="2C0C6A9D"/>
    <w:rsid w:val="2C35005E"/>
    <w:rsid w:val="2C6170A5"/>
    <w:rsid w:val="2CCF04B2"/>
    <w:rsid w:val="2D177764"/>
    <w:rsid w:val="2D1E6D44"/>
    <w:rsid w:val="2DB41456"/>
    <w:rsid w:val="2DD030CE"/>
    <w:rsid w:val="2DE24215"/>
    <w:rsid w:val="2E4F2F2D"/>
    <w:rsid w:val="2E57204A"/>
    <w:rsid w:val="2E76670C"/>
    <w:rsid w:val="2EA90C4B"/>
    <w:rsid w:val="2EFC1307"/>
    <w:rsid w:val="2F25085E"/>
    <w:rsid w:val="2F2D14C0"/>
    <w:rsid w:val="2F3E191F"/>
    <w:rsid w:val="2F57478F"/>
    <w:rsid w:val="2F8F3F29"/>
    <w:rsid w:val="303D5733"/>
    <w:rsid w:val="304A7836"/>
    <w:rsid w:val="305331A8"/>
    <w:rsid w:val="30696528"/>
    <w:rsid w:val="308C2216"/>
    <w:rsid w:val="311D7312"/>
    <w:rsid w:val="312E1520"/>
    <w:rsid w:val="31853836"/>
    <w:rsid w:val="31AA1425"/>
    <w:rsid w:val="31B23EFF"/>
    <w:rsid w:val="31C76B93"/>
    <w:rsid w:val="31F44517"/>
    <w:rsid w:val="31FD7870"/>
    <w:rsid w:val="32236BAB"/>
    <w:rsid w:val="3242011E"/>
    <w:rsid w:val="324C26FE"/>
    <w:rsid w:val="32A73338"/>
    <w:rsid w:val="32D57EA5"/>
    <w:rsid w:val="32D87995"/>
    <w:rsid w:val="32FF4F22"/>
    <w:rsid w:val="332E3A59"/>
    <w:rsid w:val="334D3EDF"/>
    <w:rsid w:val="3350577D"/>
    <w:rsid w:val="337C6572"/>
    <w:rsid w:val="338A588C"/>
    <w:rsid w:val="33D36691"/>
    <w:rsid w:val="34183FF5"/>
    <w:rsid w:val="349124F1"/>
    <w:rsid w:val="351D1FD7"/>
    <w:rsid w:val="35494B7A"/>
    <w:rsid w:val="35926521"/>
    <w:rsid w:val="361B6516"/>
    <w:rsid w:val="36787E36"/>
    <w:rsid w:val="36826596"/>
    <w:rsid w:val="36A55DE0"/>
    <w:rsid w:val="36A91D74"/>
    <w:rsid w:val="36AA1648"/>
    <w:rsid w:val="36F6663C"/>
    <w:rsid w:val="37117919"/>
    <w:rsid w:val="374D6BA3"/>
    <w:rsid w:val="37977585"/>
    <w:rsid w:val="3842422E"/>
    <w:rsid w:val="38AC5B4C"/>
    <w:rsid w:val="38F372D7"/>
    <w:rsid w:val="391E1E7A"/>
    <w:rsid w:val="392D7775"/>
    <w:rsid w:val="39643D30"/>
    <w:rsid w:val="398402F3"/>
    <w:rsid w:val="39882115"/>
    <w:rsid w:val="398B39B3"/>
    <w:rsid w:val="399F745E"/>
    <w:rsid w:val="39C42A21"/>
    <w:rsid w:val="3A1D346E"/>
    <w:rsid w:val="3A1E65D5"/>
    <w:rsid w:val="3A26548A"/>
    <w:rsid w:val="3A6A35C8"/>
    <w:rsid w:val="3B1B48C3"/>
    <w:rsid w:val="3B710987"/>
    <w:rsid w:val="3BC82C9D"/>
    <w:rsid w:val="3C225D0A"/>
    <w:rsid w:val="3C4D31A2"/>
    <w:rsid w:val="3C5F552A"/>
    <w:rsid w:val="3CD76F0F"/>
    <w:rsid w:val="3CE84C78"/>
    <w:rsid w:val="3CF67395"/>
    <w:rsid w:val="3D3879AE"/>
    <w:rsid w:val="3DB334D8"/>
    <w:rsid w:val="3DBF1E7D"/>
    <w:rsid w:val="3DCB3567"/>
    <w:rsid w:val="3DEE2762"/>
    <w:rsid w:val="3DFE2398"/>
    <w:rsid w:val="3E18333B"/>
    <w:rsid w:val="3E3069AA"/>
    <w:rsid w:val="3EE33949"/>
    <w:rsid w:val="3EEC4EF4"/>
    <w:rsid w:val="3EF5367D"/>
    <w:rsid w:val="3EFE4C27"/>
    <w:rsid w:val="3F6C393F"/>
    <w:rsid w:val="3F79605C"/>
    <w:rsid w:val="401B0CA8"/>
    <w:rsid w:val="4024421A"/>
    <w:rsid w:val="402D6F51"/>
    <w:rsid w:val="403B1563"/>
    <w:rsid w:val="409C0254"/>
    <w:rsid w:val="409C64A6"/>
    <w:rsid w:val="40EA5463"/>
    <w:rsid w:val="412D35A2"/>
    <w:rsid w:val="41390199"/>
    <w:rsid w:val="4140601A"/>
    <w:rsid w:val="41614FF9"/>
    <w:rsid w:val="41962EF5"/>
    <w:rsid w:val="41CA0DF1"/>
    <w:rsid w:val="421107CE"/>
    <w:rsid w:val="42AB29D0"/>
    <w:rsid w:val="42BD2703"/>
    <w:rsid w:val="43086074"/>
    <w:rsid w:val="43337AAD"/>
    <w:rsid w:val="433F136A"/>
    <w:rsid w:val="43D718F1"/>
    <w:rsid w:val="43FB34E3"/>
    <w:rsid w:val="440525B4"/>
    <w:rsid w:val="44CE29A6"/>
    <w:rsid w:val="44DC1567"/>
    <w:rsid w:val="44E87F0C"/>
    <w:rsid w:val="44FF5255"/>
    <w:rsid w:val="450B1E4C"/>
    <w:rsid w:val="457A6296"/>
    <w:rsid w:val="45921C25"/>
    <w:rsid w:val="45B24076"/>
    <w:rsid w:val="45BA0DE7"/>
    <w:rsid w:val="45BC4EF4"/>
    <w:rsid w:val="45D95AA6"/>
    <w:rsid w:val="45EA7CB3"/>
    <w:rsid w:val="460F771A"/>
    <w:rsid w:val="46326F64"/>
    <w:rsid w:val="4647285B"/>
    <w:rsid w:val="466C2476"/>
    <w:rsid w:val="46CA37DB"/>
    <w:rsid w:val="46F506BE"/>
    <w:rsid w:val="4703102D"/>
    <w:rsid w:val="47170634"/>
    <w:rsid w:val="47A65E5C"/>
    <w:rsid w:val="47A85730"/>
    <w:rsid w:val="47AD71EA"/>
    <w:rsid w:val="48221986"/>
    <w:rsid w:val="48580F04"/>
    <w:rsid w:val="48621D83"/>
    <w:rsid w:val="48877A3B"/>
    <w:rsid w:val="48CB5B7A"/>
    <w:rsid w:val="490D666A"/>
    <w:rsid w:val="4921031A"/>
    <w:rsid w:val="49647D7D"/>
    <w:rsid w:val="4977360C"/>
    <w:rsid w:val="498B70B7"/>
    <w:rsid w:val="49EA0282"/>
    <w:rsid w:val="4A804996"/>
    <w:rsid w:val="4AEC627C"/>
    <w:rsid w:val="4B105AC6"/>
    <w:rsid w:val="4B94301A"/>
    <w:rsid w:val="4BC3361F"/>
    <w:rsid w:val="4C365A00"/>
    <w:rsid w:val="4C40062D"/>
    <w:rsid w:val="4CF833D4"/>
    <w:rsid w:val="4D0E24D9"/>
    <w:rsid w:val="4D3A32CE"/>
    <w:rsid w:val="4D4E0B28"/>
    <w:rsid w:val="4DA44BEC"/>
    <w:rsid w:val="4DD728CB"/>
    <w:rsid w:val="4E683E6B"/>
    <w:rsid w:val="4E7B3B9E"/>
    <w:rsid w:val="4E7E323F"/>
    <w:rsid w:val="4E852794"/>
    <w:rsid w:val="4E8C7B5A"/>
    <w:rsid w:val="4E9669A3"/>
    <w:rsid w:val="4EA34EA3"/>
    <w:rsid w:val="4F1813ED"/>
    <w:rsid w:val="4F2E6E63"/>
    <w:rsid w:val="4F5B752C"/>
    <w:rsid w:val="503E4E84"/>
    <w:rsid w:val="506B7C43"/>
    <w:rsid w:val="508825A3"/>
    <w:rsid w:val="50C47DD0"/>
    <w:rsid w:val="50E83041"/>
    <w:rsid w:val="50EF43CF"/>
    <w:rsid w:val="51375EB3"/>
    <w:rsid w:val="51667545"/>
    <w:rsid w:val="516C77CE"/>
    <w:rsid w:val="51BD627C"/>
    <w:rsid w:val="51CB6BEB"/>
    <w:rsid w:val="51E1640E"/>
    <w:rsid w:val="524A7482"/>
    <w:rsid w:val="52583DF3"/>
    <w:rsid w:val="528F19C6"/>
    <w:rsid w:val="52976ACD"/>
    <w:rsid w:val="52CA50F4"/>
    <w:rsid w:val="52F21F55"/>
    <w:rsid w:val="534213CB"/>
    <w:rsid w:val="534722A1"/>
    <w:rsid w:val="534A4B93"/>
    <w:rsid w:val="534D53DE"/>
    <w:rsid w:val="535449BE"/>
    <w:rsid w:val="536015B5"/>
    <w:rsid w:val="536A2433"/>
    <w:rsid w:val="539D45C4"/>
    <w:rsid w:val="539F20DD"/>
    <w:rsid w:val="543616DF"/>
    <w:rsid w:val="546E385E"/>
    <w:rsid w:val="54752E3E"/>
    <w:rsid w:val="5495703C"/>
    <w:rsid w:val="54CE6A47"/>
    <w:rsid w:val="54D20290"/>
    <w:rsid w:val="55191A1B"/>
    <w:rsid w:val="55216B22"/>
    <w:rsid w:val="55985036"/>
    <w:rsid w:val="559D089E"/>
    <w:rsid w:val="55A25EB5"/>
    <w:rsid w:val="562B5EAA"/>
    <w:rsid w:val="565847C5"/>
    <w:rsid w:val="567E58E1"/>
    <w:rsid w:val="56A33ED3"/>
    <w:rsid w:val="56DA167E"/>
    <w:rsid w:val="56DC53F6"/>
    <w:rsid w:val="573E7E5F"/>
    <w:rsid w:val="587C0C3F"/>
    <w:rsid w:val="588C69A8"/>
    <w:rsid w:val="58FA7AA8"/>
    <w:rsid w:val="590E560F"/>
    <w:rsid w:val="59221BB5"/>
    <w:rsid w:val="592310BA"/>
    <w:rsid w:val="59344A9E"/>
    <w:rsid w:val="59417793"/>
    <w:rsid w:val="59701E26"/>
    <w:rsid w:val="59745DBA"/>
    <w:rsid w:val="59AF6DF2"/>
    <w:rsid w:val="59C45E22"/>
    <w:rsid w:val="59CF4D9E"/>
    <w:rsid w:val="59D41851"/>
    <w:rsid w:val="5A3D43FE"/>
    <w:rsid w:val="5A3F4333"/>
    <w:rsid w:val="5AB02E22"/>
    <w:rsid w:val="5AB3646E"/>
    <w:rsid w:val="5AC4067B"/>
    <w:rsid w:val="5AD570E4"/>
    <w:rsid w:val="5AD72634"/>
    <w:rsid w:val="5AFC6067"/>
    <w:rsid w:val="5B4041A6"/>
    <w:rsid w:val="5B442CC3"/>
    <w:rsid w:val="5B461090"/>
    <w:rsid w:val="5B631C42"/>
    <w:rsid w:val="5BC22E0D"/>
    <w:rsid w:val="5C166CB5"/>
    <w:rsid w:val="5C1D44E7"/>
    <w:rsid w:val="5C3435DF"/>
    <w:rsid w:val="5C433822"/>
    <w:rsid w:val="5C763BF7"/>
    <w:rsid w:val="5C7B745F"/>
    <w:rsid w:val="5CE648D9"/>
    <w:rsid w:val="5D02548B"/>
    <w:rsid w:val="5D475B2E"/>
    <w:rsid w:val="5D9205BD"/>
    <w:rsid w:val="5DA54794"/>
    <w:rsid w:val="5DB04EE7"/>
    <w:rsid w:val="5DDD6818"/>
    <w:rsid w:val="5E2F0501"/>
    <w:rsid w:val="5E9F5687"/>
    <w:rsid w:val="5EB6477F"/>
    <w:rsid w:val="5EE3728C"/>
    <w:rsid w:val="5EEB267A"/>
    <w:rsid w:val="5FE570CA"/>
    <w:rsid w:val="5FEA0785"/>
    <w:rsid w:val="60277D85"/>
    <w:rsid w:val="6045400C"/>
    <w:rsid w:val="606C66C9"/>
    <w:rsid w:val="60AF76D8"/>
    <w:rsid w:val="61112140"/>
    <w:rsid w:val="61153BF7"/>
    <w:rsid w:val="61710F78"/>
    <w:rsid w:val="6198016C"/>
    <w:rsid w:val="61982CDF"/>
    <w:rsid w:val="61D61674"/>
    <w:rsid w:val="61FE0917"/>
    <w:rsid w:val="62127F1E"/>
    <w:rsid w:val="62147627"/>
    <w:rsid w:val="6299419B"/>
    <w:rsid w:val="62B4260C"/>
    <w:rsid w:val="62BE2657"/>
    <w:rsid w:val="62BE3C02"/>
    <w:rsid w:val="62D13935"/>
    <w:rsid w:val="6361115D"/>
    <w:rsid w:val="637864A7"/>
    <w:rsid w:val="63AD43A2"/>
    <w:rsid w:val="63BF7C32"/>
    <w:rsid w:val="63CF256B"/>
    <w:rsid w:val="63FA3360"/>
    <w:rsid w:val="642B52C7"/>
    <w:rsid w:val="643B7C00"/>
    <w:rsid w:val="646A5FF4"/>
    <w:rsid w:val="64970BAF"/>
    <w:rsid w:val="64B61B71"/>
    <w:rsid w:val="65183A9D"/>
    <w:rsid w:val="652A37D1"/>
    <w:rsid w:val="659D0447"/>
    <w:rsid w:val="66101085"/>
    <w:rsid w:val="663A7A43"/>
    <w:rsid w:val="664803B2"/>
    <w:rsid w:val="66560D21"/>
    <w:rsid w:val="66B6356E"/>
    <w:rsid w:val="66E76C69"/>
    <w:rsid w:val="66F67E0E"/>
    <w:rsid w:val="66F9345B"/>
    <w:rsid w:val="675F3C06"/>
    <w:rsid w:val="67917B37"/>
    <w:rsid w:val="67A61834"/>
    <w:rsid w:val="67F74DD5"/>
    <w:rsid w:val="6828049B"/>
    <w:rsid w:val="68531405"/>
    <w:rsid w:val="68833924"/>
    <w:rsid w:val="6894168D"/>
    <w:rsid w:val="68B85643"/>
    <w:rsid w:val="691858EE"/>
    <w:rsid w:val="693C5C0C"/>
    <w:rsid w:val="69B144C0"/>
    <w:rsid w:val="69F06D97"/>
    <w:rsid w:val="6A6E4160"/>
    <w:rsid w:val="6AF66E98"/>
    <w:rsid w:val="6B0074AE"/>
    <w:rsid w:val="6B511AB7"/>
    <w:rsid w:val="6B8C6F93"/>
    <w:rsid w:val="6BBB5183"/>
    <w:rsid w:val="6BEF59A3"/>
    <w:rsid w:val="6C022DB1"/>
    <w:rsid w:val="6C054650"/>
    <w:rsid w:val="6C2372B9"/>
    <w:rsid w:val="6C3D64DF"/>
    <w:rsid w:val="6C8934D3"/>
    <w:rsid w:val="6CB1445E"/>
    <w:rsid w:val="6CD40BF2"/>
    <w:rsid w:val="6CFA617E"/>
    <w:rsid w:val="6D1A237D"/>
    <w:rsid w:val="6D2A25C0"/>
    <w:rsid w:val="6D657A9C"/>
    <w:rsid w:val="6DD9025F"/>
    <w:rsid w:val="6DE636AC"/>
    <w:rsid w:val="6DF57072"/>
    <w:rsid w:val="6E0B0643"/>
    <w:rsid w:val="6EE97F75"/>
    <w:rsid w:val="6EF530A1"/>
    <w:rsid w:val="6F4B0ADE"/>
    <w:rsid w:val="6FAD1286"/>
    <w:rsid w:val="6FFA02E8"/>
    <w:rsid w:val="700D7F77"/>
    <w:rsid w:val="706202C3"/>
    <w:rsid w:val="708B3197"/>
    <w:rsid w:val="70C40F7D"/>
    <w:rsid w:val="70CD7E32"/>
    <w:rsid w:val="70D72A5F"/>
    <w:rsid w:val="70DE20D9"/>
    <w:rsid w:val="71285068"/>
    <w:rsid w:val="71687B5B"/>
    <w:rsid w:val="71AF12E6"/>
    <w:rsid w:val="720C6738"/>
    <w:rsid w:val="72C2773E"/>
    <w:rsid w:val="72EB1CC3"/>
    <w:rsid w:val="73222DE7"/>
    <w:rsid w:val="736E1A0A"/>
    <w:rsid w:val="73B01345"/>
    <w:rsid w:val="74546174"/>
    <w:rsid w:val="745B5755"/>
    <w:rsid w:val="74C25AE8"/>
    <w:rsid w:val="74F6722B"/>
    <w:rsid w:val="753A35BC"/>
    <w:rsid w:val="754461E9"/>
    <w:rsid w:val="754E7067"/>
    <w:rsid w:val="75D51537"/>
    <w:rsid w:val="75EF43A6"/>
    <w:rsid w:val="75F96FD3"/>
    <w:rsid w:val="762D1373"/>
    <w:rsid w:val="767D7C04"/>
    <w:rsid w:val="768C6099"/>
    <w:rsid w:val="769F401E"/>
    <w:rsid w:val="76B61368"/>
    <w:rsid w:val="76C21ABB"/>
    <w:rsid w:val="77161E07"/>
    <w:rsid w:val="77404F00"/>
    <w:rsid w:val="779C230C"/>
    <w:rsid w:val="77AD4519"/>
    <w:rsid w:val="780305DD"/>
    <w:rsid w:val="78112CFA"/>
    <w:rsid w:val="78886D34"/>
    <w:rsid w:val="78941235"/>
    <w:rsid w:val="78AD0549"/>
    <w:rsid w:val="78C064CE"/>
    <w:rsid w:val="78DE0702"/>
    <w:rsid w:val="78FD6DDA"/>
    <w:rsid w:val="791505C8"/>
    <w:rsid w:val="795C61F7"/>
    <w:rsid w:val="79B871A5"/>
    <w:rsid w:val="7A82542A"/>
    <w:rsid w:val="7A94551C"/>
    <w:rsid w:val="7AB26D78"/>
    <w:rsid w:val="7AC154FB"/>
    <w:rsid w:val="7AC2652D"/>
    <w:rsid w:val="7AEC5358"/>
    <w:rsid w:val="7AFF272A"/>
    <w:rsid w:val="7B2014A6"/>
    <w:rsid w:val="7B8053BB"/>
    <w:rsid w:val="7B8C2698"/>
    <w:rsid w:val="7BE6624C"/>
    <w:rsid w:val="7BF2699E"/>
    <w:rsid w:val="7C63164A"/>
    <w:rsid w:val="7C6F5DDA"/>
    <w:rsid w:val="7CB023B6"/>
    <w:rsid w:val="7D5B4A17"/>
    <w:rsid w:val="7D8F2E65"/>
    <w:rsid w:val="7E094BEE"/>
    <w:rsid w:val="7E154BC6"/>
    <w:rsid w:val="7E1F5A45"/>
    <w:rsid w:val="7E722019"/>
    <w:rsid w:val="7E747B3F"/>
    <w:rsid w:val="7F121106"/>
    <w:rsid w:val="7F182BC0"/>
    <w:rsid w:val="7F1A6186"/>
    <w:rsid w:val="7F3248B6"/>
    <w:rsid w:val="7F726386"/>
    <w:rsid w:val="7FA501CC"/>
    <w:rsid w:val="7FF0769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10">
    <w:name w:val="Hyperlink"/>
    <w:basedOn w:val="9"/>
    <w:qFormat/>
    <w:uiPriority w:val="0"/>
    <w:rPr>
      <w:color w:val="0000FF"/>
      <w:u w:val="single"/>
    </w:rPr>
  </w:style>
  <w:style w:type="table" w:customStyle="1" w:styleId="11">
    <w:name w:val="Table Normal_0"/>
    <w:semiHidden/>
    <w:unhideWhenUsed/>
    <w:qFormat/>
    <w:uiPriority w:val="0"/>
    <w:tblPr>
      <w:tblLayout w:type="fixed"/>
      <w:tblCellMar>
        <w:top w:w="0" w:type="dxa"/>
        <w:left w:w="0" w:type="dxa"/>
        <w:bottom w:w="0" w:type="dxa"/>
        <w:right w:w="0" w:type="dxa"/>
      </w:tblCellMar>
    </w:tblPr>
  </w:style>
  <w:style w:type="character" w:customStyle="1" w:styleId="12">
    <w:name w:val="批注框文本 字符"/>
    <w:basedOn w:val="9"/>
    <w:link w:val="3"/>
    <w:semiHidden/>
    <w:qFormat/>
    <w:uiPriority w:val="99"/>
    <w:rPr>
      <w:sz w:val="18"/>
      <w:szCs w:val="18"/>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1E4FC-EA8B-496C-A586-46AFC164F0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2276</Words>
  <Characters>2483</Characters>
  <Lines>27</Lines>
  <Paragraphs>7</Paragraphs>
  <TotalTime>30</TotalTime>
  <ScaleCrop>false</ScaleCrop>
  <LinksUpToDate>false</LinksUpToDate>
  <CharactersWithSpaces>2612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2023-01-30T15:53:00Z</dcterms:created>
  <dc:creator>和家慧</dc:creator>
  <cp:lastModifiedBy>ysg01</cp:lastModifiedBy>
  <dcterms:modified xsi:type="dcterms:W3CDTF">2025-04-21T08:03:15Z</dcterms:modified>
  <dc:title>附件：2021年度政府部门财务报告样式</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2023-04-04T09:25:50Z</vt:filetime>
  </property>
  <property fmtid="{D5CDD505-2E9C-101B-9397-08002B2CF9AE}" pid="3" name="CRO">
    <vt:lpwstr>wqlLaW5nc29mdCBQREYgdG8gV1BTIDgw</vt:lpwstr>
  </property>
  <property fmtid="{D5CDD505-2E9C-101B-9397-08002B2CF9AE}" pid="4" name="ICV">
    <vt:lpwstr>C71F915FE1B546BEAD68B255A2D31552</vt:lpwstr>
  </property>
  <property fmtid="{D5CDD505-2E9C-101B-9397-08002B2CF9AE}" pid="5" name="KSOProductBuildVer">
    <vt:lpwstr>2052-11.8.6.8556</vt:lpwstr>
  </property>
  <property fmtid="{D5CDD505-2E9C-101B-9397-08002B2CF9AE}" pid="6" name="KSOTemplateDocerSaveRecord">
    <vt:lpwstr>eyJoZGlkIjoiOTc3M2Y5NzIzMDFlZjAyY2Q4Njk5ODkyYjFjNzBiNTQiLCJ1c2VySWQiOiI3MDMyNjA4MTIifQ==</vt:lpwstr>
  </property>
</Properties>
</file>