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eastAsia="黑体"/>
          <w:sz w:val="56"/>
          <w:szCs w:val="56"/>
          <w:lang w:val="en-US" w:eastAsia="zh-CN"/>
        </w:rPr>
      </w:pPr>
      <w:bookmarkStart w:id="3" w:name="_GoBack"/>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溆浦县中都乡人民政府</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r>
        <w:rPr>
          <w:rFonts w:hint="eastAsia"/>
          <w:b/>
          <w:sz w:val="36"/>
          <w:szCs w:val="28"/>
        </w:rPr>
        <w:t>目录</w:t>
      </w:r>
    </w:p>
    <w:p>
      <w:pPr>
        <w:pStyle w:val="11"/>
        <w:spacing w:line="5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溆浦县中都乡人民政府</w:t>
      </w:r>
      <w:r>
        <w:rPr>
          <w:rFonts w:hint="eastAsia" w:ascii="黑体" w:hAnsi="黑体" w:eastAsia="黑体" w:cs="黑体"/>
          <w:b w:val="0"/>
          <w:bCs/>
          <w:sz w:val="28"/>
          <w:szCs w:val="28"/>
        </w:rPr>
        <w:t>概况</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溆浦县中都乡人民政府</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2"/>
        <w:jc w:val="center"/>
        <w:rPr>
          <w:rFonts w:hint="eastAsia"/>
        </w:rPr>
      </w:pPr>
    </w:p>
    <w:p>
      <w:pPr>
        <w:pStyle w:val="12"/>
        <w:numPr>
          <w:ilvl w:val="0"/>
          <w:numId w:val="1"/>
        </w:numPr>
        <w:ind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center"/>
        <w:rPr>
          <w:rFonts w:ascii="仿宋_GB2312" w:eastAsia="仿宋_GB2312" w:hAnsiTheme="minorEastAsia"/>
          <w:sz w:val="28"/>
          <w:szCs w:val="32"/>
        </w:rPr>
      </w:pPr>
      <w:r>
        <w:rPr>
          <w:rFonts w:hint="eastAsia" w:ascii="宋体" w:hAnsi="宋体" w:cs="宋体"/>
          <w:sz w:val="32"/>
          <w:szCs w:val="32"/>
        </w:rPr>
        <w:t>中都乡人民政府隶属溆浦县人民政府，行政单位，全额拨款单位。编制数</w:t>
      </w:r>
      <w:r>
        <w:rPr>
          <w:rFonts w:ascii="宋体" w:hAnsi="宋体" w:cs="宋体"/>
          <w:sz w:val="32"/>
          <w:szCs w:val="32"/>
        </w:rPr>
        <w:t>52</w:t>
      </w:r>
      <w:r>
        <w:rPr>
          <w:rFonts w:hint="eastAsia" w:ascii="宋体" w:hAnsi="宋体" w:cs="宋体"/>
          <w:sz w:val="32"/>
          <w:szCs w:val="32"/>
        </w:rPr>
        <w:t>人，年末在职人员</w:t>
      </w:r>
      <w:r>
        <w:rPr>
          <w:rFonts w:hint="eastAsia" w:ascii="宋体" w:hAnsi="宋体" w:cs="宋体"/>
          <w:sz w:val="32"/>
          <w:szCs w:val="32"/>
          <w:lang w:val="en-US" w:eastAsia="zh-CN"/>
        </w:rPr>
        <w:t>45</w:t>
      </w:r>
      <w:r>
        <w:rPr>
          <w:rFonts w:hint="eastAsia" w:ascii="宋体" w:hAnsi="宋体" w:cs="宋体"/>
          <w:sz w:val="32"/>
          <w:szCs w:val="32"/>
        </w:rPr>
        <w:t>人。主要职能是</w:t>
      </w:r>
      <w:r>
        <w:rPr>
          <w:rFonts w:hint="eastAsia" w:ascii="宋体" w:hAnsi="宋体" w:cs="宋体"/>
          <w:sz w:val="32"/>
          <w:szCs w:val="32"/>
          <w:lang w:eastAsia="zh-CN"/>
        </w:rPr>
        <w:t>：</w:t>
      </w:r>
      <w:r>
        <w:rPr>
          <w:rFonts w:ascii="宋体" w:hAnsi="宋体" w:cs="宋体"/>
          <w:kern w:val="0"/>
          <w:sz w:val="32"/>
          <w:szCs w:val="32"/>
        </w:rPr>
        <w:t>(1)</w:t>
      </w:r>
      <w:r>
        <w:rPr>
          <w:rFonts w:hint="eastAsia" w:ascii="宋体" w:hAnsi="宋体"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宋体" w:hAnsi="宋体" w:cs="宋体"/>
          <w:kern w:val="0"/>
          <w:sz w:val="32"/>
          <w:szCs w:val="32"/>
        </w:rPr>
        <w:t>(2)</w:t>
      </w:r>
      <w:r>
        <w:rPr>
          <w:rFonts w:hint="eastAsia" w:ascii="宋体" w:hAnsi="宋体" w:cs="宋体"/>
          <w:kern w:val="0"/>
          <w:sz w:val="32"/>
          <w:szCs w:val="32"/>
        </w:rPr>
        <w:t>制定并组织实施村镇建设规划，部署重点工程建设，地方道路建设及公共设施，水利设施的管理，负责土地、林木、水等自然资源和生态环境的保护，做好护林防火工作。</w:t>
      </w:r>
      <w:r>
        <w:rPr>
          <w:rFonts w:ascii="宋体" w:hAnsi="宋体" w:cs="宋体"/>
          <w:kern w:val="0"/>
          <w:sz w:val="32"/>
          <w:szCs w:val="32"/>
        </w:rPr>
        <w:t>(3)</w:t>
      </w:r>
      <w:r>
        <w:rPr>
          <w:rFonts w:hint="eastAsia" w:ascii="宋体" w:hAnsi="宋体" w:cs="宋体"/>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宋体" w:hAnsi="宋体" w:cs="宋体"/>
          <w:kern w:val="0"/>
          <w:sz w:val="32"/>
          <w:szCs w:val="32"/>
        </w:rPr>
        <w:t>(4)</w:t>
      </w:r>
      <w:r>
        <w:rPr>
          <w:rFonts w:hint="eastAsia" w:ascii="宋体" w:hAnsi="宋体" w:cs="宋体"/>
          <w:kern w:val="0"/>
          <w:sz w:val="32"/>
          <w:szCs w:val="32"/>
        </w:rPr>
        <w:t>按计划组织本级财政收入和地方税的征收，完成国家财政计划，不断培植税源，管好财政资金，增强财政实力。</w:t>
      </w:r>
      <w:r>
        <w:rPr>
          <w:rFonts w:ascii="宋体" w:hAnsi="宋体" w:cs="宋体"/>
          <w:kern w:val="0"/>
          <w:sz w:val="32"/>
          <w:szCs w:val="32"/>
        </w:rPr>
        <w:t>(5)</w:t>
      </w:r>
      <w:r>
        <w:rPr>
          <w:rFonts w:hint="eastAsia" w:ascii="宋体" w:hAnsi="宋体" w:cs="宋体"/>
          <w:kern w:val="0"/>
          <w:sz w:val="32"/>
          <w:szCs w:val="32"/>
        </w:rPr>
        <w:t>抓好精神文明建设，丰富群众文化生活，提倡移风易俗，反对封建迷信，破除陈规陋习，树立社会主义新风尚。</w:t>
      </w:r>
      <w:r>
        <w:rPr>
          <w:rFonts w:ascii="宋体" w:hAnsi="宋体" w:cs="宋体"/>
          <w:kern w:val="0"/>
          <w:sz w:val="32"/>
          <w:szCs w:val="32"/>
        </w:rPr>
        <w:t>(6)</w:t>
      </w:r>
      <w:r>
        <w:rPr>
          <w:rFonts w:hint="eastAsia" w:ascii="宋体" w:hAnsi="宋体" w:cs="宋体"/>
          <w:kern w:val="0"/>
          <w:sz w:val="32"/>
          <w:szCs w:val="32"/>
        </w:rPr>
        <w:t>完成上级政府交办的其它事项。</w:t>
      </w:r>
    </w:p>
    <w:p>
      <w:pPr>
        <w:widowControl/>
        <w:spacing w:line="600" w:lineRule="exact"/>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jc w:val="center"/>
        <w:rPr>
          <w:rFonts w:ascii="宋体" w:cs="宋体"/>
          <w:kern w:val="0"/>
          <w:sz w:val="32"/>
          <w:szCs w:val="32"/>
        </w:rPr>
      </w:pPr>
      <w:r>
        <w:rPr>
          <w:rFonts w:hint="eastAsia" w:ascii="宋体" w:hAnsi="宋体" w:cs="宋体"/>
          <w:bCs/>
          <w:kern w:val="0"/>
          <w:sz w:val="32"/>
          <w:szCs w:val="32"/>
        </w:rPr>
        <w:t>（一）内设机构设置。</w:t>
      </w:r>
      <w:r>
        <w:rPr>
          <w:rFonts w:hint="eastAsia" w:ascii="宋体" w:hAnsi="宋体" w:cs="宋体"/>
          <w:sz w:val="32"/>
          <w:szCs w:val="32"/>
        </w:rPr>
        <w:t>本单位内设机构包括：六办</w:t>
      </w:r>
      <w:r>
        <w:rPr>
          <w:rFonts w:hint="eastAsia" w:ascii="宋体" w:hAnsi="宋体" w:cs="宋体"/>
          <w:sz w:val="32"/>
          <w:szCs w:val="32"/>
          <w:lang w:eastAsia="zh-CN"/>
        </w:rPr>
        <w:t>三中心一大队</w:t>
      </w:r>
      <w:r>
        <w:rPr>
          <w:rFonts w:hint="eastAsia" w:ascii="宋体" w:hAnsi="宋体" w:cs="宋体"/>
          <w:sz w:val="32"/>
          <w:szCs w:val="32"/>
        </w:rPr>
        <w:t>，分别为党政办公室、党建办公室、社会事务办公室、经济发展办公室、自然资源和生态环境办公室、社会治安和应急管理办公室、社会事务综合服务中心、政务服务中心、</w:t>
      </w:r>
      <w:r>
        <w:rPr>
          <w:rFonts w:hint="eastAsia" w:ascii="宋体" w:hAnsi="宋体" w:cs="宋体"/>
          <w:sz w:val="32"/>
          <w:szCs w:val="32"/>
          <w:lang w:eastAsia="zh-CN"/>
        </w:rPr>
        <w:t>农业综合服务中心，</w:t>
      </w:r>
      <w:r>
        <w:rPr>
          <w:rFonts w:hint="eastAsia" w:ascii="宋体" w:hAnsi="宋体" w:cs="宋体"/>
          <w:sz w:val="32"/>
          <w:szCs w:val="32"/>
        </w:rPr>
        <w:t>综合行政执法大队。</w:t>
      </w:r>
    </w:p>
    <w:p>
      <w:pPr>
        <w:widowControl/>
        <w:spacing w:line="600" w:lineRule="exact"/>
        <w:ind w:firstLine="640" w:firstLineChars="200"/>
        <w:jc w:val="center"/>
        <w:rPr>
          <w:rFonts w:ascii="宋体" w:cs="宋体"/>
          <w:bCs/>
          <w:kern w:val="0"/>
          <w:sz w:val="32"/>
          <w:szCs w:val="32"/>
        </w:rPr>
      </w:pPr>
      <w:r>
        <w:rPr>
          <w:rFonts w:hint="eastAsia" w:ascii="宋体" w:hAnsi="宋体" w:cs="宋体"/>
          <w:bCs/>
          <w:kern w:val="0"/>
          <w:sz w:val="32"/>
          <w:szCs w:val="32"/>
        </w:rPr>
        <w:t>（二）决算单位构成。包括：本单位</w:t>
      </w:r>
      <w:r>
        <w:rPr>
          <w:rFonts w:ascii="宋体" w:hAnsi="宋体" w:cs="宋体"/>
          <w:bCs/>
          <w:kern w:val="0"/>
          <w:sz w:val="32"/>
          <w:szCs w:val="32"/>
        </w:rPr>
        <w:t>20</w:t>
      </w:r>
      <w:r>
        <w:rPr>
          <w:rFonts w:hint="eastAsia" w:ascii="宋体" w:hAnsi="宋体" w:cs="宋体"/>
          <w:bCs/>
          <w:kern w:val="0"/>
          <w:sz w:val="32"/>
          <w:szCs w:val="32"/>
          <w:lang w:val="en-US" w:eastAsia="zh-CN"/>
        </w:rPr>
        <w:t>22</w:t>
      </w:r>
      <w:r>
        <w:rPr>
          <w:rFonts w:hint="eastAsia" w:ascii="宋体" w:hAnsi="宋体" w:cs="宋体"/>
          <w:bCs/>
          <w:kern w:val="0"/>
          <w:sz w:val="32"/>
          <w:szCs w:val="32"/>
        </w:rPr>
        <w:t>年部门决算汇总公开单位构成包括：中都乡人民政府本级以及乡财政所。</w:t>
      </w:r>
    </w:p>
    <w:p>
      <w:pPr>
        <w:jc w:val="center"/>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32"/>
          <w:szCs w:val="32"/>
        </w:rPr>
      </w:pPr>
    </w:p>
    <w:p>
      <w:pPr>
        <w:jc w:val="center"/>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5428" w:type="dxa"/>
        <w:tblInd w:w="0" w:type="dxa"/>
        <w:tblLayout w:type="fixed"/>
        <w:tblCellMar>
          <w:top w:w="0" w:type="dxa"/>
          <w:left w:w="0" w:type="dxa"/>
          <w:bottom w:w="0" w:type="dxa"/>
          <w:right w:w="0" w:type="dxa"/>
        </w:tblCellMar>
      </w:tblPr>
      <w:tblGrid>
        <w:gridCol w:w="298"/>
        <w:gridCol w:w="638"/>
        <w:gridCol w:w="1931"/>
        <w:gridCol w:w="1004"/>
        <w:gridCol w:w="1800"/>
        <w:gridCol w:w="1800"/>
        <w:gridCol w:w="1800"/>
        <w:gridCol w:w="1800"/>
        <w:gridCol w:w="1800"/>
        <w:gridCol w:w="255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832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3"/>
              <w:gridCol w:w="592"/>
              <w:gridCol w:w="1292"/>
              <w:gridCol w:w="4600"/>
              <w:gridCol w:w="1872"/>
              <w:gridCol w:w="55"/>
              <w:gridCol w:w="2924"/>
              <w:gridCol w:w="2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auto"/>
                  <w:noWrap/>
                  <w:vAlign w:val="center"/>
                </w:tcPr>
                <w:p>
                  <w:pPr>
                    <w:jc w:val="center"/>
                    <w:rPr>
                      <w:rFonts w:hint="eastAsia" w:ascii="黑体" w:hAnsi="宋体" w:eastAsia="黑体" w:cs="黑体"/>
                      <w:i w:val="0"/>
                      <w:color w:val="000000"/>
                      <w:sz w:val="24"/>
                      <w:szCs w:val="24"/>
                      <w:u w:val="none"/>
                    </w:rPr>
                  </w:pPr>
                </w:p>
              </w:tc>
              <w:tc>
                <w:tcPr>
                  <w:tcW w:w="592"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noWrap/>
                  <w:vAlign w:val="center"/>
                </w:tcPr>
                <w:p>
                  <w:pPr>
                    <w:jc w:val="center"/>
                    <w:rPr>
                      <w:rFonts w:hint="eastAsia" w:ascii="黑体" w:hAnsi="宋体" w:eastAsia="黑体" w:cs="黑体"/>
                      <w:i w:val="0"/>
                      <w:color w:val="000000"/>
                      <w:sz w:val="24"/>
                      <w:szCs w:val="24"/>
                      <w:u w:val="none"/>
                    </w:rPr>
                  </w:pPr>
                </w:p>
              </w:tc>
              <w:tc>
                <w:tcPr>
                  <w:tcW w:w="2924" w:type="dxa"/>
                  <w:tcBorders>
                    <w:top w:val="nil"/>
                    <w:left w:val="nil"/>
                    <w:bottom w:val="nil"/>
                    <w:right w:val="nil"/>
                  </w:tcBorders>
                  <w:shd w:val="clear" w:color="auto" w:fill="auto"/>
                  <w:noWrap/>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92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92"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92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592"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92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45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1416.65</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657.09</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15.36</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87.1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0"/>
                      <w:szCs w:val="20"/>
                      <w:u w:val="none"/>
                    </w:rPr>
                    <w:t>九、卫生健康支出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27.17</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0"/>
                      <w:szCs w:val="20"/>
                      <w:u w:val="none"/>
                    </w:rPr>
                    <w:t>十、节能环保支出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48.81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0"/>
                      <w:szCs w:val="20"/>
                      <w:u w:val="none"/>
                    </w:rPr>
                    <w:t>十一、城乡社区支出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45</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0"/>
                      <w:szCs w:val="20"/>
                      <w:u w:val="none"/>
                    </w:rPr>
                    <w:t>十二、农林水支出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475.47</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十三、交通运输支出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十八、自然资源海洋气象等支出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16.98</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23.37</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二十二、灾害防治及应急管理支出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15.3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1424.65</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本年支出合计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1424.65</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结余分配</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年末结转和结余</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1424.65</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总计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1424.65</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24" w:type="dxa"/>
                <w:trHeight w:val="1015" w:hRule="atLeast"/>
              </w:trPr>
              <w:tc>
                <w:tcPr>
                  <w:tcW w:w="153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63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93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0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255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87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color w:val="000000"/>
                <w:sz w:val="20"/>
                <w:szCs w:val="20"/>
              </w:rPr>
              <w:t>部门：</w:t>
            </w:r>
            <w:r>
              <w:rPr>
                <w:rFonts w:hint="eastAsia"/>
              </w:rPr>
              <w:t>溆浦县中都乡人民政府</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p>
        </w:tc>
        <w:tc>
          <w:tcPr>
            <w:tcW w:w="255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0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3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931"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0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8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1424.65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1424.65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专项普查活动</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退役安置</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退役士兵安置</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其他退役安置支出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基本公共卫生服务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其他公共卫生支出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农村环境保护</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2130209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生产发展</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其他应急管理支出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19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0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注：本表反映部门本年度取得的各项收入情况。</w:t>
            </w:r>
          </w:p>
        </w:tc>
      </w:tr>
    </w:tbl>
    <w:p>
      <w:pPr>
        <w:widowControl/>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p>
    <w:tbl>
      <w:tblPr>
        <w:tblStyle w:val="7"/>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26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48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52"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部门：溆浦县中都乡人民政府</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1424.65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993.04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431.61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专项普查活动</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退役安置</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退役士兵安置</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其他退役安置支出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基本公共卫生服务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其他公共卫生支出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农村环境保护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2130209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生产发展</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其他应急管理支出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r>
      <w:tr>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center"/>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部门：溆浦县中都乡人民政府</w:t>
            </w: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1416.65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1424.65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1424.65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1416.65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1424.65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1424.65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1416.65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860" w:hanging="13860" w:hangingChars="66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center"/>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1,416.65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993.04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423.61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625.88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619.88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87.10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退役安置</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退役士兵安置</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其他退役安置支出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其他自然灾害救灾及恢复重建支出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Cs/>
          <w:kern w:val="0"/>
          <w:szCs w:val="21"/>
        </w:rPr>
      </w:pPr>
    </w:p>
    <w:p>
      <w:pPr>
        <w:widowControl/>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785" w:type="dxa"/>
        <w:tblInd w:w="0" w:type="dxa"/>
        <w:tblLayout w:type="fixed"/>
        <w:tblCellMar>
          <w:top w:w="0" w:type="dxa"/>
          <w:left w:w="108" w:type="dxa"/>
          <w:bottom w:w="0" w:type="dxa"/>
          <w:right w:w="108" w:type="dxa"/>
        </w:tblCellMar>
      </w:tblPr>
      <w:tblGrid>
        <w:gridCol w:w="959"/>
        <w:gridCol w:w="239"/>
        <w:gridCol w:w="90"/>
        <w:gridCol w:w="1245"/>
        <w:gridCol w:w="1954"/>
        <w:gridCol w:w="81"/>
        <w:gridCol w:w="791"/>
        <w:gridCol w:w="1165"/>
        <w:gridCol w:w="294"/>
        <w:gridCol w:w="1903"/>
        <w:gridCol w:w="152"/>
        <w:gridCol w:w="719"/>
        <w:gridCol w:w="1166"/>
        <w:gridCol w:w="340"/>
        <w:gridCol w:w="2012"/>
        <w:gridCol w:w="1632"/>
        <w:gridCol w:w="530"/>
        <w:gridCol w:w="513"/>
      </w:tblGrid>
      <w:tr>
        <w:tblPrEx>
          <w:tblCellMar>
            <w:top w:w="0" w:type="dxa"/>
            <w:left w:w="108" w:type="dxa"/>
            <w:bottom w:w="0" w:type="dxa"/>
            <w:right w:w="108" w:type="dxa"/>
          </w:tblCellMar>
        </w:tblPrEx>
        <w:trPr>
          <w:trHeight w:val="113" w:hRule="atLeast"/>
        </w:trPr>
        <w:tc>
          <w:tcPr>
            <w:tcW w:w="15785"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615.33</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177.33</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基本工资</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219.63</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16.69</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津贴补贴</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165.36</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奖金</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31.97</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伙食补助费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绩效工资</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93.19</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机关事业单位基本养老保险缴费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50.20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职业年金缴费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职工基本医疗保险缴费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公务员医疗补助缴费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其他社会保障缴费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6.96</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住房公积金</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其他工资福利支出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200.37</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离休费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退休费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退职（役）费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抚恤金</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30.54</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生活补助</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152.72</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救济费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医疗费补助</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赠与</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助学金</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国家赔偿费用支出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奖励金</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对民间非营利组织和群众性自治组织补贴</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个人农业生产补贴</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代缴社会保险费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其他对个人和家庭的补助</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15.55</w:t>
            </w: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10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319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53.75</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3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10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815.70</w:t>
            </w:r>
          </w:p>
        </w:tc>
        <w:tc>
          <w:tcPr>
            <w:tcW w:w="938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177.33</w:t>
            </w:r>
          </w:p>
        </w:tc>
      </w:tr>
      <w:tr>
        <w:tblPrEx>
          <w:tblCellMar>
            <w:top w:w="0" w:type="dxa"/>
            <w:left w:w="108" w:type="dxa"/>
            <w:bottom w:w="0" w:type="dxa"/>
            <w:right w:w="108" w:type="dxa"/>
          </w:tblCellMar>
        </w:tblPrEx>
        <w:trPr>
          <w:trHeight w:val="284" w:hRule="exact"/>
        </w:trPr>
        <w:tc>
          <w:tcPr>
            <w:tcW w:w="15785" w:type="dxa"/>
            <w:gridSpan w:val="1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90" w:hRule="atLeast"/>
        </w:trPr>
        <w:tc>
          <w:tcPr>
            <w:tcW w:w="1527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45" w:hRule="atLeast"/>
        </w:trPr>
        <w:tc>
          <w:tcPr>
            <w:tcW w:w="95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3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50"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90" w:hRule="atLeast"/>
        </w:trPr>
        <w:tc>
          <w:tcPr>
            <w:tcW w:w="4568" w:type="dxa"/>
            <w:gridSpan w:val="6"/>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2250"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09" w:hRule="atLeast"/>
        </w:trPr>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725" w:hRule="atLeast"/>
        </w:trPr>
        <w:tc>
          <w:tcPr>
            <w:tcW w:w="15272"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331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center"/>
        <w:rPr>
          <w:rFonts w:ascii="宋体" w:eastAsia="宋体" w:cs="宋体"/>
          <w:kern w:val="0"/>
          <w:sz w:val="24"/>
          <w:szCs w:val="24"/>
        </w:rPr>
      </w:pPr>
    </w:p>
    <w:p>
      <w:pPr>
        <w:autoSpaceDE w:val="0"/>
        <w:autoSpaceDN w:val="0"/>
        <w:adjustRightInd w:val="0"/>
        <w:ind w:left="315" w:leftChars="150"/>
        <w:jc w:val="center"/>
        <w:rPr>
          <w:rFonts w:ascii="宋体" w:eastAsia="宋体" w:cs="宋体"/>
          <w:kern w:val="0"/>
          <w:sz w:val="24"/>
          <w:szCs w:val="24"/>
        </w:rPr>
      </w:pPr>
    </w:p>
    <w:p>
      <w:pPr>
        <w:widowControl/>
        <w:jc w:val="center"/>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center"/>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宋体" w:hAnsi="宋体" w:eastAsia="宋体"/>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1424.65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88.81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6.65</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人居环境及疫情防控经费支出</w:t>
      </w:r>
      <w:r>
        <w:rPr>
          <w:rFonts w:hint="eastAsia" w:ascii="仿宋" w:hAnsi="仿宋" w:eastAsia="仿宋" w:cs="仿宋"/>
          <w:sz w:val="32"/>
          <w:szCs w:val="32"/>
        </w:rPr>
        <w:t>增加</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1424.65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1424.65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1424.65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993.04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431.61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1424.65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88.81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6.65</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人居环境及疫情防控经费支出</w:t>
      </w:r>
      <w:r>
        <w:rPr>
          <w:rFonts w:hint="eastAsia" w:ascii="仿宋" w:hAnsi="仿宋" w:eastAsia="仿宋" w:cs="仿宋"/>
          <w:sz w:val="32"/>
          <w:szCs w:val="32"/>
        </w:rPr>
        <w:t>增加增加</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Times New Roman" w:hAnsi="Times New Roman" w:eastAsia="仿宋"/>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1416.65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99.44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80.81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6.05</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人居环境及疫情防控经费支出</w:t>
      </w:r>
      <w:r>
        <w:rPr>
          <w:rFonts w:hint="eastAsia" w:ascii="仿宋" w:hAnsi="仿宋" w:eastAsia="仿宋" w:cs="仿宋"/>
          <w:sz w:val="32"/>
          <w:szCs w:val="32"/>
        </w:rPr>
        <w:t>增加</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480" w:firstLineChars="150"/>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（二）财政拨款支出决算结构情况</w:t>
      </w:r>
    </w:p>
    <w:p>
      <w:pPr>
        <w:pStyle w:val="11"/>
        <w:ind w:firstLine="640" w:firstLineChars="200"/>
        <w:jc w:val="center"/>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1416.65</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657.09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46.38</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15.36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%；教育支出0万元，占比0%；科学技术支出0万元，占比0%；文化旅游体育和传媒支出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87.1</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27.17</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475.47</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33.56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交通运输支出2万元，占比0.14%；自然资源海洋气象等支出16.98万元，占比1.2%；住房保障支出23.37万元，占比1.65%；灾害防治及应急管理支出15.3万元，占比1.08%。</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1416.65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1416.65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 行政运行（项）。</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614.42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614.42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2"/>
        </w:numPr>
        <w:kinsoku/>
        <w:wordWrap/>
        <w:overflowPunct/>
        <w:topLinePunct w:val="0"/>
        <w:bidi w:val="0"/>
        <w:snapToGrid/>
        <w:spacing w:line="600" w:lineRule="exact"/>
        <w:ind w:firstLine="800" w:firstLineChars="25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一般公共服务（类）政府办公厅（室）及相关机构事务（款）一般行政管理事务。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2"/>
        </w:numPr>
        <w:kinsoku/>
        <w:wordWrap/>
        <w:overflowPunct/>
        <w:topLinePunct w:val="0"/>
        <w:bidi w:val="0"/>
        <w:snapToGrid/>
        <w:spacing w:line="600" w:lineRule="exact"/>
        <w:ind w:firstLine="800" w:firstLineChars="25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一般公共服务（类）政府办公厅（室）及相关机构事务（款）信访事务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2"/>
        </w:numPr>
        <w:kinsoku/>
        <w:wordWrap/>
        <w:overflowPunct/>
        <w:topLinePunct w:val="0"/>
        <w:bidi w:val="0"/>
        <w:snapToGrid/>
        <w:spacing w:line="600" w:lineRule="exact"/>
        <w:ind w:firstLine="800" w:firstLineChars="25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一般公共服务（类）政府办公厅（室）及相关机构事务（款）其他政府办公厅（室）及相关机构事务支出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一般公共服务（类）统计信息事务（款）专项普查活动</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一般公共服务（类）财政事务（款）行政运行</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15.77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Times New Roman" w:hAnsi="Times New Roman" w:eastAsia="仿宋_GB2312"/>
          <w:sz w:val="32"/>
          <w:szCs w:val="32"/>
        </w:rPr>
        <w:t>一般公共服务（类）财政事务（款） 一般行政管理事务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Times New Roman" w:hAnsi="Times New Roman" w:eastAsia="仿宋_GB2312"/>
          <w:sz w:val="32"/>
          <w:szCs w:val="32"/>
        </w:rPr>
        <w:t>一般公共服务（类）纪检监察事务（款）行政运行</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一般公共服务（类）其他共产党事务支出（款）一般行政管理事务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公共安全支出（类）公安（款）一般行政管理事务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公共安全支出（类）公安（款）  其他公安支出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文化旅游体育与传媒支出（类）文化和旅游（款） 其他文化和旅游支出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文化旅游体育与传媒支出（类）其他文化旅游体育与传媒支出（款）   其他文化旅游体育与传媒支出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 机关事业单位基本养老保险缴费支出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 机关事业单位职业年金缴费支出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 死亡抚恤（款）其他优抚支出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抚恤（类）退役安置（款） 退役士兵安置</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抚恤（类）退役安置（款） 退役士兵安置</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抚恤（类）退役安置（款）其他退役安置支出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抚恤（类）特困人员救助供养（款）农村特困人员救助供养支出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抚恤（类）退役军人管理事务（款）其他退役军人事务管理支出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卫生健康支出（类）卫生健康管理事务（款） 其他卫生健康管理事务支出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 基本公共卫生服务</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 其他公共卫生支出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卫生健康支出（类）行政事业单位医疗（款）  行政单位医疗</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节能环保支出（类）自然生态保护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  农村环境保护</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城乡社区支出（类）城乡社区公共设施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款）小城镇基础设施建设</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城乡社区支出（类）城乡社区环境卫生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款）城乡社区环境卫生</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款）农村社会事业</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款）其他农业农村支出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林业和草原（类）林业和草原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款）森林生态效益补偿</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林业和草原（类）巩固脱贫衔接乡村振兴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 行政运行</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林业和草原（类）巩固脱贫衔接乡村振兴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）农村基础设施建设</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112.83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林业和草原（类）巩固脱贫衔接乡村振兴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）生产发展</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林业和草原（类）巩固脱贫衔接乡村振兴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其他巩固脱贫衔接乡村振兴支出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林业和草原（类）农村综合改革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）对村民委员会和村党支部的补助</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152.74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林业和草原（类）其他农林水支出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其他农林水支出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交通运输支出（类）其他交通运输支出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其他交通运输支出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交通运输支出（类）其他交通运输支出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其他交通运输支出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交通运输支出（类）其他交通运输支出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其他交通运输支出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自然资源海洋气象等支出（类）自然资源事务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）其他自然资源事务支出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住房保障支出（类）住房改革支出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灾害防治及应急管理支出（类）应急管理事务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其他应急管理支出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灾害防治及应急管理支出（类）自然灾害防治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地质灾害防治理支出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灾害防治及应急管理支出（类）自然灾害救灾及恢复重建支出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其他自然灾害救灾及恢复重建支出</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sz w:val="32"/>
          <w:szCs w:val="32"/>
        </w:rPr>
        <w:t>决算数与年初预算数一致。</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993.04</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rPr>
        <w:t>人员经费</w:t>
      </w:r>
      <w:r>
        <w:rPr>
          <w:rFonts w:hint="eastAsia" w:ascii="仿宋" w:hAnsi="仿宋" w:eastAsia="仿宋" w:cs="仿宋"/>
          <w:b w:val="0"/>
          <w:bCs w:val="0"/>
          <w:sz w:val="32"/>
          <w:szCs w:val="32"/>
          <w:lang w:val="en-US" w:eastAsia="zh-CN"/>
        </w:rPr>
        <w:t>815.7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82.14</w:t>
      </w:r>
      <w:r>
        <w:rPr>
          <w:rFonts w:hint="eastAsia" w:ascii="仿宋" w:hAnsi="仿宋" w:eastAsia="仿宋" w:cs="仿宋"/>
          <w:sz w:val="32"/>
          <w:szCs w:val="32"/>
        </w:rPr>
        <w:t>%,</w:t>
      </w:r>
      <w:r>
        <w:rPr>
          <w:rFonts w:hint="eastAsia" w:ascii="仿宋" w:hAnsi="仿宋" w:eastAsia="仿宋" w:cs="仿宋"/>
          <w:color w:val="auto"/>
          <w:sz w:val="32"/>
          <w:szCs w:val="32"/>
        </w:rPr>
        <w:t>主要包括基本工资</w:t>
      </w:r>
      <w:r>
        <w:rPr>
          <w:rFonts w:hint="eastAsia" w:ascii="仿宋" w:hAnsi="仿宋" w:eastAsia="仿宋" w:cs="仿宋"/>
          <w:color w:val="auto"/>
          <w:sz w:val="32"/>
          <w:szCs w:val="32"/>
          <w:lang w:val="en-US" w:eastAsia="zh-CN"/>
        </w:rPr>
        <w:t>219.6万元</w:t>
      </w:r>
      <w:r>
        <w:rPr>
          <w:rFonts w:hint="eastAsia" w:ascii="仿宋" w:hAnsi="仿宋" w:eastAsia="仿宋" w:cs="仿宋"/>
          <w:color w:val="auto"/>
          <w:sz w:val="32"/>
          <w:szCs w:val="32"/>
        </w:rPr>
        <w:t>、津贴补贴</w:t>
      </w:r>
      <w:r>
        <w:rPr>
          <w:rFonts w:hint="eastAsia" w:ascii="仿宋" w:hAnsi="仿宋" w:eastAsia="仿宋" w:cs="仿宋"/>
          <w:color w:val="auto"/>
          <w:sz w:val="32"/>
          <w:szCs w:val="32"/>
          <w:lang w:val="en-US" w:eastAsia="zh-CN"/>
        </w:rPr>
        <w:t>165.3万元</w:t>
      </w:r>
      <w:r>
        <w:rPr>
          <w:rFonts w:hint="eastAsia" w:ascii="仿宋" w:hAnsi="仿宋" w:eastAsia="仿宋" w:cs="仿宋"/>
          <w:color w:val="auto"/>
          <w:sz w:val="32"/>
          <w:szCs w:val="32"/>
        </w:rPr>
        <w:t>、奖金</w:t>
      </w:r>
      <w:r>
        <w:rPr>
          <w:rFonts w:hint="eastAsia" w:ascii="仿宋" w:hAnsi="仿宋" w:eastAsia="仿宋" w:cs="仿宋"/>
          <w:color w:val="auto"/>
          <w:sz w:val="32"/>
          <w:szCs w:val="32"/>
          <w:lang w:val="en-US" w:eastAsia="zh-CN"/>
        </w:rPr>
        <w:t>31.97万元</w:t>
      </w:r>
      <w:r>
        <w:rPr>
          <w:rFonts w:hint="eastAsia" w:ascii="仿宋" w:hAnsi="仿宋" w:eastAsia="仿宋" w:cs="仿宋"/>
          <w:color w:val="auto"/>
          <w:sz w:val="32"/>
          <w:szCs w:val="32"/>
        </w:rPr>
        <w:t>、伙食补助费</w:t>
      </w:r>
      <w:r>
        <w:rPr>
          <w:rFonts w:hint="eastAsia" w:ascii="仿宋" w:hAnsi="仿宋" w:eastAsia="仿宋" w:cs="仿宋"/>
          <w:color w:val="auto"/>
          <w:sz w:val="32"/>
          <w:szCs w:val="32"/>
          <w:lang w:val="en-US" w:eastAsia="zh-CN"/>
        </w:rPr>
        <w:t>6.4万元、绩效工资93.19万元机关事业养老保险50.2万元，公务员医疗补助缴费24.8万元、住房公积金23.37万元及抚恤金30.54万元、生活补助152.7万元，其他对个人和家庭的补助15.55万元</w:t>
      </w:r>
      <w:r>
        <w:rPr>
          <w:rFonts w:hint="eastAsia" w:ascii="仿宋" w:hAnsi="仿宋" w:eastAsia="仿宋" w:cs="仿宋"/>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b/>
          <w:color w:val="auto"/>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177.33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17.86</w:t>
      </w:r>
      <w:r>
        <w:rPr>
          <w:rFonts w:hint="eastAsia" w:ascii="仿宋" w:hAnsi="仿宋" w:eastAsia="仿宋" w:cs="仿宋"/>
          <w:sz w:val="32"/>
          <w:szCs w:val="32"/>
        </w:rPr>
        <w:t>%，</w:t>
      </w:r>
      <w:r>
        <w:rPr>
          <w:rFonts w:hint="eastAsia" w:ascii="仿宋" w:hAnsi="仿宋" w:eastAsia="仿宋" w:cs="仿宋"/>
          <w:color w:val="auto"/>
          <w:sz w:val="32"/>
          <w:szCs w:val="32"/>
        </w:rPr>
        <w:t>主要包括办公费</w:t>
      </w:r>
      <w:r>
        <w:rPr>
          <w:rFonts w:hint="eastAsia" w:ascii="仿宋" w:hAnsi="仿宋" w:eastAsia="仿宋" w:cs="仿宋"/>
          <w:color w:val="auto"/>
          <w:sz w:val="32"/>
          <w:szCs w:val="32"/>
          <w:lang w:val="en-US" w:eastAsia="zh-CN"/>
        </w:rPr>
        <w:t>16.69万元</w:t>
      </w:r>
      <w:r>
        <w:rPr>
          <w:rFonts w:hint="eastAsia" w:ascii="仿宋" w:hAnsi="仿宋" w:eastAsia="仿宋" w:cs="仿宋"/>
          <w:color w:val="auto"/>
          <w:sz w:val="32"/>
          <w:szCs w:val="32"/>
        </w:rPr>
        <w:t>、印刷费</w:t>
      </w:r>
      <w:r>
        <w:rPr>
          <w:rFonts w:hint="eastAsia" w:ascii="仿宋" w:hAnsi="仿宋" w:eastAsia="仿宋" w:cs="仿宋"/>
          <w:color w:val="auto"/>
          <w:sz w:val="32"/>
          <w:szCs w:val="32"/>
          <w:lang w:val="en-US" w:eastAsia="zh-CN"/>
        </w:rPr>
        <w:t>20万元</w:t>
      </w:r>
      <w:r>
        <w:rPr>
          <w:rFonts w:hint="eastAsia" w:ascii="仿宋" w:hAnsi="仿宋" w:eastAsia="仿宋" w:cs="仿宋"/>
          <w:color w:val="auto"/>
          <w:sz w:val="32"/>
          <w:szCs w:val="32"/>
        </w:rPr>
        <w:t>、水电费</w:t>
      </w:r>
      <w:r>
        <w:rPr>
          <w:rFonts w:hint="eastAsia" w:ascii="仿宋" w:hAnsi="仿宋" w:eastAsia="仿宋" w:cs="仿宋"/>
          <w:color w:val="auto"/>
          <w:sz w:val="32"/>
          <w:szCs w:val="32"/>
          <w:lang w:val="en-US" w:eastAsia="zh-CN"/>
        </w:rPr>
        <w:t>2.8万元、邮电费2万元、会议费7.3万元、培训费1.6万元、</w:t>
      </w:r>
      <w:r>
        <w:rPr>
          <w:rFonts w:hint="eastAsia" w:ascii="仿宋" w:hAnsi="仿宋" w:eastAsia="仿宋" w:cs="仿宋"/>
          <w:color w:val="auto"/>
          <w:sz w:val="32"/>
          <w:szCs w:val="32"/>
        </w:rPr>
        <w:t>差旅费</w:t>
      </w:r>
      <w:r>
        <w:rPr>
          <w:rFonts w:hint="eastAsia" w:ascii="仿宋" w:hAnsi="仿宋" w:eastAsia="仿宋" w:cs="仿宋"/>
          <w:color w:val="auto"/>
          <w:sz w:val="32"/>
          <w:szCs w:val="32"/>
          <w:lang w:val="en-US" w:eastAsia="zh-CN"/>
        </w:rPr>
        <w:t>6.96万元、公务接待费1万元、劳务费26.4万元、工会经费14万元、公务用车运行维护费5万元、其他交通费用18.04万元，其他商品和服务支出53.75万元</w:t>
      </w:r>
      <w:r>
        <w:rPr>
          <w:rFonts w:hint="eastAsia" w:ascii="仿宋" w:hAnsi="仿宋" w:eastAsia="仿宋" w:cs="仿宋"/>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仿宋" w:hAnsi="仿宋" w:eastAsia="仿宋" w:cs="仿宋"/>
          <w:sz w:val="32"/>
          <w:szCs w:val="32"/>
        </w:rPr>
        <w:t>全年共接待来访团组</w:t>
      </w:r>
      <w:r>
        <w:rPr>
          <w:rFonts w:hint="eastAsia" w:ascii="仿宋" w:hAnsi="仿宋" w:eastAsia="仿宋" w:cs="仿宋"/>
          <w:sz w:val="32"/>
          <w:szCs w:val="32"/>
          <w:lang w:val="en-US" w:eastAsia="zh-CN"/>
        </w:rPr>
        <w:t>11</w:t>
      </w:r>
      <w:r>
        <w:rPr>
          <w:rFonts w:hint="eastAsia" w:ascii="仿宋" w:hAnsi="仿宋" w:eastAsia="仿宋" w:cs="仿宋"/>
          <w:sz w:val="32"/>
          <w:szCs w:val="32"/>
        </w:rPr>
        <w:t>个、来宾</w:t>
      </w:r>
      <w:r>
        <w:rPr>
          <w:rFonts w:hint="eastAsia" w:ascii="仿宋" w:hAnsi="仿宋" w:eastAsia="仿宋" w:cs="仿宋"/>
          <w:sz w:val="32"/>
          <w:szCs w:val="32"/>
          <w:lang w:val="en-US" w:eastAsia="zh-CN"/>
        </w:rPr>
        <w:t>88</w:t>
      </w:r>
      <w:r>
        <w:rPr>
          <w:rFonts w:hint="eastAsia" w:ascii="仿宋" w:hAnsi="仿宋" w:eastAsia="仿宋" w:cs="仿宋"/>
          <w:sz w:val="32"/>
          <w:szCs w:val="32"/>
        </w:rPr>
        <w:t>人次，主要是主要是上级及行业部门来人检查督查发生的接待支出。</w:t>
      </w:r>
    </w:p>
    <w:p>
      <w:pPr>
        <w:keepNext w:val="0"/>
        <w:keepLines w:val="0"/>
        <w:pageBreakBefore w:val="0"/>
        <w:widowControl w:val="0"/>
        <w:kinsoku/>
        <w:wordWrap/>
        <w:overflowPunct/>
        <w:topLinePunct w:val="0"/>
        <w:bidi w:val="0"/>
        <w:snapToGrid/>
        <w:spacing w:line="600" w:lineRule="exact"/>
        <w:ind w:firstLine="800" w:firstLineChars="250"/>
        <w:jc w:val="center"/>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万元，主要是</w:t>
      </w:r>
      <w:r>
        <w:rPr>
          <w:rFonts w:hint="eastAsia" w:ascii="仿宋" w:hAnsi="仿宋" w:eastAsia="仿宋" w:cs="仿宋"/>
          <w:sz w:val="32"/>
          <w:szCs w:val="32"/>
        </w:rPr>
        <w:t>公务车的加油及维修支出，截止202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jc w:val="center"/>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与年初预算数一致。</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177.33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47.13</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35.38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疫情防控支出经费增加</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ind w:firstLine="640" w:firstLineChars="200"/>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万元，用于召开5</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次会议，人数</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00人，内容为</w:t>
      </w:r>
      <w:r>
        <w:rPr>
          <w:rFonts w:hint="eastAsia" w:ascii="Times New Roman" w:hAnsi="Times New Roman" w:eastAsia="仿宋_GB2312"/>
          <w:sz w:val="32"/>
          <w:szCs w:val="32"/>
          <w:lang w:eastAsia="zh-CN"/>
        </w:rPr>
        <w:t>乡村振兴</w:t>
      </w:r>
      <w:r>
        <w:rPr>
          <w:rFonts w:hint="eastAsia" w:ascii="Times New Roman" w:hAnsi="Times New Roman" w:eastAsia="仿宋_GB2312"/>
          <w:sz w:val="32"/>
          <w:szCs w:val="32"/>
        </w:rPr>
        <w:t>工作会议，部门工作会议</w:t>
      </w:r>
      <w:r>
        <w:rPr>
          <w:rFonts w:hint="eastAsia" w:ascii="Times New Roman" w:hAnsi="Times New Roman" w:eastAsia="仿宋_GB2312"/>
          <w:sz w:val="32"/>
          <w:szCs w:val="32"/>
          <w:lang w:eastAsia="zh-CN"/>
        </w:rPr>
        <w:t>；</w:t>
      </w:r>
    </w:p>
    <w:p>
      <w:pPr>
        <w:ind w:firstLine="640" w:firstLineChars="200"/>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次培训，人数</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；内容为乡村振兴业务培训，稳岗就业培训等；</w:t>
      </w:r>
    </w:p>
    <w:p>
      <w:pPr>
        <w:ind w:firstLine="640" w:firstLineChars="200"/>
        <w:jc w:val="center"/>
        <w:rPr>
          <w:rFonts w:asciiTheme="minorEastAsia" w:hAnsiTheme="minorEastAsia" w:eastAsiaTheme="minorEastAsia"/>
          <w:sz w:val="32"/>
          <w:szCs w:val="32"/>
        </w:rPr>
      </w:pPr>
      <w:r>
        <w:rPr>
          <w:rFonts w:hint="eastAsia" w:ascii="Times New Roman" w:hAnsi="Times New Roman" w:eastAsia="仿宋_GB2312"/>
          <w:sz w:val="32"/>
          <w:szCs w:val="32"/>
        </w:rPr>
        <w:t>举办0次节庆、晚会、论坛、赛事等活动，开支0万元。</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keepNext w:val="0"/>
        <w:keepLines w:val="0"/>
        <w:pageBreakBefore w:val="0"/>
        <w:numPr>
          <w:ilvl w:val="0"/>
          <w:numId w:val="0"/>
        </w:numPr>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一、部门概况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lang w:eastAsia="zh-CN"/>
        </w:rPr>
        <w:t>（一）</w:t>
      </w:r>
      <w:r>
        <w:rPr>
          <w:rFonts w:hint="eastAsia" w:ascii="楷体_GB2312" w:hAnsi="宋体" w:eastAsia="楷体_GB2312" w:cs="楷体_GB2312"/>
          <w:b/>
          <w:bCs/>
          <w:sz w:val="32"/>
          <w:szCs w:val="32"/>
        </w:rPr>
        <w:t>部门主要职责</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完成上级政府交办的其它事项。</w:t>
      </w:r>
    </w:p>
    <w:p>
      <w:pPr>
        <w:pStyle w:val="17"/>
        <w:keepNext w:val="0"/>
        <w:keepLines w:val="0"/>
        <w:pageBreakBefore w:val="0"/>
        <w:numPr>
          <w:ilvl w:val="0"/>
          <w:numId w:val="0"/>
        </w:numPr>
        <w:kinsoku/>
        <w:wordWrap/>
        <w:overflowPunct/>
        <w:topLinePunct w:val="0"/>
        <w:autoSpaceDE/>
        <w:autoSpaceDN/>
        <w:bidi w:val="0"/>
        <w:snapToGrid/>
        <w:spacing w:before="0" w:after="0" w:line="610" w:lineRule="exact"/>
        <w:ind w:leftChars="0" w:right="0" w:firstLine="640" w:firstLineChars="200"/>
        <w:jc w:val="center"/>
        <w:textAlignment w:val="auto"/>
        <w:rPr>
          <w:rFonts w:hint="eastAsia" w:ascii="楷体_GB2312" w:hAnsi="宋体" w:eastAsia="楷体_GB2312" w:cs="楷体_GB2312"/>
          <w:b/>
          <w:bCs/>
          <w:kern w:val="2"/>
          <w:sz w:val="32"/>
          <w:szCs w:val="32"/>
          <w:lang w:val="en-US" w:eastAsia="zh-CN" w:bidi="ar-SA"/>
        </w:rPr>
      </w:pPr>
      <w:r>
        <w:rPr>
          <w:rFonts w:hint="eastAsia" w:ascii="楷体_GB2312" w:hAnsi="宋体" w:eastAsia="楷体_GB2312" w:cs="楷体_GB2312"/>
          <w:b/>
          <w:bCs/>
          <w:kern w:val="2"/>
          <w:sz w:val="32"/>
          <w:szCs w:val="32"/>
          <w:lang w:val="en-US" w:eastAsia="zh-CN" w:bidi="ar-SA"/>
        </w:rPr>
        <w:t>（二）机构设置情况</w:t>
      </w:r>
    </w:p>
    <w:p>
      <w:pPr>
        <w:keepNext w:val="0"/>
        <w:keepLines w:val="0"/>
        <w:pageBreakBefore w:val="0"/>
        <w:numPr>
          <w:ilvl w:val="0"/>
          <w:numId w:val="0"/>
        </w:numPr>
        <w:kinsoku/>
        <w:wordWrap/>
        <w:overflowPunct/>
        <w:topLinePunct w:val="0"/>
        <w:autoSpaceDE/>
        <w:autoSpaceDN/>
        <w:bidi w:val="0"/>
        <w:snapToGrid/>
        <w:spacing w:line="610" w:lineRule="exact"/>
        <w:ind w:leftChars="0" w:right="0"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eastAsia="zh-CN"/>
        </w:rPr>
        <w:t>中都乡</w:t>
      </w:r>
      <w:r>
        <w:rPr>
          <w:rFonts w:hint="eastAsia" w:ascii="仿宋_GB2312" w:hAnsi="仿宋" w:eastAsia="仿宋_GB2312" w:cs="仿宋_GB2312"/>
          <w:color w:val="000000"/>
          <w:sz w:val="32"/>
          <w:szCs w:val="32"/>
        </w:rPr>
        <w:t>人民政府，内设</w:t>
      </w:r>
      <w:r>
        <w:rPr>
          <w:rFonts w:hint="eastAsia" w:ascii="仿宋_GB2312" w:hAnsi="仿宋" w:eastAsia="仿宋_GB2312" w:cs="仿宋_GB2312"/>
          <w:color w:val="000000"/>
          <w:sz w:val="32"/>
          <w:szCs w:val="32"/>
          <w:lang w:eastAsia="zh-CN"/>
        </w:rPr>
        <w:t>六办三</w:t>
      </w:r>
      <w:r>
        <w:rPr>
          <w:rFonts w:hint="eastAsia" w:ascii="仿宋_GB2312" w:hAnsi="仿宋" w:eastAsia="仿宋_GB2312" w:cs="仿宋_GB2312"/>
          <w:color w:val="000000"/>
          <w:sz w:val="32"/>
          <w:szCs w:val="32"/>
        </w:rPr>
        <w:t>中心</w:t>
      </w:r>
      <w:r>
        <w:rPr>
          <w:rFonts w:hint="eastAsia" w:ascii="仿宋_GB2312" w:hAnsi="仿宋" w:eastAsia="仿宋_GB2312" w:cs="仿宋_GB2312"/>
          <w:color w:val="000000"/>
          <w:sz w:val="32"/>
          <w:szCs w:val="32"/>
          <w:lang w:eastAsia="zh-CN"/>
        </w:rPr>
        <w:t>一大队</w:t>
      </w:r>
      <w:r>
        <w:rPr>
          <w:rFonts w:hint="eastAsia" w:ascii="仿宋_GB2312" w:hAnsi="仿宋" w:eastAsia="仿宋_GB2312" w:cs="仿宋_GB2312"/>
          <w:color w:val="000000"/>
          <w:sz w:val="32"/>
          <w:szCs w:val="32"/>
        </w:rPr>
        <w:t>，分别是党政办，</w:t>
      </w:r>
      <w:r>
        <w:rPr>
          <w:rFonts w:hint="eastAsia" w:ascii="仿宋_GB2312" w:hAnsi="仿宋" w:eastAsia="仿宋_GB2312" w:cs="仿宋_GB2312"/>
          <w:color w:val="000000"/>
          <w:sz w:val="32"/>
          <w:szCs w:val="32"/>
          <w:lang w:eastAsia="zh-CN"/>
        </w:rPr>
        <w:t>党建办，经济发展办，社会事务办，社会治安和应急管理办，自然资源与生态环境办，政务服务中心，</w:t>
      </w:r>
      <w:r>
        <w:rPr>
          <w:rFonts w:hint="eastAsia" w:ascii="仿宋_GB2312" w:hAnsi="仿宋" w:eastAsia="仿宋_GB2312" w:cs="仿宋_GB2312"/>
          <w:color w:val="000000"/>
          <w:sz w:val="32"/>
          <w:szCs w:val="32"/>
        </w:rPr>
        <w:t>农业综合服务中心，</w:t>
      </w:r>
      <w:r>
        <w:rPr>
          <w:rFonts w:hint="eastAsia" w:ascii="仿宋_GB2312" w:hAnsi="仿宋" w:eastAsia="仿宋_GB2312" w:cs="仿宋_GB2312"/>
          <w:color w:val="000000"/>
          <w:sz w:val="32"/>
          <w:szCs w:val="32"/>
          <w:lang w:eastAsia="zh-CN"/>
        </w:rPr>
        <w:t>社会事务综合服务中心，综合行政执法大队</w:t>
      </w:r>
      <w:r>
        <w:rPr>
          <w:rFonts w:hint="eastAsia" w:ascii="仿宋_GB2312" w:hAnsi="仿宋" w:eastAsia="仿宋_GB2312" w:cs="仿宋_GB2312"/>
          <w:color w:val="000000"/>
          <w:sz w:val="32"/>
          <w:szCs w:val="32"/>
        </w:rPr>
        <w:t>。核定编制</w:t>
      </w:r>
      <w:r>
        <w:rPr>
          <w:rFonts w:hint="eastAsia" w:ascii="仿宋_GB2312" w:hAnsi="仿宋" w:eastAsia="仿宋_GB2312" w:cs="仿宋_GB2312"/>
          <w:color w:val="000000"/>
          <w:sz w:val="32"/>
          <w:szCs w:val="32"/>
          <w:lang w:val="en-US" w:eastAsia="zh-CN"/>
        </w:rPr>
        <w:t>51</w:t>
      </w:r>
      <w:r>
        <w:rPr>
          <w:rFonts w:hint="eastAsia" w:ascii="仿宋_GB2312" w:hAnsi="仿宋" w:eastAsia="仿宋_GB2312" w:cs="仿宋_GB2312"/>
          <w:color w:val="000000"/>
          <w:sz w:val="32"/>
          <w:szCs w:val="32"/>
        </w:rPr>
        <w:t>人，实有人数</w:t>
      </w:r>
      <w:r>
        <w:rPr>
          <w:rFonts w:hint="eastAsia" w:ascii="仿宋_GB2312" w:hAnsi="仿宋" w:eastAsia="仿宋_GB2312" w:cs="仿宋_GB2312"/>
          <w:color w:val="000000"/>
          <w:sz w:val="32"/>
          <w:szCs w:val="32"/>
          <w:lang w:val="en-US" w:eastAsia="zh-CN"/>
        </w:rPr>
        <w:t>51</w:t>
      </w:r>
      <w:r>
        <w:rPr>
          <w:rFonts w:hint="eastAsia" w:ascii="仿宋_GB2312" w:hAnsi="仿宋" w:eastAsia="仿宋_GB2312" w:cs="仿宋_GB2312"/>
          <w:color w:val="000000"/>
          <w:sz w:val="32"/>
          <w:szCs w:val="32"/>
        </w:rPr>
        <w:t>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（三）部门整体支出规模、使用方向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支出规模：</w:t>
      </w:r>
      <w:r>
        <w:rPr>
          <w:rFonts w:hint="eastAsia" w:ascii="仿宋_GB2312" w:hAnsi="仿宋" w:eastAsia="仿宋_GB2312" w:cs="仿宋_GB2312"/>
          <w:color w:val="000000"/>
          <w:sz w:val="32"/>
          <w:szCs w:val="32"/>
          <w:lang w:val="en-US" w:eastAsia="zh-CN"/>
        </w:rPr>
        <w:t>2022</w:t>
      </w:r>
      <w:r>
        <w:rPr>
          <w:rFonts w:hint="eastAsia" w:ascii="仿宋_GB2312" w:hAnsi="仿宋" w:eastAsia="仿宋_GB2312" w:cs="仿宋_GB2312"/>
          <w:color w:val="000000"/>
          <w:sz w:val="32"/>
          <w:szCs w:val="32"/>
        </w:rPr>
        <w:t>年部门收入合计</w:t>
      </w:r>
      <w:r>
        <w:rPr>
          <w:rFonts w:hint="eastAsia" w:ascii="仿宋_GB2312" w:hAnsi="仿宋" w:eastAsia="仿宋_GB2312" w:cs="仿宋_GB2312"/>
          <w:color w:val="000000"/>
          <w:sz w:val="32"/>
          <w:szCs w:val="32"/>
          <w:lang w:val="en-US" w:eastAsia="zh-CN"/>
        </w:rPr>
        <w:t>1424.65</w:t>
      </w:r>
      <w:r>
        <w:rPr>
          <w:rFonts w:hint="eastAsia" w:ascii="仿宋_GB2312" w:hAnsi="仿宋" w:eastAsia="仿宋_GB2312" w:cs="仿宋_GB2312"/>
          <w:color w:val="000000"/>
          <w:sz w:val="32"/>
          <w:szCs w:val="32"/>
        </w:rPr>
        <w:t>万元，支出合计</w:t>
      </w:r>
      <w:r>
        <w:rPr>
          <w:rFonts w:hint="eastAsia" w:ascii="仿宋_GB2312" w:hAnsi="仿宋" w:eastAsia="仿宋_GB2312" w:cs="仿宋_GB2312"/>
          <w:color w:val="000000"/>
          <w:sz w:val="32"/>
          <w:szCs w:val="32"/>
          <w:lang w:val="en-US" w:eastAsia="zh-CN"/>
        </w:rPr>
        <w:t>1424.65</w:t>
      </w:r>
      <w:r>
        <w:rPr>
          <w:rFonts w:hint="eastAsia" w:ascii="仿宋_GB2312" w:hAnsi="仿宋" w:eastAsia="仿宋_GB2312" w:cs="仿宋_GB2312"/>
          <w:color w:val="000000"/>
          <w:sz w:val="32"/>
          <w:szCs w:val="32"/>
        </w:rPr>
        <w:t>万元，其中一般公共服务支出</w:t>
      </w:r>
      <w:r>
        <w:rPr>
          <w:rFonts w:hint="eastAsia" w:ascii="仿宋_GB2312" w:hAnsi="仿宋" w:eastAsia="仿宋_GB2312" w:cs="仿宋_GB2312"/>
          <w:color w:val="000000"/>
          <w:sz w:val="32"/>
          <w:szCs w:val="32"/>
          <w:lang w:val="en-US" w:eastAsia="zh-CN"/>
        </w:rPr>
        <w:t>657.09</w:t>
      </w:r>
      <w:r>
        <w:rPr>
          <w:rFonts w:hint="eastAsia" w:ascii="仿宋_GB2312" w:hAnsi="仿宋" w:eastAsia="仿宋_GB2312" w:cs="仿宋_GB2312"/>
          <w:color w:val="000000"/>
          <w:sz w:val="32"/>
          <w:szCs w:val="32"/>
        </w:rPr>
        <w:t>万元，公共安全支出</w:t>
      </w:r>
      <w:r>
        <w:rPr>
          <w:rFonts w:hint="eastAsia" w:ascii="仿宋_GB2312" w:hAnsi="仿宋" w:eastAsia="仿宋_GB2312" w:cs="仿宋_GB2312"/>
          <w:color w:val="000000"/>
          <w:sz w:val="32"/>
          <w:szCs w:val="32"/>
          <w:lang w:val="en-US" w:eastAsia="zh-CN"/>
        </w:rPr>
        <w:t>15.36</w:t>
      </w:r>
      <w:r>
        <w:rPr>
          <w:rFonts w:hint="eastAsia" w:ascii="仿宋_GB2312" w:hAnsi="仿宋" w:eastAsia="仿宋_GB2312" w:cs="仿宋_GB2312"/>
          <w:color w:val="000000"/>
          <w:sz w:val="32"/>
          <w:szCs w:val="32"/>
        </w:rPr>
        <w:t>万元，文化旅游与传媒支出</w:t>
      </w:r>
      <w:r>
        <w:rPr>
          <w:rFonts w:hint="eastAsia" w:ascii="仿宋_GB2312" w:hAnsi="仿宋" w:eastAsia="仿宋_GB2312" w:cs="仿宋_GB2312"/>
          <w:color w:val="000000"/>
          <w:sz w:val="32"/>
          <w:szCs w:val="32"/>
          <w:lang w:val="en-US" w:eastAsia="zh-CN"/>
        </w:rPr>
        <w:t>11</w:t>
      </w:r>
      <w:r>
        <w:rPr>
          <w:rFonts w:hint="eastAsia" w:ascii="仿宋_GB2312" w:hAnsi="仿宋" w:eastAsia="仿宋_GB2312" w:cs="仿宋_GB2312"/>
          <w:color w:val="000000"/>
          <w:sz w:val="32"/>
          <w:szCs w:val="32"/>
        </w:rPr>
        <w:t>万元，社会保障和就业支出</w:t>
      </w:r>
      <w:r>
        <w:rPr>
          <w:rFonts w:hint="eastAsia" w:ascii="仿宋_GB2312" w:hAnsi="仿宋" w:eastAsia="仿宋_GB2312" w:cs="仿宋_GB2312"/>
          <w:color w:val="000000"/>
          <w:sz w:val="32"/>
          <w:szCs w:val="32"/>
          <w:lang w:val="en-US" w:eastAsia="zh-CN"/>
        </w:rPr>
        <w:t>87.1</w:t>
      </w:r>
      <w:r>
        <w:rPr>
          <w:rFonts w:hint="eastAsia" w:ascii="仿宋_GB2312" w:hAnsi="仿宋" w:eastAsia="仿宋_GB2312" w:cs="仿宋_GB2312"/>
          <w:color w:val="000000"/>
          <w:sz w:val="32"/>
          <w:szCs w:val="32"/>
        </w:rPr>
        <w:t>万元，卫生健康支出</w:t>
      </w:r>
      <w:r>
        <w:rPr>
          <w:rFonts w:hint="eastAsia" w:ascii="仿宋_GB2312" w:hAnsi="仿宋" w:eastAsia="仿宋_GB2312" w:cs="仿宋_GB2312"/>
          <w:color w:val="000000"/>
          <w:sz w:val="32"/>
          <w:szCs w:val="32"/>
          <w:lang w:val="en-US" w:eastAsia="zh-CN"/>
        </w:rPr>
        <w:t>27.17</w:t>
      </w:r>
      <w:r>
        <w:rPr>
          <w:rFonts w:hint="eastAsia" w:ascii="仿宋_GB2312" w:hAnsi="仿宋" w:eastAsia="仿宋_GB2312" w:cs="仿宋_GB2312"/>
          <w:color w:val="000000"/>
          <w:sz w:val="32"/>
          <w:szCs w:val="32"/>
        </w:rPr>
        <w:t>万元，节能环保支出</w:t>
      </w:r>
      <w:r>
        <w:rPr>
          <w:rFonts w:hint="eastAsia" w:ascii="仿宋_GB2312" w:hAnsi="仿宋" w:eastAsia="仿宋_GB2312" w:cs="仿宋_GB2312"/>
          <w:color w:val="000000"/>
          <w:sz w:val="32"/>
          <w:szCs w:val="32"/>
          <w:lang w:val="en-US" w:eastAsia="zh-CN"/>
        </w:rPr>
        <w:t>48.81</w:t>
      </w:r>
      <w:r>
        <w:rPr>
          <w:rFonts w:hint="eastAsia" w:ascii="仿宋_GB2312" w:hAnsi="仿宋" w:eastAsia="仿宋_GB2312" w:cs="仿宋_GB2312"/>
          <w:color w:val="000000"/>
          <w:sz w:val="32"/>
          <w:szCs w:val="32"/>
        </w:rPr>
        <w:t>万元，城乡社区支出</w:t>
      </w:r>
      <w:r>
        <w:rPr>
          <w:rFonts w:hint="eastAsia" w:ascii="仿宋_GB2312" w:hAnsi="仿宋" w:eastAsia="仿宋_GB2312" w:cs="仿宋_GB2312"/>
          <w:color w:val="000000"/>
          <w:sz w:val="32"/>
          <w:szCs w:val="32"/>
          <w:lang w:val="en-US" w:eastAsia="zh-CN"/>
        </w:rPr>
        <w:t>45</w:t>
      </w:r>
      <w:r>
        <w:rPr>
          <w:rFonts w:hint="eastAsia" w:ascii="仿宋_GB2312" w:hAnsi="仿宋" w:eastAsia="仿宋_GB2312" w:cs="仿宋_GB2312"/>
          <w:color w:val="000000"/>
          <w:sz w:val="32"/>
          <w:szCs w:val="32"/>
        </w:rPr>
        <w:t>万元，农林水支出</w:t>
      </w:r>
      <w:r>
        <w:rPr>
          <w:rFonts w:hint="eastAsia" w:ascii="仿宋_GB2312" w:hAnsi="仿宋" w:eastAsia="仿宋_GB2312" w:cs="仿宋_GB2312"/>
          <w:color w:val="000000"/>
          <w:sz w:val="32"/>
          <w:szCs w:val="32"/>
          <w:lang w:val="en-US" w:eastAsia="zh-CN"/>
        </w:rPr>
        <w:t>475.47</w:t>
      </w:r>
      <w:r>
        <w:rPr>
          <w:rFonts w:hint="eastAsia" w:ascii="仿宋_GB2312" w:hAnsi="仿宋" w:eastAsia="仿宋_GB2312" w:cs="仿宋_GB2312"/>
          <w:color w:val="000000"/>
          <w:sz w:val="32"/>
          <w:szCs w:val="32"/>
        </w:rPr>
        <w:t>万元，交通运输支出2万元；自然资源海洋气象等支出</w:t>
      </w:r>
      <w:r>
        <w:rPr>
          <w:rFonts w:hint="eastAsia" w:ascii="仿宋_GB2312" w:hAnsi="仿宋" w:eastAsia="仿宋_GB2312" w:cs="仿宋_GB2312"/>
          <w:color w:val="000000"/>
          <w:sz w:val="32"/>
          <w:szCs w:val="32"/>
          <w:lang w:val="en-US" w:eastAsia="zh-CN"/>
        </w:rPr>
        <w:t>16.98</w:t>
      </w:r>
      <w:r>
        <w:rPr>
          <w:rFonts w:hint="eastAsia" w:ascii="仿宋_GB2312" w:hAnsi="仿宋" w:eastAsia="仿宋_GB2312" w:cs="仿宋_GB2312"/>
          <w:color w:val="000000"/>
          <w:sz w:val="32"/>
          <w:szCs w:val="32"/>
        </w:rPr>
        <w:t>万元，住房保障支出</w:t>
      </w:r>
      <w:r>
        <w:rPr>
          <w:rFonts w:hint="eastAsia" w:ascii="仿宋_GB2312" w:hAnsi="仿宋" w:eastAsia="仿宋_GB2312" w:cs="仿宋_GB2312"/>
          <w:color w:val="000000"/>
          <w:sz w:val="32"/>
          <w:szCs w:val="32"/>
          <w:lang w:val="en-US" w:eastAsia="zh-CN"/>
        </w:rPr>
        <w:t>23.37</w:t>
      </w:r>
      <w:r>
        <w:rPr>
          <w:rFonts w:hint="eastAsia" w:ascii="仿宋_GB2312" w:hAnsi="仿宋" w:eastAsia="仿宋_GB2312" w:cs="仿宋_GB2312"/>
          <w:color w:val="000000"/>
          <w:sz w:val="32"/>
          <w:szCs w:val="32"/>
        </w:rPr>
        <w:t>万元，灾害防治及应急管理支出</w:t>
      </w:r>
      <w:r>
        <w:rPr>
          <w:rFonts w:hint="eastAsia" w:ascii="仿宋_GB2312" w:hAnsi="仿宋" w:eastAsia="仿宋_GB2312" w:cs="仿宋_GB2312"/>
          <w:color w:val="000000"/>
          <w:sz w:val="32"/>
          <w:szCs w:val="32"/>
          <w:lang w:val="en-US" w:eastAsia="zh-CN"/>
        </w:rPr>
        <w:t>15.3</w:t>
      </w:r>
      <w:r>
        <w:rPr>
          <w:rFonts w:hint="eastAsia" w:ascii="仿宋_GB2312" w:hAnsi="仿宋" w:eastAsia="仿宋_GB2312" w:cs="仿宋_GB2312"/>
          <w:color w:val="000000"/>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使用方向：工业发展、农业基础巩固、基础设施加强、民生工程深入开展、</w:t>
      </w:r>
      <w:r>
        <w:rPr>
          <w:rFonts w:hint="eastAsia" w:ascii="仿宋_GB2312" w:hAnsi="仿宋" w:eastAsia="仿宋_GB2312" w:cs="仿宋_GB2312"/>
          <w:color w:val="000000"/>
          <w:sz w:val="32"/>
          <w:szCs w:val="32"/>
          <w:lang w:eastAsia="zh-CN"/>
        </w:rPr>
        <w:t>乡村振兴</w:t>
      </w:r>
      <w:r>
        <w:rPr>
          <w:rFonts w:hint="eastAsia" w:ascii="仿宋_GB2312" w:hAnsi="仿宋" w:eastAsia="仿宋_GB2312" w:cs="仿宋_GB2312"/>
          <w:color w:val="000000"/>
          <w:sz w:val="32"/>
          <w:szCs w:val="32"/>
        </w:rPr>
        <w:t>、党建工作等。</w:t>
      </w:r>
    </w:p>
    <w:p>
      <w:pPr>
        <w:keepNext w:val="0"/>
        <w:keepLines w:val="0"/>
        <w:pageBreakBefore w:val="0"/>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二、部门整体支出管理及使用情况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（一） 基本支出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2022年</w:t>
      </w:r>
      <w:r>
        <w:rPr>
          <w:rFonts w:hint="eastAsia" w:ascii="仿宋_GB2312" w:hAnsi="仿宋" w:eastAsia="仿宋_GB2312" w:cs="仿宋_GB2312"/>
          <w:color w:val="000000"/>
          <w:sz w:val="32"/>
          <w:szCs w:val="32"/>
          <w:lang w:eastAsia="zh-CN"/>
        </w:rPr>
        <w:t>中都乡</w:t>
      </w:r>
      <w:r>
        <w:rPr>
          <w:rFonts w:hint="eastAsia" w:ascii="仿宋_GB2312" w:hAnsi="仿宋" w:eastAsia="仿宋_GB2312" w:cs="仿宋_GB2312"/>
          <w:color w:val="000000"/>
          <w:sz w:val="32"/>
          <w:szCs w:val="32"/>
        </w:rPr>
        <w:t>基本支出</w:t>
      </w:r>
      <w:r>
        <w:rPr>
          <w:rFonts w:hint="eastAsia" w:ascii="仿宋_GB2312" w:hAnsi="仿宋" w:eastAsia="仿宋_GB2312" w:cs="仿宋_GB2312"/>
          <w:color w:val="000000"/>
          <w:sz w:val="32"/>
          <w:szCs w:val="32"/>
          <w:lang w:val="en-US" w:eastAsia="zh-CN"/>
        </w:rPr>
        <w:t>993.04</w:t>
      </w:r>
      <w:r>
        <w:rPr>
          <w:rFonts w:hint="eastAsia" w:ascii="仿宋_GB2312" w:hAnsi="仿宋" w:eastAsia="仿宋_GB2312" w:cs="仿宋_GB2312"/>
          <w:color w:val="000000"/>
          <w:sz w:val="32"/>
          <w:szCs w:val="32"/>
        </w:rPr>
        <w:t>万元，其中工资福利支出</w:t>
      </w:r>
      <w:r>
        <w:rPr>
          <w:rFonts w:hint="eastAsia" w:ascii="仿宋_GB2312" w:hAnsi="仿宋" w:eastAsia="仿宋_GB2312" w:cs="仿宋_GB2312"/>
          <w:color w:val="000000"/>
          <w:sz w:val="32"/>
          <w:szCs w:val="32"/>
          <w:lang w:val="en-US" w:eastAsia="zh-CN"/>
        </w:rPr>
        <w:t>645.33</w:t>
      </w:r>
      <w:r>
        <w:rPr>
          <w:rFonts w:hint="eastAsia" w:ascii="仿宋_GB2312" w:hAnsi="仿宋" w:eastAsia="仿宋_GB2312" w:cs="仿宋_GB2312"/>
          <w:color w:val="000000"/>
          <w:sz w:val="32"/>
          <w:szCs w:val="32"/>
        </w:rPr>
        <w:t>万元，商品和服务支出</w:t>
      </w:r>
      <w:r>
        <w:rPr>
          <w:rFonts w:hint="eastAsia" w:ascii="仿宋_GB2312" w:hAnsi="仿宋" w:eastAsia="仿宋_GB2312" w:cs="仿宋_GB2312"/>
          <w:color w:val="000000"/>
          <w:sz w:val="32"/>
          <w:szCs w:val="32"/>
          <w:lang w:val="en-US" w:eastAsia="zh-CN"/>
        </w:rPr>
        <w:t>177.33</w:t>
      </w:r>
      <w:r>
        <w:rPr>
          <w:rFonts w:hint="eastAsia" w:ascii="仿宋_GB2312" w:hAnsi="仿宋" w:eastAsia="仿宋_GB2312" w:cs="仿宋_GB2312"/>
          <w:color w:val="000000"/>
          <w:sz w:val="32"/>
          <w:szCs w:val="32"/>
        </w:rPr>
        <w:t>万元，对个人和家庭的补助支出</w:t>
      </w:r>
      <w:r>
        <w:rPr>
          <w:rFonts w:hint="eastAsia" w:ascii="仿宋_GB2312" w:hAnsi="仿宋" w:eastAsia="仿宋_GB2312" w:cs="仿宋_GB2312"/>
          <w:color w:val="000000"/>
          <w:sz w:val="32"/>
          <w:szCs w:val="32"/>
          <w:lang w:val="en-US" w:eastAsia="zh-CN"/>
        </w:rPr>
        <w:t>200.38</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val="en-US" w:eastAsia="zh-CN"/>
        </w:rPr>
        <w:t>2022年中都乡日常公用经费177.33万元。</w:t>
      </w:r>
      <w:r>
        <w:rPr>
          <w:rFonts w:hint="eastAsia" w:ascii="仿宋_GB2312" w:hAnsi="仿宋" w:eastAsia="仿宋_GB2312" w:cs="仿宋_GB2312"/>
          <w:color w:val="000000"/>
          <w:sz w:val="32"/>
          <w:szCs w:val="32"/>
        </w:rPr>
        <w:t>其中</w:t>
      </w:r>
      <w:r>
        <w:rPr>
          <w:rFonts w:hint="eastAsia" w:ascii="仿宋_GB2312" w:hAnsi="仿宋" w:eastAsia="仿宋_GB2312" w:cs="仿宋_GB2312"/>
          <w:color w:val="000000"/>
          <w:sz w:val="32"/>
          <w:szCs w:val="32"/>
          <w:lang w:eastAsia="zh-CN"/>
        </w:rPr>
        <w:t>其他商品和服务支出</w:t>
      </w:r>
      <w:r>
        <w:rPr>
          <w:rFonts w:hint="eastAsia" w:ascii="仿宋_GB2312" w:hAnsi="仿宋" w:eastAsia="仿宋_GB2312" w:cs="仿宋_GB2312"/>
          <w:color w:val="000000"/>
          <w:sz w:val="32"/>
          <w:szCs w:val="32"/>
          <w:lang w:val="en-US" w:eastAsia="zh-CN"/>
        </w:rPr>
        <w:t>36.77万元，</w:t>
      </w:r>
      <w:r>
        <w:rPr>
          <w:rFonts w:hint="eastAsia" w:ascii="仿宋_GB2312" w:hAnsi="仿宋" w:eastAsia="仿宋_GB2312" w:cs="仿宋_GB2312"/>
          <w:color w:val="000000"/>
          <w:sz w:val="32"/>
          <w:szCs w:val="32"/>
        </w:rPr>
        <w:t>办公费、印刷费支出</w:t>
      </w:r>
      <w:r>
        <w:rPr>
          <w:rFonts w:hint="eastAsia" w:ascii="仿宋_GB2312" w:hAnsi="仿宋" w:eastAsia="仿宋_GB2312" w:cs="仿宋_GB2312"/>
          <w:color w:val="000000"/>
          <w:sz w:val="32"/>
          <w:szCs w:val="32"/>
          <w:lang w:val="en-US" w:eastAsia="zh-CN"/>
        </w:rPr>
        <w:t>36.69</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劳务费支出</w:t>
      </w:r>
      <w:r>
        <w:rPr>
          <w:rFonts w:hint="eastAsia" w:ascii="仿宋_GB2312" w:hAnsi="仿宋" w:eastAsia="仿宋_GB2312" w:cs="仿宋_GB2312"/>
          <w:color w:val="000000"/>
          <w:sz w:val="32"/>
          <w:szCs w:val="32"/>
          <w:lang w:val="en-US" w:eastAsia="zh-CN"/>
        </w:rPr>
        <w:t>26.4万元，其他交通费用18.04万元，</w:t>
      </w:r>
      <w:r>
        <w:rPr>
          <w:rFonts w:hint="eastAsia" w:ascii="仿宋_GB2312" w:hAnsi="仿宋" w:eastAsia="仿宋_GB2312" w:cs="仿宋_GB2312"/>
          <w:color w:val="000000"/>
          <w:sz w:val="32"/>
          <w:szCs w:val="32"/>
        </w:rPr>
        <w:t>水电费、差旅费支出</w:t>
      </w:r>
      <w:r>
        <w:rPr>
          <w:rFonts w:hint="eastAsia" w:ascii="仿宋_GB2312" w:hAnsi="仿宋" w:eastAsia="仿宋_GB2312" w:cs="仿宋_GB2312"/>
          <w:color w:val="000000"/>
          <w:sz w:val="32"/>
          <w:szCs w:val="32"/>
          <w:lang w:val="en-US" w:eastAsia="zh-CN"/>
        </w:rPr>
        <w:t>9.76</w:t>
      </w:r>
      <w:r>
        <w:rPr>
          <w:rFonts w:hint="eastAsia" w:ascii="仿宋_GB2312" w:hAnsi="仿宋" w:eastAsia="仿宋_GB2312" w:cs="仿宋_GB2312"/>
          <w:color w:val="000000"/>
          <w:sz w:val="32"/>
          <w:szCs w:val="32"/>
        </w:rPr>
        <w:t>万元，会议费、培训费支出</w:t>
      </w:r>
      <w:r>
        <w:rPr>
          <w:rFonts w:hint="eastAsia" w:ascii="仿宋_GB2312" w:hAnsi="仿宋" w:eastAsia="仿宋_GB2312" w:cs="仿宋_GB2312"/>
          <w:color w:val="000000"/>
          <w:sz w:val="32"/>
          <w:szCs w:val="32"/>
          <w:lang w:val="en-US" w:eastAsia="zh-CN"/>
        </w:rPr>
        <w:t>8.9</w:t>
      </w:r>
      <w:r>
        <w:rPr>
          <w:rFonts w:hint="eastAsia" w:ascii="仿宋_GB2312" w:hAnsi="仿宋" w:eastAsia="仿宋_GB2312" w:cs="仿宋_GB2312"/>
          <w:color w:val="000000"/>
          <w:sz w:val="32"/>
          <w:szCs w:val="32"/>
        </w:rPr>
        <w:t>万元，三公经费--</w:t>
      </w:r>
      <w:r>
        <w:rPr>
          <w:rFonts w:hint="eastAsia" w:ascii="仿宋_GB2312" w:hAnsi="仿宋" w:eastAsia="仿宋_GB2312" w:cs="仿宋_GB2312"/>
          <w:color w:val="000000"/>
          <w:sz w:val="32"/>
          <w:szCs w:val="32"/>
          <w:lang w:eastAsia="zh-CN"/>
        </w:rPr>
        <w:t>公务接待、</w:t>
      </w:r>
      <w:r>
        <w:rPr>
          <w:rFonts w:hint="eastAsia" w:ascii="仿宋_GB2312" w:hAnsi="仿宋" w:eastAsia="仿宋_GB2312" w:cs="仿宋_GB2312"/>
          <w:color w:val="000000"/>
          <w:sz w:val="32"/>
          <w:szCs w:val="32"/>
        </w:rPr>
        <w:t>公务用车运行维护费</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（二）专项支出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2022年中都乡</w:t>
      </w:r>
      <w:r>
        <w:rPr>
          <w:rFonts w:hint="eastAsia" w:ascii="仿宋_GB2312" w:hAnsi="仿宋" w:eastAsia="仿宋_GB2312" w:cs="仿宋_GB2312"/>
          <w:color w:val="000000"/>
          <w:sz w:val="32"/>
          <w:szCs w:val="32"/>
        </w:rPr>
        <w:t>项目支出</w:t>
      </w:r>
      <w:r>
        <w:rPr>
          <w:rFonts w:hint="eastAsia" w:ascii="仿宋_GB2312" w:hAnsi="仿宋" w:eastAsia="仿宋_GB2312" w:cs="仿宋_GB2312"/>
          <w:color w:val="000000"/>
          <w:sz w:val="32"/>
          <w:szCs w:val="32"/>
          <w:lang w:val="en-US" w:eastAsia="zh-CN"/>
        </w:rPr>
        <w:t>431.61</w:t>
      </w:r>
      <w:r>
        <w:rPr>
          <w:rFonts w:hint="eastAsia" w:ascii="仿宋_GB2312" w:hAnsi="仿宋" w:eastAsia="仿宋_GB2312" w:cs="仿宋_GB2312"/>
          <w:color w:val="000000"/>
          <w:sz w:val="32"/>
          <w:szCs w:val="32"/>
        </w:rPr>
        <w:t>万元，其中</w:t>
      </w:r>
      <w:r>
        <w:rPr>
          <w:rFonts w:hint="eastAsia" w:ascii="仿宋_GB2312" w:hAnsi="仿宋" w:eastAsia="仿宋_GB2312" w:cs="仿宋_GB2312"/>
          <w:color w:val="000000"/>
          <w:sz w:val="32"/>
          <w:szCs w:val="32"/>
          <w:lang w:eastAsia="zh-CN"/>
        </w:rPr>
        <w:t>一般公共服务支出</w:t>
      </w:r>
      <w:r>
        <w:rPr>
          <w:rFonts w:hint="eastAsia" w:ascii="仿宋_GB2312" w:hAnsi="仿宋" w:eastAsia="仿宋_GB2312" w:cs="仿宋_GB2312"/>
          <w:color w:val="000000"/>
          <w:sz w:val="32"/>
          <w:szCs w:val="32"/>
          <w:lang w:val="en-US" w:eastAsia="zh-CN"/>
        </w:rPr>
        <w:t>20.1万元，公共安全支出14.4万元，节能环保支出48.81万元，城乡社区支出45万元，农林水支出288万元，灾害防治及应急管理支出15.3万元。</w:t>
      </w:r>
    </w:p>
    <w:p>
      <w:pPr>
        <w:keepNext w:val="0"/>
        <w:keepLines w:val="0"/>
        <w:pageBreakBefore w:val="0"/>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三、部门专项组织实施情况</w:t>
      </w:r>
    </w:p>
    <w:p>
      <w:pPr>
        <w:keepNext w:val="0"/>
        <w:keepLines w:val="0"/>
        <w:pageBreakBefore w:val="0"/>
        <w:shd w:val="clear" w:color="auto" w:fill="FFFFFF"/>
        <w:kinsoku/>
        <w:wordWrap/>
        <w:overflowPunct/>
        <w:topLinePunct w:val="0"/>
        <w:autoSpaceDE/>
        <w:autoSpaceDN/>
        <w:bidi w:val="0"/>
        <w:snapToGrid/>
        <w:spacing w:line="610" w:lineRule="exact"/>
        <w:ind w:right="0" w:firstLine="0" w:firstLineChars="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(一)完善制度，规划管理。</w:t>
      </w:r>
    </w:p>
    <w:p>
      <w:pPr>
        <w:keepNext w:val="0"/>
        <w:keepLines w:val="0"/>
        <w:pageBreakBefore w:val="0"/>
        <w:shd w:val="clear" w:color="auto" w:fill="FFFFFF"/>
        <w:kinsoku/>
        <w:wordWrap/>
        <w:overflowPunct/>
        <w:topLinePunct w:val="0"/>
        <w:autoSpaceDE/>
        <w:autoSpaceDN/>
        <w:bidi w:val="0"/>
        <w:snapToGrid/>
        <w:spacing w:line="610" w:lineRule="exact"/>
        <w:ind w:right="0"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对单位行政运行、内部控制、会议、差旅、培训等按政策新规进行学习和细化。</w:t>
      </w:r>
    </w:p>
    <w:p>
      <w:pPr>
        <w:keepNext w:val="0"/>
        <w:keepLines w:val="0"/>
        <w:pageBreakBefore w:val="0"/>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（二）严格执行预算，控制各项经费支出</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公务用车运行费：严格执行公车管理规定，公务用车一律实行派车等级制，单位所有公车实行定点维修、统一保险制度，严禁公车私用，严格执行公务车辆统一停放在单位院内的规定。</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公务接待费：严格接待审批程序，严格执行凭公函接待制度、禁酒禁烟。严格控制接待标准、杜绝大吃大喝及高消费娱乐，接待总额严格控制在下达的厉行节约预算指标内。</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（三）完善监管，建立长效机制</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1.提高全乡意识，厉行节约。</w:t>
      </w:r>
      <w:r>
        <w:rPr>
          <w:rFonts w:hint="eastAsia" w:ascii="仿宋_GB2312" w:hAnsi="仿宋" w:eastAsia="仿宋_GB2312" w:cs="仿宋_GB2312"/>
          <w:color w:val="000000"/>
          <w:sz w:val="32"/>
          <w:szCs w:val="32"/>
        </w:rPr>
        <w:t>自领导到普通干部，全面增强厉行节约、减少行政成本的意识，强化危机感和责任感，提高工作效率、节约行政成本从一点一滴做起。</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2.加强对会议经费的管理。</w:t>
      </w:r>
      <w:r>
        <w:rPr>
          <w:rFonts w:hint="eastAsia" w:ascii="仿宋_GB2312" w:hAnsi="仿宋" w:eastAsia="仿宋_GB2312" w:cs="仿宋_GB2312"/>
          <w:color w:val="000000"/>
          <w:sz w:val="32"/>
          <w:szCs w:val="32"/>
        </w:rPr>
        <w:t>按要求尽量精简会议，控制会议时间、规模、人数等。</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3.加强对差旅费的审批管理。</w:t>
      </w:r>
      <w:r>
        <w:rPr>
          <w:rFonts w:hint="eastAsia" w:ascii="仿宋_GB2312" w:hAnsi="仿宋" w:eastAsia="仿宋_GB2312" w:cs="仿宋_GB2312"/>
          <w:color w:val="000000"/>
          <w:sz w:val="32"/>
          <w:szCs w:val="32"/>
        </w:rPr>
        <w:t>从严审批，严禁无实质内容、无明确公务目的的差旅活动，工作要有计划，除特办急办的事项外，尽量将需要出差的事项整合办理。</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4.严格执行政府采购。</w:t>
      </w:r>
      <w:r>
        <w:rPr>
          <w:rFonts w:hint="eastAsia" w:ascii="仿宋_GB2312" w:hAnsi="仿宋" w:eastAsia="仿宋_GB2312" w:cs="仿宋_GB2312"/>
          <w:color w:val="000000"/>
          <w:sz w:val="32"/>
          <w:szCs w:val="32"/>
        </w:rPr>
        <w:t>经费支出、设备购置一律经镇党组会议研究决定，并按政府采购规定实施，耗材及办公用品采购实行定点采购。</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5.加强用电管理。</w:t>
      </w:r>
      <w:r>
        <w:rPr>
          <w:rFonts w:hint="eastAsia" w:ascii="仿宋_GB2312" w:hAnsi="仿宋" w:eastAsia="仿宋_GB2312" w:cs="仿宋_GB2312"/>
          <w:color w:val="000000"/>
          <w:sz w:val="32"/>
          <w:szCs w:val="32"/>
        </w:rPr>
        <w:t>提倡节约用电，安全用电。</w:t>
      </w:r>
    </w:p>
    <w:p>
      <w:pPr>
        <w:keepNext w:val="0"/>
        <w:keepLines w:val="0"/>
        <w:pageBreakBefore w:val="0"/>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楷体_GB2312" w:hAnsi="宋体" w:eastAsia="楷体_GB2312" w:cs="楷体_GB2312"/>
          <w:b/>
          <w:bCs/>
          <w:sz w:val="32"/>
          <w:szCs w:val="32"/>
          <w:lang w:val="en-US" w:eastAsia="zh-CN"/>
        </w:rPr>
      </w:pPr>
      <w:r>
        <w:rPr>
          <w:rFonts w:hint="eastAsia" w:ascii="黑体" w:hAnsi="黑体" w:eastAsia="黑体" w:cs="黑体"/>
          <w:bCs/>
          <w:kern w:val="2"/>
          <w:sz w:val="32"/>
          <w:szCs w:val="32"/>
          <w:lang w:val="en-US" w:eastAsia="zh-CN" w:bidi="ar-SA"/>
        </w:rPr>
        <w:t>四、资产管理情况</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实施“单位资产动态兼管，资源共享，资产管理与预算管理、资金管理相结合”的管理办法</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新增（购买、捐赠）资产及时入账，落实保管制度，责任到人。 资产盘亏、报废由党政办公室盘点后提出资产盘亏、报废申请报告，并会同财务部门核查落实后，报财政部门审批，严格规范资产处置程序。</w:t>
      </w:r>
    </w:p>
    <w:p>
      <w:pPr>
        <w:keepNext w:val="0"/>
        <w:keepLines w:val="0"/>
        <w:pageBreakBefore w:val="0"/>
        <w:numPr>
          <w:ilvl w:val="0"/>
          <w:numId w:val="0"/>
        </w:numPr>
        <w:shd w:val="clear" w:color="auto" w:fill="FFFFFF"/>
        <w:kinsoku/>
        <w:wordWrap/>
        <w:overflowPunct/>
        <w:topLinePunct w:val="0"/>
        <w:autoSpaceDE/>
        <w:autoSpaceDN/>
        <w:bidi w:val="0"/>
        <w:snapToGrid/>
        <w:spacing w:line="610" w:lineRule="exact"/>
        <w:ind w:right="0" w:firstLine="640" w:firstLineChars="20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五、部门整体支出绩效情况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本部门绩效自评</w:t>
      </w:r>
      <w:r>
        <w:rPr>
          <w:rFonts w:hint="eastAsia" w:ascii="仿宋_GB2312" w:hAnsi="仿宋" w:eastAsia="仿宋_GB2312" w:cs="仿宋_GB2312"/>
          <w:color w:val="000000"/>
          <w:sz w:val="32"/>
          <w:szCs w:val="32"/>
          <w:lang w:val="en-US" w:eastAsia="zh-CN"/>
        </w:rPr>
        <w:t>95分，达到优等级，</w:t>
      </w:r>
      <w:r>
        <w:rPr>
          <w:rFonts w:hint="eastAsia" w:ascii="仿宋_GB2312" w:hAnsi="仿宋" w:eastAsia="仿宋_GB2312" w:cs="仿宋_GB2312"/>
          <w:color w:val="000000"/>
          <w:sz w:val="32"/>
          <w:szCs w:val="32"/>
        </w:rPr>
        <w:t>主要表现在</w:t>
      </w:r>
      <w:r>
        <w:rPr>
          <w:rFonts w:hint="eastAsia" w:ascii="仿宋_GB2312" w:hAnsi="仿宋" w:eastAsia="仿宋_GB2312" w:cs="仿宋_GB2312"/>
          <w:color w:val="000000"/>
          <w:sz w:val="32"/>
          <w:szCs w:val="32"/>
          <w:lang w:eastAsia="zh-CN"/>
        </w:rPr>
        <w:t>能很好地完成在</w:t>
      </w:r>
      <w:r>
        <w:rPr>
          <w:rFonts w:hint="eastAsia" w:ascii="仿宋_GB2312" w:hAnsi="仿宋" w:eastAsia="仿宋_GB2312" w:cs="仿宋_GB2312"/>
          <w:color w:val="000000"/>
          <w:sz w:val="32"/>
          <w:szCs w:val="32"/>
        </w:rPr>
        <w:t>预算管理、资产管理、履职效益</w:t>
      </w:r>
      <w:r>
        <w:rPr>
          <w:rFonts w:hint="eastAsia" w:ascii="仿宋_GB2312" w:hAnsi="仿宋" w:eastAsia="仿宋_GB2312" w:cs="仿宋_GB2312"/>
          <w:color w:val="000000"/>
          <w:sz w:val="32"/>
          <w:szCs w:val="32"/>
          <w:lang w:eastAsia="zh-CN"/>
        </w:rPr>
        <w:t>等</w:t>
      </w:r>
      <w:r>
        <w:rPr>
          <w:rFonts w:hint="eastAsia" w:ascii="仿宋_GB2312" w:hAnsi="仿宋" w:eastAsia="仿宋_GB2312" w:cs="仿宋_GB2312"/>
          <w:color w:val="000000"/>
          <w:sz w:val="32"/>
          <w:szCs w:val="32"/>
        </w:rPr>
        <w:t>方面</w:t>
      </w:r>
      <w:r>
        <w:rPr>
          <w:rFonts w:hint="eastAsia" w:ascii="仿宋_GB2312" w:hAnsi="仿宋" w:eastAsia="仿宋_GB2312" w:cs="仿宋_GB2312"/>
          <w:color w:val="000000"/>
          <w:sz w:val="32"/>
          <w:szCs w:val="32"/>
          <w:lang w:eastAsia="zh-CN"/>
        </w:rPr>
        <w:t>要求</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具体体现在以下几个方面：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1.</w:t>
      </w:r>
      <w:r>
        <w:rPr>
          <w:rFonts w:hint="eastAsia" w:ascii="楷体_GB2312" w:hAnsi="宋体" w:eastAsia="楷体_GB2312" w:cs="楷体_GB2312"/>
          <w:b/>
          <w:bCs/>
          <w:sz w:val="32"/>
          <w:szCs w:val="32"/>
          <w:lang w:eastAsia="zh-CN"/>
        </w:rPr>
        <w:t>保工资，保运转。</w:t>
      </w:r>
      <w:r>
        <w:rPr>
          <w:rFonts w:hint="eastAsia" w:ascii="仿宋_GB2312" w:hAnsi="仿宋" w:eastAsia="仿宋_GB2312" w:cs="仿宋_GB2312"/>
          <w:color w:val="000000"/>
          <w:sz w:val="32"/>
          <w:szCs w:val="32"/>
        </w:rPr>
        <w:t>按时足额</w:t>
      </w:r>
      <w:r>
        <w:rPr>
          <w:rFonts w:hint="eastAsia" w:ascii="仿宋_GB2312" w:hAnsi="仿宋" w:eastAsia="仿宋_GB2312" w:cs="仿宋_GB2312"/>
          <w:color w:val="000000"/>
          <w:sz w:val="32"/>
          <w:szCs w:val="32"/>
          <w:lang w:eastAsia="zh-CN"/>
        </w:rPr>
        <w:t>发放部门运转经费，确保</w:t>
      </w:r>
      <w:r>
        <w:rPr>
          <w:rFonts w:hint="eastAsia" w:ascii="仿宋_GB2312" w:hAnsi="仿宋" w:eastAsia="仿宋_GB2312" w:cs="仿宋_GB2312"/>
          <w:color w:val="000000"/>
          <w:sz w:val="32"/>
          <w:szCs w:val="32"/>
        </w:rPr>
        <w:t>部门正常运行</w:t>
      </w:r>
      <w:r>
        <w:rPr>
          <w:rFonts w:hint="eastAsia" w:ascii="仿宋_GB2312" w:hAnsi="仿宋" w:eastAsia="仿宋_GB2312" w:cs="仿宋_GB2312"/>
          <w:color w:val="000000"/>
          <w:sz w:val="32"/>
          <w:szCs w:val="32"/>
          <w:lang w:eastAsia="zh-CN"/>
        </w:rPr>
        <w:t>；稳定干部队伍，促进部门高效履职。在</w:t>
      </w:r>
      <w:r>
        <w:rPr>
          <w:rFonts w:hint="eastAsia" w:ascii="仿宋_GB2312" w:hAnsi="仿宋" w:eastAsia="仿宋_GB2312" w:cs="仿宋_GB2312"/>
          <w:color w:val="000000"/>
          <w:sz w:val="32"/>
          <w:szCs w:val="32"/>
        </w:rPr>
        <w:t>人员经费按时足额发放的基础上，</w:t>
      </w:r>
      <w:r>
        <w:rPr>
          <w:rFonts w:hint="eastAsia" w:ascii="仿宋_GB2312" w:hAnsi="仿宋" w:eastAsia="仿宋_GB2312" w:cs="仿宋_GB2312"/>
          <w:color w:val="000000"/>
          <w:sz w:val="32"/>
          <w:szCs w:val="32"/>
          <w:lang w:eastAsia="zh-CN"/>
        </w:rPr>
        <w:t>我部门出色地</w:t>
      </w:r>
      <w:r>
        <w:rPr>
          <w:rFonts w:hint="eastAsia" w:ascii="仿宋_GB2312" w:hAnsi="仿宋" w:eastAsia="仿宋_GB2312" w:cs="仿宋_GB2312"/>
          <w:color w:val="000000"/>
          <w:sz w:val="32"/>
          <w:szCs w:val="32"/>
        </w:rPr>
        <w:t>完成了2022年度各项工作任务。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rPr>
        <w:t>2.</w:t>
      </w:r>
      <w:r>
        <w:rPr>
          <w:rFonts w:hint="eastAsia" w:ascii="楷体_GB2312" w:hAnsi="宋体" w:eastAsia="楷体_GB2312" w:cs="楷体_GB2312"/>
          <w:b/>
          <w:bCs/>
          <w:sz w:val="32"/>
          <w:szCs w:val="32"/>
          <w:lang w:eastAsia="zh-CN"/>
        </w:rPr>
        <w:t>加强社会治理，稳定社会发展。</w:t>
      </w:r>
      <w:r>
        <w:rPr>
          <w:rFonts w:hint="eastAsia" w:ascii="仿宋_GB2312" w:hAnsi="仿宋" w:eastAsia="仿宋_GB2312" w:cs="仿宋_GB2312"/>
          <w:color w:val="000000"/>
          <w:sz w:val="32"/>
          <w:szCs w:val="32"/>
          <w:lang w:eastAsia="zh-CN"/>
        </w:rPr>
        <w:t>全力抓好安全生产，</w:t>
      </w:r>
      <w:r>
        <w:rPr>
          <w:rFonts w:hint="eastAsia" w:ascii="仿宋_GB2312" w:hAnsi="仿宋" w:eastAsia="仿宋_GB2312" w:cs="仿宋_GB2312"/>
          <w:color w:val="000000"/>
          <w:sz w:val="32"/>
          <w:szCs w:val="32"/>
        </w:rPr>
        <w:t>年内辖区无重大安全事故</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开展信访舆情“清零”行动。积极化解矛盾纠纷，加大信访遗留问题处理力度，成立工作专班彻底解决了上尚、蛟溪6户老上访户缠访问题，群众满意度达100%；加强新型农村合作医疗宣传，</w:t>
      </w:r>
      <w:r>
        <w:rPr>
          <w:rFonts w:hint="eastAsia" w:ascii="仿宋_GB2312" w:hAnsi="仿宋" w:eastAsia="仿宋_GB2312" w:cs="仿宋_GB2312"/>
          <w:color w:val="000000"/>
          <w:sz w:val="32"/>
          <w:szCs w:val="32"/>
        </w:rPr>
        <w:t>新型农村合作医疗参合率达到95%或以上</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免费孕前优生健康检查目标人群覆盖率达到80%以上；</w:t>
      </w:r>
      <w:r>
        <w:rPr>
          <w:rFonts w:hint="eastAsia" w:ascii="仿宋_GB2312" w:hAnsi="仿宋" w:eastAsia="仿宋_GB2312" w:cs="仿宋_GB2312"/>
          <w:color w:val="000000"/>
          <w:sz w:val="32"/>
          <w:szCs w:val="32"/>
          <w:lang w:eastAsia="zh-CN"/>
        </w:rPr>
        <w:t>健全内部管理制度，合规使用各项资金，切实</w:t>
      </w:r>
      <w:r>
        <w:rPr>
          <w:rFonts w:hint="eastAsia" w:ascii="仿宋_GB2312" w:hAnsi="仿宋" w:eastAsia="仿宋_GB2312" w:cs="仿宋_GB2312"/>
          <w:color w:val="000000"/>
          <w:sz w:val="32"/>
          <w:szCs w:val="32"/>
        </w:rPr>
        <w:t>做好粮补、退耕还林补贴、残疾、五保、独生子女保健费等各项惠农补贴发放工作。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lang w:val="en-US" w:eastAsia="zh-CN"/>
        </w:rPr>
      </w:pPr>
      <w:r>
        <w:rPr>
          <w:rFonts w:hint="eastAsia" w:ascii="楷体_GB2312" w:hAnsi="宋体" w:eastAsia="楷体_GB2312" w:cs="楷体_GB2312"/>
          <w:b/>
          <w:bCs/>
          <w:sz w:val="32"/>
          <w:szCs w:val="32"/>
          <w:lang w:val="en-US" w:eastAsia="zh-CN"/>
        </w:rPr>
        <w:t>3.</w:t>
      </w:r>
      <w:r>
        <w:rPr>
          <w:rFonts w:hint="eastAsia" w:ascii="楷体_GB2312" w:hAnsi="宋体" w:eastAsia="楷体_GB2312" w:cs="楷体_GB2312"/>
          <w:b/>
          <w:bCs/>
          <w:sz w:val="32"/>
          <w:szCs w:val="32"/>
          <w:lang w:eastAsia="zh-CN"/>
        </w:rPr>
        <w:t>推动乡村振兴，壮大村集体经济。</w:t>
      </w:r>
      <w:r>
        <w:rPr>
          <w:rFonts w:hint="eastAsia" w:ascii="仿宋_GB2312" w:hAnsi="仿宋" w:eastAsia="仿宋_GB2312" w:cs="仿宋_GB2312"/>
          <w:color w:val="000000"/>
          <w:sz w:val="32"/>
          <w:szCs w:val="32"/>
          <w:lang w:val="en-US" w:eastAsia="zh-CN"/>
        </w:rPr>
        <w:t>创新村集体经济发展模式、全面消除村集体经济薄弱村、采用包团入股，委托管理的方式，每年11月份分红到村，增加村集体经济收入。</w:t>
      </w: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预算控制率有待降低。除政策性因素以外，由于部分临时、紧急或突发的工作任务导致年中追加预算。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公用经费控制率有待降低。由于乡村振兴工作任务重，各项经费使用增加。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项目资金压力大。针对我</w:t>
      </w:r>
      <w:r>
        <w:rPr>
          <w:rFonts w:hint="eastAsia" w:ascii="仿宋_GB2312" w:hAnsi="仿宋" w:eastAsia="仿宋_GB2312" w:cs="仿宋_GB2312"/>
          <w:color w:val="000000"/>
          <w:sz w:val="32"/>
          <w:szCs w:val="32"/>
          <w:lang w:eastAsia="zh-CN"/>
        </w:rPr>
        <w:t>乡</w:t>
      </w:r>
      <w:r>
        <w:rPr>
          <w:rFonts w:hint="eastAsia" w:ascii="仿宋_GB2312" w:hAnsi="仿宋" w:eastAsia="仿宋_GB2312" w:cs="仿宋_GB2312"/>
          <w:color w:val="000000"/>
          <w:sz w:val="32"/>
          <w:szCs w:val="32"/>
        </w:rPr>
        <w:t>农村经济基础薄弱，各项基础设施项目建设资金管理尚需进一步的加强。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center"/>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1、财政拨款收入：指县财政当年拨付的资金。</w:t>
      </w:r>
    </w:p>
    <w:p>
      <w:pPr>
        <w:pStyle w:val="11"/>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pPr>
        <w:pStyle w:val="11"/>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1"/>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rFonts w:hint="eastAsia" w:ascii="仿宋" w:hAnsi="仿宋" w:eastAsia="仿宋" w:cs="仿宋"/>
          <w:sz w:val="32"/>
          <w:szCs w:val="32"/>
        </w:rPr>
      </w:pPr>
    </w:p>
    <w:p>
      <w:pPr>
        <w:pStyle w:val="11"/>
        <w:jc w:val="center"/>
        <w:rPr>
          <w:sz w:val="72"/>
          <w:szCs w:val="72"/>
        </w:rPr>
      </w:pPr>
    </w:p>
    <w:p>
      <w:pPr>
        <w:pStyle w:val="11"/>
        <w:keepNext w:val="0"/>
        <w:keepLines w:val="0"/>
        <w:pageBreakBefore w:val="0"/>
        <w:widowControl w:val="0"/>
        <w:kinsoku/>
        <w:wordWrap/>
        <w:overflowPunct/>
        <w:topLinePunct w:val="0"/>
        <w:bidi w:val="0"/>
        <w:snapToGrid/>
        <w:spacing w:line="600" w:lineRule="exact"/>
        <w:ind w:firstLine="640" w:firstLineChars="200"/>
        <w:jc w:val="center"/>
        <w:textAlignment w:val="auto"/>
        <w:rPr>
          <w:rFonts w:hint="eastAsia" w:ascii="楷体" w:hAnsi="楷体" w:eastAsia="楷体" w:cs="楷体"/>
          <w:b/>
          <w:bCs/>
          <w:i/>
          <w:color w:val="auto"/>
          <w:kern w:val="0"/>
          <w:sz w:val="32"/>
          <w:szCs w:val="32"/>
          <w:lang w:val="en-US" w:eastAsia="zh-CN" w:bidi="ar-SA"/>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bookmarkEnd w:id="3"/>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BFD631"/>
    <w:multiLevelType w:val="singleLevel"/>
    <w:tmpl w:val="74BFD631"/>
    <w:lvl w:ilvl="0" w:tentative="0">
      <w:start w:val="3"/>
      <w:numFmt w:val="decimal"/>
      <w:suff w:val="nothing"/>
      <w:lvlText w:val="%1、"/>
      <w:lvlJc w:val="left"/>
    </w:lvl>
  </w:abstractNum>
  <w:abstractNum w:abstractNumId="2">
    <w:nsid w:val="75CCC127"/>
    <w:multiLevelType w:val="singleLevel"/>
    <w:tmpl w:val="75CCC127"/>
    <w:lvl w:ilvl="0" w:tentative="0">
      <w:start w:val="10"/>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ZDA4NGFlY2UyZDE5Nzc3MmM1MWFiOWUzMDIwZG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394F5491"/>
    <w:rsid w:val="5777D4F5"/>
    <w:rsid w:val="5F250AD5"/>
    <w:rsid w:val="5FBF1FB2"/>
    <w:rsid w:val="5FC6BB1E"/>
    <w:rsid w:val="5FF720F1"/>
    <w:rsid w:val="7137361A"/>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32"/>
      <w:szCs w:val="32"/>
    </w:rPr>
  </w:style>
  <w:style w:type="paragraph" w:styleId="3">
    <w:name w:val="Body Text First Indent"/>
    <w:basedOn w:val="2"/>
    <w:qFormat/>
    <w:uiPriority w:val="0"/>
    <w:pPr>
      <w:ind w:firstLine="100" w:firstLineChars="1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标4"/>
    <w:basedOn w:val="18"/>
    <w:next w:val="1"/>
    <w:qFormat/>
    <w:uiPriority w:val="0"/>
    <w:pPr>
      <w:adjustRightInd w:val="0"/>
      <w:spacing w:before="240" w:after="360" w:line="240" w:lineRule="exact"/>
      <w:jc w:val="left"/>
      <w:outlineLvl w:val="3"/>
    </w:pPr>
    <w:rPr>
      <w:rFonts w:ascii="Arial" w:hAnsi="Arial" w:eastAsia="宋体"/>
      <w:b w:val="0"/>
      <w:bCs w:val="0"/>
      <w:kern w:val="24"/>
      <w:szCs w:val="24"/>
    </w:rPr>
  </w:style>
  <w:style w:type="paragraph" w:customStyle="1" w:styleId="18">
    <w:name w:val="标3"/>
    <w:basedOn w:val="1"/>
    <w:qFormat/>
    <w:uiPriority w:val="0"/>
    <w:pPr>
      <w:adjustRightInd w:val="0"/>
      <w:spacing w:line="240" w:lineRule="exact"/>
      <w:jc w:val="left"/>
      <w:outlineLvl w:val="2"/>
    </w:pPr>
    <w:rPr>
      <w:rFonts w:ascii="Arial" w:hAnsi="Arial"/>
      <w:b/>
      <w:bCs/>
      <w:kern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13</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飞儿</cp:lastModifiedBy>
  <cp:lastPrinted>2023-10-20T02:01:00Z</cp:lastPrinted>
  <dcterms:modified xsi:type="dcterms:W3CDTF">2023-10-23T04:47:00Z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4D7D8C97D6424627B58AD33A9B99B307_13</vt:lpwstr>
  </property>
</Properties>
</file>