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color w:val="auto"/>
          <w:sz w:val="56"/>
          <w:szCs w:val="56"/>
        </w:rPr>
      </w:pPr>
    </w:p>
    <w:p>
      <w:pPr>
        <w:pStyle w:val="13"/>
        <w:jc w:val="center"/>
        <w:rPr>
          <w:color w:val="auto"/>
          <w:sz w:val="56"/>
          <w:szCs w:val="56"/>
        </w:rPr>
      </w:pPr>
    </w:p>
    <w:p>
      <w:pPr>
        <w:pStyle w:val="13"/>
        <w:jc w:val="center"/>
        <w:rPr>
          <w:color w:val="auto"/>
          <w:sz w:val="84"/>
          <w:szCs w:val="84"/>
        </w:rPr>
      </w:pPr>
    </w:p>
    <w:p>
      <w:pPr>
        <w:pStyle w:val="13"/>
        <w:jc w:val="center"/>
        <w:rPr>
          <w:color w:val="auto"/>
          <w:sz w:val="84"/>
          <w:szCs w:val="84"/>
        </w:rPr>
      </w:pPr>
    </w:p>
    <w:p>
      <w:pPr>
        <w:pStyle w:val="13"/>
        <w:jc w:val="center"/>
        <w:rPr>
          <w:color w:val="auto"/>
          <w:sz w:val="84"/>
          <w:szCs w:val="84"/>
        </w:rPr>
      </w:pPr>
      <w:r>
        <w:rPr>
          <w:rFonts w:hint="eastAsia"/>
          <w:color w:val="auto"/>
          <w:sz w:val="84"/>
          <w:szCs w:val="84"/>
        </w:rPr>
        <w:t>2021年度</w:t>
      </w:r>
    </w:p>
    <w:p>
      <w:pPr>
        <w:pStyle w:val="13"/>
        <w:jc w:val="center"/>
        <w:rPr>
          <w:color w:val="auto"/>
          <w:sz w:val="84"/>
          <w:szCs w:val="84"/>
        </w:rPr>
      </w:pPr>
      <w:r>
        <w:rPr>
          <w:rFonts w:hint="eastAsia"/>
          <w:color w:val="auto"/>
          <w:sz w:val="84"/>
          <w:szCs w:val="84"/>
          <w:lang w:val="en-US" w:eastAsia="zh-CN"/>
        </w:rPr>
        <w:t>龙庄湾人民政府</w:t>
      </w:r>
      <w:r>
        <w:rPr>
          <w:rFonts w:hint="eastAsia"/>
          <w:color w:val="auto"/>
          <w:sz w:val="84"/>
          <w:szCs w:val="84"/>
        </w:rPr>
        <w:t>部门决算</w:t>
      </w:r>
    </w:p>
    <w:p>
      <w:pPr>
        <w:pStyle w:val="13"/>
        <w:jc w:val="center"/>
        <w:rPr>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spacing w:line="540" w:lineRule="exact"/>
        <w:jc w:val="center"/>
        <w:rPr>
          <w:color w:val="auto"/>
          <w:sz w:val="56"/>
          <w:szCs w:val="56"/>
        </w:rPr>
      </w:pPr>
    </w:p>
    <w:p>
      <w:pPr>
        <w:pStyle w:val="13"/>
        <w:spacing w:line="500" w:lineRule="exact"/>
        <w:jc w:val="center"/>
        <w:rPr>
          <w:b/>
          <w:color w:val="auto"/>
          <w:sz w:val="36"/>
          <w:szCs w:val="28"/>
        </w:rPr>
      </w:pPr>
    </w:p>
    <w:p>
      <w:pPr>
        <w:pStyle w:val="13"/>
        <w:spacing w:line="500" w:lineRule="exact"/>
        <w:jc w:val="center"/>
        <w:rPr>
          <w:b/>
          <w:color w:val="auto"/>
          <w:sz w:val="36"/>
          <w:szCs w:val="28"/>
        </w:rPr>
      </w:pPr>
    </w:p>
    <w:p>
      <w:pPr>
        <w:pStyle w:val="13"/>
        <w:spacing w:line="500" w:lineRule="exact"/>
        <w:jc w:val="center"/>
        <w:rPr>
          <w:b/>
          <w:color w:val="auto"/>
          <w:sz w:val="36"/>
          <w:szCs w:val="28"/>
        </w:rPr>
      </w:pPr>
      <w:r>
        <w:rPr>
          <w:rFonts w:hint="eastAsia"/>
          <w:b/>
          <w:color w:val="auto"/>
          <w:sz w:val="36"/>
          <w:szCs w:val="28"/>
        </w:rPr>
        <w:t>目录</w:t>
      </w:r>
    </w:p>
    <w:p>
      <w:pPr>
        <w:pStyle w:val="13"/>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val="en-US" w:eastAsia="zh-CN"/>
        </w:rPr>
        <w:t>龙庄湾人民政府</w:t>
      </w:r>
      <w:r>
        <w:rPr>
          <w:rFonts w:hint="eastAsia"/>
          <w:b/>
          <w:color w:val="auto"/>
          <w:sz w:val="28"/>
          <w:szCs w:val="28"/>
        </w:rPr>
        <w:t>概况</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3"/>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3"/>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3"/>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三公</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十一、政府采购支出说明</w:t>
      </w:r>
    </w:p>
    <w:p>
      <w:pPr>
        <w:pStyle w:val="13"/>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3"/>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3"/>
        <w:jc w:val="center"/>
        <w:rPr>
          <w:color w:val="auto"/>
          <w:sz w:val="84"/>
          <w:szCs w:val="84"/>
        </w:rPr>
      </w:pPr>
      <w:r>
        <w:rPr>
          <w:rFonts w:hint="eastAsia"/>
          <w:color w:val="auto"/>
          <w:sz w:val="84"/>
          <w:szCs w:val="84"/>
        </w:rPr>
        <w:t>第一部分</w:t>
      </w:r>
    </w:p>
    <w:p>
      <w:pPr>
        <w:pStyle w:val="13"/>
        <w:jc w:val="center"/>
        <w:rPr>
          <w:color w:val="auto"/>
          <w:sz w:val="84"/>
          <w:szCs w:val="84"/>
        </w:rPr>
      </w:pPr>
    </w:p>
    <w:p>
      <w:pPr>
        <w:pStyle w:val="13"/>
        <w:jc w:val="center"/>
        <w:rPr>
          <w:color w:val="auto"/>
          <w:sz w:val="84"/>
          <w:szCs w:val="84"/>
        </w:rPr>
      </w:pPr>
      <w:r>
        <w:rPr>
          <w:rFonts w:hint="eastAsia"/>
          <w:color w:val="auto"/>
          <w:sz w:val="84"/>
          <w:szCs w:val="84"/>
          <w:lang w:val="en-US" w:eastAsia="zh-CN"/>
        </w:rPr>
        <w:t>龙庄湾人民政府</w:t>
      </w:r>
      <w:r>
        <w:rPr>
          <w:rFonts w:hint="eastAsia"/>
          <w:color w:val="auto"/>
          <w:sz w:val="84"/>
          <w:szCs w:val="84"/>
        </w:rPr>
        <w:t>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4"/>
        <w:ind w:left="720" w:firstLine="0" w:firstLineChars="0"/>
        <w:jc w:val="left"/>
        <w:rPr>
          <w:rFonts w:ascii="黑体" w:hAnsi="黑体" w:eastAsia="黑体"/>
          <w:color w:val="auto"/>
          <w:sz w:val="32"/>
          <w:szCs w:val="32"/>
        </w:rPr>
      </w:pPr>
    </w:p>
    <w:p>
      <w:pPr>
        <w:pStyle w:val="14"/>
        <w:ind w:left="720" w:firstLine="0" w:firstLineChars="0"/>
        <w:jc w:val="left"/>
        <w:rPr>
          <w:rFonts w:ascii="黑体" w:hAnsi="黑体" w:eastAsia="黑体"/>
          <w:color w:val="auto"/>
          <w:sz w:val="32"/>
          <w:szCs w:val="32"/>
        </w:rPr>
      </w:pPr>
    </w:p>
    <w:p>
      <w:pPr>
        <w:pStyle w:val="14"/>
        <w:ind w:left="720" w:firstLine="0" w:firstLineChars="0"/>
        <w:jc w:val="left"/>
        <w:rPr>
          <w:rFonts w:ascii="黑体" w:hAnsi="黑体" w:eastAsia="黑体"/>
          <w:color w:val="auto"/>
          <w:sz w:val="32"/>
          <w:szCs w:val="32"/>
        </w:rPr>
      </w:pPr>
    </w:p>
    <w:p>
      <w:pPr>
        <w:pStyle w:val="14"/>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按计划组织本级财政收入的征收，完成国家财政计划，管好财政资金，增强财政实力。</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抓好精神文明建设，丰富群众文化生活，提倡移风易俗，反对封建迷信，破除陈规陋习，树立社会主义新风尚。</w:t>
      </w:r>
    </w:p>
    <w:p>
      <w:pPr>
        <w:pStyle w:val="7"/>
        <w:numPr>
          <w:ilvl w:val="0"/>
          <w:numId w:val="2"/>
        </w:numPr>
        <w:rPr>
          <w:rFonts w:asciiTheme="minorEastAsia" w:hAnsiTheme="minorEastAsia"/>
          <w:bCs/>
          <w:color w:val="auto"/>
          <w:sz w:val="32"/>
          <w:szCs w:val="32"/>
        </w:rPr>
      </w:pPr>
      <w:r>
        <w:rPr>
          <w:rFonts w:hint="eastAsia" w:asciiTheme="minorEastAsia" w:hAnsiTheme="minorEastAsia"/>
          <w:bCs/>
          <w:color w:val="auto"/>
          <w:sz w:val="32"/>
          <w:szCs w:val="32"/>
        </w:rPr>
        <w:t>完成上级党委、政府交办的其它事项。</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rPr>
          <w:rFonts w:asciiTheme="minorEastAsia" w:hAnsiTheme="minorEastAsia"/>
          <w:bCs/>
          <w:color w:val="auto"/>
          <w:kern w:val="0"/>
          <w:sz w:val="32"/>
          <w:szCs w:val="32"/>
        </w:rPr>
      </w:pPr>
      <w:r>
        <w:rPr>
          <w:rFonts w:hint="eastAsia" w:asciiTheme="minorEastAsia" w:hAnsiTheme="minorEastAsia"/>
          <w:bCs/>
          <w:color w:val="auto"/>
          <w:kern w:val="0"/>
          <w:sz w:val="32"/>
          <w:szCs w:val="32"/>
        </w:rPr>
        <w:t>（一）内设机构设置。龙庄湾乡人民政府内设机构包括：农业综合服务中心，社会事业服务中心，文化旅游和卫生计划生育服务中心，建设环保中心，扶贫站，安监站。</w:t>
      </w:r>
    </w:p>
    <w:p>
      <w:pPr>
        <w:widowControl/>
        <w:spacing w:line="600" w:lineRule="exact"/>
        <w:rPr>
          <w:rFonts w:asciiTheme="minorEastAsia" w:hAnsiTheme="minorEastAsia"/>
          <w:bCs/>
          <w:color w:val="auto"/>
          <w:kern w:val="0"/>
          <w:sz w:val="32"/>
          <w:szCs w:val="32"/>
        </w:rPr>
      </w:pPr>
      <w:r>
        <w:rPr>
          <w:rFonts w:hint="eastAsia" w:asciiTheme="minorEastAsia" w:hAnsiTheme="minorEastAsia"/>
          <w:bCs/>
          <w:color w:val="auto"/>
          <w:kern w:val="0"/>
          <w:sz w:val="32"/>
          <w:szCs w:val="32"/>
        </w:rPr>
        <w:t>（二）决算单位构成。龙庄湾乡人民政府</w:t>
      </w:r>
      <w:r>
        <w:rPr>
          <w:rFonts w:asciiTheme="minorEastAsia" w:hAnsiTheme="minorEastAsia"/>
          <w:bCs/>
          <w:color w:val="auto"/>
          <w:kern w:val="0"/>
          <w:sz w:val="32"/>
          <w:szCs w:val="32"/>
        </w:rPr>
        <w:t>20</w:t>
      </w:r>
      <w:r>
        <w:rPr>
          <w:rFonts w:hint="eastAsia" w:asciiTheme="minorEastAsia" w:hAnsiTheme="minorEastAsia"/>
          <w:bCs/>
          <w:color w:val="auto"/>
          <w:kern w:val="0"/>
          <w:sz w:val="32"/>
          <w:szCs w:val="32"/>
        </w:rPr>
        <w:t>20年部门决算汇总公开单位构成包括：龙庄湾乡人民政府本级以及乡财政所、文化旅游和卫生计划生育服务中心、农业综合服务中心。</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b/>
          <w:bCs/>
          <w:color w:val="auto"/>
          <w:sz w:val="72"/>
          <w:szCs w:val="72"/>
        </w:rPr>
      </w:pPr>
      <w:r>
        <w:rPr>
          <w:rFonts w:hint="eastAsia"/>
          <w:b/>
          <w:bCs/>
          <w:color w:val="auto"/>
          <w:sz w:val="72"/>
          <w:szCs w:val="72"/>
        </w:rPr>
        <w:t>第二部分</w:t>
      </w:r>
    </w:p>
    <w:p>
      <w:pPr>
        <w:jc w:val="center"/>
        <w:rPr>
          <w:b/>
          <w:bCs/>
          <w:color w:val="auto"/>
          <w:sz w:val="72"/>
          <w:szCs w:val="72"/>
        </w:rPr>
      </w:pPr>
    </w:p>
    <w:p>
      <w:pPr>
        <w:jc w:val="center"/>
        <w:rPr>
          <w:b/>
          <w:bCs/>
          <w:color w:val="auto"/>
          <w:sz w:val="72"/>
          <w:szCs w:val="72"/>
        </w:rPr>
      </w:pPr>
      <w:r>
        <w:rPr>
          <w:rFonts w:hint="eastAsia"/>
          <w:b/>
          <w:bCs/>
          <w:color w:val="auto"/>
          <w:sz w:val="72"/>
          <w:szCs w:val="72"/>
        </w:rPr>
        <w:t>部门决算表</w:t>
      </w:r>
    </w:p>
    <w:p>
      <w:pPr>
        <w:jc w:val="center"/>
        <w:rPr>
          <w:color w:val="auto"/>
          <w:sz w:val="72"/>
          <w:szCs w:val="72"/>
        </w:rPr>
      </w:pPr>
    </w:p>
    <w:p>
      <w:pPr>
        <w:jc w:val="center"/>
        <w:rPr>
          <w:color w:val="auto"/>
          <w:sz w:val="72"/>
          <w:szCs w:val="72"/>
        </w:rPr>
      </w:pPr>
    </w:p>
    <w:p>
      <w:pPr>
        <w:jc w:val="both"/>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9"/>
        <w:tblW w:w="29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2"/>
        <w:gridCol w:w="819"/>
        <w:gridCol w:w="1368"/>
        <w:gridCol w:w="4387"/>
        <w:gridCol w:w="819"/>
        <w:gridCol w:w="2015"/>
        <w:gridCol w:w="14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90" w:hRule="atLeast"/>
        </w:trPr>
        <w:tc>
          <w:tcPr>
            <w:tcW w:w="15160" w:type="dxa"/>
            <w:gridSpan w:val="6"/>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255" w:hRule="atLeast"/>
        </w:trPr>
        <w:tc>
          <w:tcPr>
            <w:tcW w:w="5752"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81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6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8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1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01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255" w:hRule="atLeast"/>
        </w:trPr>
        <w:tc>
          <w:tcPr>
            <w:tcW w:w="5752"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81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6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8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1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01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793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7221"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36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201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201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1,094.46</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auto"/>
                <w:sz w:val="20"/>
                <w:szCs w:val="20"/>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0"/>
                <w:szCs w:val="20"/>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0"/>
                <w:szCs w:val="20"/>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0"/>
                <w:szCs w:val="20"/>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01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87"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015"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5752"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438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1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0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15160"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12" w:type="dxa"/>
          <w:trHeight w:val="308" w:hRule="atLeast"/>
        </w:trPr>
        <w:tc>
          <w:tcPr>
            <w:tcW w:w="15160"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972"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tbl>
      <w:tblPr>
        <w:tblStyle w:val="9"/>
        <w:tblW w:w="12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4616"/>
        <w:gridCol w:w="1103"/>
        <w:gridCol w:w="1103"/>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42" w:type="dxa"/>
            <w:gridSpan w:val="11"/>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103"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103"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1,126.46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1,126.46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人大事务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政府办公厅（室）及相关机构事务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其他政府办公厅（室）及相关机构事务支出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统计信息事务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专项普查活动</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公共安全支出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其他公安支出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文化和旅游</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其他文化和旅游支出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历史名城与古迹</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89.09</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89.09</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其他优抚支出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老年福利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特困人员救助供养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农村特困人员救助供养支出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大中型水库移民后期扶持基金支出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小型水库移民扶助基金安排的支出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财政对基本养老保险基金的补助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财政对其他基本养老保险基金的补助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其他退役军人事务管理支出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精神卫生机构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32.87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32.87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其他城乡社区管理事务支出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城乡社区公共设施</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小城镇基础设施建设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农业农村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农村社会事业</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2130142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农村道路建设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其他农业农村支出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林业和草原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2130335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农村人畜饮水</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扶贫</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121.81</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121.81</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75.63</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75.63</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生产发展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26.17</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农村综合改革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农村综合改革示范试点补助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公路水路运输</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其他公路水路运输支出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灾害防治及应急管理支出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应急管理事务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地质灾害防治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用于社会福利的彩票公益金支出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42"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11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4616"/>
        <w:gridCol w:w="1103"/>
        <w:gridCol w:w="882"/>
        <w:gridCol w:w="882"/>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431" w:type="dxa"/>
            <w:gridSpan w:val="10"/>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103"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88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88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1,126.46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851.87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274.59</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人大事务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政府办公厅（室）及相关机构事务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其他政府办公厅（室）及相关机构事务支出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统计信息事务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专项普查活动</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公共安全支出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其他公安支出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文化和旅游</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其他文化和旅游支出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历史名城与古迹</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79.09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其他优抚支出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老年福利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特困人员救助供养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农村特困人员救助供养支出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大中型水库移民后期扶持基金支出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小型水库移民扶助基金安排的支出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财政对基本养老保险基金的补助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财政对其他基本养老保险基金的补助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其他退役军人事务管理支出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精神卫生机构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32.87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其他城乡社区管理事务支出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城乡社区公共设施</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小城镇基础设施建设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127.37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农业农村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农村社会事业</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2130142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农村道路建设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其他农业农村支出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林业和草原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2130335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农村人畜饮水</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扶贫</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121.81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106.37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75.20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生产发展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11.17</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农村综合改革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农村综合改革示范试点补助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公路水路运输</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其他公路水路运输支出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灾害防治及应急管理支出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应急管理事务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地质灾害防治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用于社会福利的彩票公益金支出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431" w:type="dxa"/>
            <w:gridSpan w:val="1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0"/>
        <w:gridCol w:w="570"/>
        <w:gridCol w:w="1394"/>
        <w:gridCol w:w="3946"/>
        <w:gridCol w:w="570"/>
        <w:gridCol w:w="1096"/>
        <w:gridCol w:w="1320"/>
        <w:gridCol w:w="136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50" w:type="dxa"/>
            <w:gridSpan w:val="9"/>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57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9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94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7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09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2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6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57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9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94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7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09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20"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36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3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9916"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39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94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09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36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39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394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32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36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39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09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2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6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9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1,094.46</w:t>
            </w: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9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w:t>
            </w: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89.09</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74.09</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32.87</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28.87</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auto"/>
                <w:sz w:val="20"/>
                <w:szCs w:val="20"/>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9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1,094.46</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9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394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09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36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9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394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0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1,126.46</w:t>
            </w:r>
          </w:p>
        </w:tc>
        <w:tc>
          <w:tcPr>
            <w:tcW w:w="132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1,094.46</w:t>
            </w:r>
          </w:p>
        </w:tc>
        <w:tc>
          <w:tcPr>
            <w:tcW w:w="136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34"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6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auto"/>
                <w:sz w:val="20"/>
                <w:szCs w:val="20"/>
                <w:u w:val="none"/>
              </w:rPr>
            </w:pP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4616"/>
        <w:gridCol w:w="1103"/>
        <w:gridCol w:w="8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7" w:type="dxa"/>
            <w:gridSpan w:val="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61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10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8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3601"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0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88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10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8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10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1,094.46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846.87</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482.95</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人大事务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政府办公厅（室）及相关机构事务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437.58</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318.72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其他政府办公厅（室）及相关机构事务支出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90.42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统计信息事务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专项普查活动</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35.23</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公共安全支出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公安</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11.16</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10.56</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其他公安支出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文化和旅游</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其他文化和旅游支出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2070206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历史名城与古迹</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其他文化旅游体育与传媒支出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74.09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74.09</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其他优抚支出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2081002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老年福利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特困人员救助供养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农村特困人员救助供养支出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8.71</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财政对基本养老保险基金的补助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2082699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财政对其他基本养老保险基金的补助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其他退役军人事务管理支出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5.47</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精神卫生机构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2100408</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基本公共卫生服务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2100410</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计划生育事务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计划生育机构</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2100717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计划生育服务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其他城乡社区管理事务支出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城乡社区公共设施</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小城镇基础设施建设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335.28</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207.91</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农业农村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农村社会事业</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2130142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农村道路建设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其他农业农村支出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林业和草原</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2130335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农村人畜饮水</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扶贫</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121.81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15.43</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75.63</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0.43</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生产发展</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26.17</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农村综合改革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168.61</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162.61</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2130707</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农村综合改革示范试点补助</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公路水路运输</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其他公路水路运输支出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灾害防治及应急管理支出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33.65</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应急管理事务</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2240199</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其他应急管理支出</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8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自然灾害防治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地质灾害防治</w:t>
            </w:r>
          </w:p>
        </w:tc>
        <w:tc>
          <w:tcPr>
            <w:tcW w:w="110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c>
          <w:tcPr>
            <w:tcW w:w="882"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677"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1"/>
        <w:gridCol w:w="2673"/>
        <w:gridCol w:w="707"/>
        <w:gridCol w:w="626"/>
        <w:gridCol w:w="1854"/>
        <w:gridCol w:w="707"/>
        <w:gridCol w:w="626"/>
        <w:gridCol w:w="3328"/>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01"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267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0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2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85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0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2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32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259"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01"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2673"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0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2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85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07"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2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328"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259"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8400"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67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70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62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185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70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62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332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5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267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0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62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85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0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62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332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25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449.42</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130.54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130.16</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27.37</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124.72</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6.51</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65.87</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15.36</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32.69</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17.82</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45.64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253.91</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217.88</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0.44</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332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62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3328"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2673"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33.40</w:t>
            </w: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3328"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1" w:type="dxa"/>
            <w:tcBorders>
              <w:top w:val="nil"/>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2673"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70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62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185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39.03</w:t>
            </w:r>
          </w:p>
        </w:tc>
        <w:tc>
          <w:tcPr>
            <w:tcW w:w="626"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3328" w:type="dxa"/>
            <w:tcBorders>
              <w:top w:val="nil"/>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2"/>
                <w:szCs w:val="22"/>
                <w:u w:val="none"/>
              </w:rPr>
            </w:pPr>
          </w:p>
        </w:tc>
        <w:tc>
          <w:tcPr>
            <w:tcW w:w="1259"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74"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70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703.33</w:t>
            </w:r>
          </w:p>
        </w:tc>
        <w:tc>
          <w:tcPr>
            <w:tcW w:w="7141" w:type="dxa"/>
            <w:gridSpan w:val="5"/>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125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12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1065"/>
        <w:gridCol w:w="799"/>
        <w:gridCol w:w="584"/>
        <w:gridCol w:w="824"/>
        <w:gridCol w:w="795"/>
        <w:gridCol w:w="799"/>
        <w:gridCol w:w="1065"/>
        <w:gridCol w:w="802"/>
        <w:gridCol w:w="584"/>
        <w:gridCol w:w="82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773" w:type="dxa"/>
            <w:gridSpan w:val="1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106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8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06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0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8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106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8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99"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065"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0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58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824"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08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5690" w:type="dxa"/>
            <w:gridSpan w:val="6"/>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06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207"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79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06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210"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01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06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9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58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8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9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06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80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58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8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6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8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9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6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0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8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2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9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58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7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79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0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584"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82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w:t>
            </w:r>
          </w:p>
        </w:tc>
        <w:tc>
          <w:tcPr>
            <w:tcW w:w="16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773"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tbl>
      <w:tblPr>
        <w:tblStyle w:val="9"/>
        <w:tblW w:w="12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971"/>
        <w:gridCol w:w="326"/>
        <w:gridCol w:w="326"/>
        <w:gridCol w:w="1610"/>
        <w:gridCol w:w="503"/>
        <w:gridCol w:w="436"/>
        <w:gridCol w:w="616"/>
        <w:gridCol w:w="155"/>
        <w:gridCol w:w="771"/>
        <w:gridCol w:w="629"/>
        <w:gridCol w:w="31"/>
        <w:gridCol w:w="77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21" w:type="dxa"/>
            <w:gridSpan w:val="16"/>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rPr>
                <w:rFonts w:hint="eastAsia"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736" w:type="dxa"/>
            <w:gridSpan w:val="5"/>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gridSpan w:val="2"/>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60" w:type="dxa"/>
            <w:gridSpan w:val="2"/>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部门：溆浦县龙庄湾乡人民政府</w:t>
            </w: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222"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3736" w:type="dxa"/>
            <w:gridSpan w:val="5"/>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436"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gridSpan w:val="2"/>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660" w:type="dxa"/>
            <w:gridSpan w:val="2"/>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shd w:val="clear" w:color="auto" w:fill="FFFFFF"/>
            <w:vAlign w:val="bottom"/>
          </w:tcPr>
          <w:p>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196"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3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771"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2202" w:type="dxa"/>
            <w:gridSpan w:val="4"/>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1616"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3736" w:type="dxa"/>
            <w:gridSpan w:val="5"/>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660" w:type="dxa"/>
            <w:gridSpan w:val="2"/>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77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3736" w:type="dxa"/>
            <w:gridSpan w:val="5"/>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660" w:type="dxa"/>
            <w:gridSpan w:val="2"/>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3736" w:type="dxa"/>
            <w:gridSpan w:val="5"/>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43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660" w:type="dxa"/>
            <w:gridSpan w:val="2"/>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196" w:type="dxa"/>
            <w:gridSpan w:val="8"/>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43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71" w:type="dxa"/>
            <w:gridSpan w:val="2"/>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7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0" w:type="dxa"/>
            <w:gridSpan w:val="2"/>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7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196" w:type="dxa"/>
            <w:gridSpan w:val="8"/>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32.00</w:t>
            </w:r>
          </w:p>
        </w:tc>
        <w:tc>
          <w:tcPr>
            <w:tcW w:w="66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66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大中型水库移民后期扶持基金支出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66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2082202</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66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小型水库移民扶助基金安排的支出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2082302</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2120804</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农村基础设施建设支出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2296002</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用于社会福利的彩票公益金支出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2296003</w:t>
            </w:r>
          </w:p>
        </w:tc>
        <w:tc>
          <w:tcPr>
            <w:tcW w:w="3736" w:type="dxa"/>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43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660" w:type="dxa"/>
            <w:gridSpan w:val="2"/>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616"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21"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221" w:type="dxa"/>
            <w:gridSpan w:val="16"/>
            <w:tcBorders>
              <w:top w:val="nil"/>
              <w:left w:val="nil"/>
              <w:bottom w:val="nil"/>
              <w:right w:val="nil"/>
            </w:tcBorders>
            <w:shd w:val="clear" w:color="auto" w:fill="auto"/>
            <w:vAlign w:val="bottom"/>
          </w:tcPr>
          <w:p>
            <w:pPr>
              <w:keepNext w:val="0"/>
              <w:keepLines w:val="0"/>
              <w:widowControl/>
              <w:suppressLineNumbers w:val="0"/>
              <w:shd w:val="clear"/>
              <w:jc w:val="center"/>
              <w:textAlignment w:val="bottom"/>
              <w:rPr>
                <w:rFonts w:hint="eastAsia" w:ascii="宋体" w:hAnsi="宋体" w:eastAsia="宋体" w:cs="宋体"/>
                <w:i w:val="0"/>
                <w:iCs w:val="0"/>
                <w:color w:val="auto"/>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31" w:type="dxa"/>
            <w:gridSpan w:val="4"/>
            <w:tcBorders>
              <w:top w:val="nil"/>
              <w:left w:val="nil"/>
              <w:bottom w:val="nil"/>
              <w:right w:val="nil"/>
            </w:tcBorders>
            <w:shd w:val="clear" w:color="auto" w:fill="auto"/>
            <w:vAlign w:val="bottom"/>
          </w:tcPr>
          <w:p>
            <w:pPr>
              <w:shd w:val="clear"/>
              <w:rPr>
                <w:rFonts w:hint="eastAsia" w:ascii="Arial" w:hAnsi="Arial" w:cs="Arial"/>
                <w:i w:val="0"/>
                <w:iCs w:val="0"/>
                <w:color w:val="auto"/>
                <w:sz w:val="20"/>
                <w:szCs w:val="20"/>
                <w:u w:val="none"/>
              </w:rPr>
            </w:pPr>
          </w:p>
        </w:tc>
        <w:tc>
          <w:tcPr>
            <w:tcW w:w="326"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326"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610"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555" w:type="dxa"/>
            <w:gridSpan w:val="3"/>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555" w:type="dxa"/>
            <w:gridSpan w:val="3"/>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2418" w:type="dxa"/>
            <w:gridSpan w:val="3"/>
            <w:tcBorders>
              <w:top w:val="nil"/>
              <w:left w:val="nil"/>
              <w:bottom w:val="nil"/>
              <w:right w:val="nil"/>
            </w:tcBorders>
            <w:shd w:val="clear" w:color="auto" w:fill="auto"/>
            <w:vAlign w:val="bottom"/>
          </w:tcPr>
          <w:p>
            <w:pPr>
              <w:keepNext w:val="0"/>
              <w:keepLines w:val="0"/>
              <w:widowControl/>
              <w:suppressLineNumbers w:val="0"/>
              <w:shd w:val="clear"/>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31" w:type="dxa"/>
            <w:gridSpan w:val="4"/>
            <w:tcBorders>
              <w:top w:val="nil"/>
              <w:left w:val="nil"/>
              <w:bottom w:val="nil"/>
              <w:right w:val="nil"/>
            </w:tcBorders>
            <w:shd w:val="clear" w:color="auto" w:fill="auto"/>
            <w:vAlign w:val="bottom"/>
          </w:tcPr>
          <w:p>
            <w:pPr>
              <w:keepNext w:val="0"/>
              <w:keepLines w:val="0"/>
              <w:widowControl/>
              <w:suppressLineNumbers w:val="0"/>
              <w:shd w:val="clear"/>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部门：溆浦县小横垅乡人民政府</w:t>
            </w:r>
          </w:p>
        </w:tc>
        <w:tc>
          <w:tcPr>
            <w:tcW w:w="326"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326"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610" w:type="dxa"/>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555" w:type="dxa"/>
            <w:gridSpan w:val="3"/>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1555" w:type="dxa"/>
            <w:gridSpan w:val="3"/>
            <w:tcBorders>
              <w:top w:val="nil"/>
              <w:left w:val="nil"/>
              <w:bottom w:val="nil"/>
              <w:right w:val="nil"/>
            </w:tcBorders>
            <w:shd w:val="clear" w:color="auto" w:fill="auto"/>
            <w:vAlign w:val="bottom"/>
          </w:tcPr>
          <w:p>
            <w:pPr>
              <w:shd w:val="clear"/>
              <w:rPr>
                <w:rFonts w:hint="default" w:ascii="Arial" w:hAnsi="Arial" w:cs="Arial"/>
                <w:i w:val="0"/>
                <w:iCs w:val="0"/>
                <w:color w:val="auto"/>
                <w:sz w:val="20"/>
                <w:szCs w:val="20"/>
                <w:u w:val="none"/>
              </w:rPr>
            </w:pPr>
          </w:p>
        </w:tc>
        <w:tc>
          <w:tcPr>
            <w:tcW w:w="2418" w:type="dxa"/>
            <w:gridSpan w:val="3"/>
            <w:tcBorders>
              <w:top w:val="nil"/>
              <w:left w:val="nil"/>
              <w:bottom w:val="nil"/>
              <w:right w:val="nil"/>
            </w:tcBorders>
            <w:shd w:val="clear" w:color="auto" w:fill="auto"/>
            <w:vAlign w:val="bottom"/>
          </w:tcPr>
          <w:p>
            <w:pPr>
              <w:keepNext w:val="0"/>
              <w:keepLines w:val="0"/>
              <w:widowControl/>
              <w:suppressLineNumbers w:val="0"/>
              <w:shd w:val="clear"/>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528"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16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555"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555"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2418"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61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555"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555"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2418"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61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555"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1555"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c>
          <w:tcPr>
            <w:tcW w:w="2418" w:type="dxa"/>
            <w:gridSpan w:val="3"/>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93"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5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1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93"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b/>
                <w:bCs/>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b/>
                <w:bCs/>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83" w:type="dxa"/>
            <w:gridSpan w:val="6"/>
            <w:tcBorders>
              <w:top w:val="nil"/>
              <w:left w:val="single" w:color="000000" w:sz="4" w:space="0"/>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610" w:type="dxa"/>
            <w:tcBorders>
              <w:top w:val="nil"/>
              <w:left w:val="nil"/>
              <w:bottom w:val="single" w:color="000000" w:sz="4" w:space="0"/>
              <w:right w:val="single" w:color="000000" w:sz="4" w:space="0"/>
            </w:tcBorders>
            <w:shd w:val="clear" w:color="auto" w:fill="auto"/>
            <w:vAlign w:val="center"/>
          </w:tcPr>
          <w:p>
            <w:pPr>
              <w:shd w:val="clear"/>
              <w:jc w:val="lef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1555"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c>
          <w:tcPr>
            <w:tcW w:w="2418" w:type="dxa"/>
            <w:gridSpan w:val="3"/>
            <w:tcBorders>
              <w:top w:val="nil"/>
              <w:left w:val="nil"/>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21" w:type="dxa"/>
            <w:gridSpan w:val="16"/>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bl>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left"/>
        <w:rPr>
          <w:rFonts w:hint="eastAsia" w:ascii="黑体" w:hAnsi="黑体" w:eastAsia="黑体"/>
          <w:color w:val="auto"/>
          <w:sz w:val="28"/>
          <w:szCs w:val="28"/>
          <w:lang w:val="en-US" w:eastAsia="zh-CN"/>
        </w:rPr>
      </w:pPr>
    </w:p>
    <w:p>
      <w:pPr>
        <w:jc w:val="center"/>
        <w:rPr>
          <w:rFonts w:hint="eastAsia" w:ascii="黑体" w:hAnsi="黑体" w:eastAsia="黑体"/>
          <w:color w:val="auto"/>
          <w:sz w:val="28"/>
          <w:szCs w:val="28"/>
          <w:lang w:val="en-US" w:eastAsia="zh-CN"/>
        </w:rPr>
        <w:sectPr>
          <w:pgSz w:w="16838" w:h="11906" w:orient="landscape"/>
          <w:pgMar w:top="1797" w:right="1440" w:bottom="1797" w:left="1440" w:header="851" w:footer="992" w:gutter="0"/>
          <w:cols w:space="425" w:num="1"/>
          <w:docGrid w:type="linesAndChars" w:linePitch="312" w:charSpace="0"/>
        </w:sectPr>
      </w:pPr>
    </w:p>
    <w:p>
      <w:pPr>
        <w:widowControl/>
        <w:rPr>
          <w:rFonts w:ascii="Times New Roman" w:hAnsi="Times New Roman" w:eastAsia="方正小标宋_GBK" w:cs="Times New Roman"/>
          <w:color w:val="auto"/>
          <w:kern w:val="0"/>
          <w:sz w:val="36"/>
          <w:szCs w:val="36"/>
        </w:rPr>
      </w:pPr>
    </w:p>
    <w:p>
      <w:pPr>
        <w:widowControl/>
        <w:rPr>
          <w:rFonts w:ascii="Times New Roman" w:hAnsi="Times New Roman" w:eastAsia="方正小标宋_GBK" w:cs="Times New Roman"/>
          <w:color w:val="auto"/>
          <w:kern w:val="0"/>
          <w:sz w:val="36"/>
          <w:szCs w:val="36"/>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pStyle w:val="13"/>
        <w:jc w:val="center"/>
        <w:rPr>
          <w:color w:val="auto"/>
          <w:sz w:val="72"/>
          <w:szCs w:val="72"/>
        </w:rPr>
      </w:pPr>
    </w:p>
    <w:p>
      <w:pPr>
        <w:pStyle w:val="13"/>
        <w:jc w:val="center"/>
        <w:rPr>
          <w:color w:val="auto"/>
          <w:sz w:val="72"/>
          <w:szCs w:val="72"/>
        </w:rPr>
      </w:pPr>
      <w:r>
        <w:rPr>
          <w:rFonts w:hint="eastAsia"/>
          <w:color w:val="auto"/>
          <w:sz w:val="72"/>
          <w:szCs w:val="72"/>
        </w:rPr>
        <w:t>第三部分</w:t>
      </w:r>
    </w:p>
    <w:p>
      <w:pPr>
        <w:pStyle w:val="13"/>
        <w:jc w:val="center"/>
        <w:rPr>
          <w:color w:val="auto"/>
          <w:sz w:val="70"/>
          <w:szCs w:val="70"/>
        </w:rPr>
      </w:pPr>
    </w:p>
    <w:p>
      <w:pPr>
        <w:pStyle w:val="13"/>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3"/>
        <w:rPr>
          <w:rFonts w:asciiTheme="minorEastAsia" w:hAnsiTheme="minorEastAsia" w:eastAsiaTheme="minorEastAsia"/>
          <w:color w:val="auto"/>
          <w:sz w:val="32"/>
          <w:szCs w:val="32"/>
        </w:rPr>
      </w:pPr>
    </w:p>
    <w:p>
      <w:pPr>
        <w:pStyle w:val="13"/>
        <w:rPr>
          <w:rFonts w:hAnsi="黑体"/>
          <w:b/>
          <w:color w:val="auto"/>
          <w:sz w:val="32"/>
          <w:szCs w:val="32"/>
        </w:rPr>
      </w:pPr>
      <w:r>
        <w:rPr>
          <w:rFonts w:hint="eastAsia" w:hAnsi="黑体"/>
          <w:b/>
          <w:color w:val="auto"/>
          <w:sz w:val="32"/>
          <w:szCs w:val="32"/>
        </w:rPr>
        <w:t>一、收入支出决算总体情况说明</w:t>
      </w:r>
    </w:p>
    <w:p>
      <w:pPr>
        <w:pStyle w:val="13"/>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2021年度收、支总计</w:t>
      </w:r>
      <w:r>
        <w:rPr>
          <w:rFonts w:hint="eastAsia" w:asciiTheme="minorEastAsia" w:hAnsiTheme="minorEastAsia" w:eastAsiaTheme="minorEastAsia"/>
          <w:color w:val="auto"/>
          <w:sz w:val="32"/>
          <w:szCs w:val="32"/>
          <w:lang w:val="en-US" w:eastAsia="zh-CN"/>
        </w:rPr>
        <w:t>1126.46</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215.57</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eastAsia="zh-CN"/>
        </w:rPr>
        <w:t>23.6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2021年度单位工作人员人数增加，因此各方面费用有所增加。</w:t>
      </w:r>
    </w:p>
    <w:p>
      <w:pPr>
        <w:pStyle w:val="13"/>
        <w:rPr>
          <w:rFonts w:hAnsi="黑体"/>
          <w:b/>
          <w:color w:val="auto"/>
          <w:sz w:val="32"/>
          <w:szCs w:val="32"/>
        </w:rPr>
      </w:pPr>
      <w:r>
        <w:rPr>
          <w:rFonts w:hint="eastAsia" w:hAnsi="黑体"/>
          <w:b/>
          <w:color w:val="auto"/>
          <w:sz w:val="32"/>
          <w:szCs w:val="32"/>
        </w:rPr>
        <w:t>二、收入决算情况说明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w:t>
      </w:r>
      <w:r>
        <w:rPr>
          <w:rFonts w:hint="eastAsia" w:asciiTheme="minorEastAsia" w:hAnsiTheme="minorEastAsia" w:eastAsiaTheme="minorEastAsia"/>
          <w:color w:val="auto"/>
          <w:sz w:val="32"/>
          <w:szCs w:val="32"/>
          <w:lang w:val="en-US" w:eastAsia="zh-CN"/>
        </w:rPr>
        <w:t>1126.46</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1126.46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%；上级补助收入0万元，占0%；事业收入0万元，占0%；经营收入0万元，占0%；附属单位上缴收入0万元，占0%；其他收入0万元，占0%。</w:t>
      </w:r>
    </w:p>
    <w:p>
      <w:pPr>
        <w:pStyle w:val="13"/>
        <w:rPr>
          <w:rFonts w:hAnsi="黑体"/>
          <w:b/>
          <w:color w:val="auto"/>
          <w:sz w:val="32"/>
          <w:szCs w:val="32"/>
        </w:rPr>
      </w:pPr>
      <w:r>
        <w:rPr>
          <w:rFonts w:hint="eastAsia" w:hAnsi="黑体"/>
          <w:b/>
          <w:color w:val="auto"/>
          <w:sz w:val="32"/>
          <w:szCs w:val="32"/>
        </w:rPr>
        <w:t>三、支出决算情况说明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w:t>
      </w:r>
      <w:r>
        <w:rPr>
          <w:rFonts w:hint="eastAsia" w:asciiTheme="minorEastAsia" w:hAnsiTheme="minorEastAsia" w:eastAsiaTheme="minorEastAsia"/>
          <w:color w:val="auto"/>
          <w:sz w:val="32"/>
          <w:szCs w:val="32"/>
          <w:lang w:val="en-US" w:eastAsia="zh-CN"/>
        </w:rPr>
        <w:t>1126.46</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851.87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75.6</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274.59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24.4</w:t>
      </w:r>
      <w:r>
        <w:rPr>
          <w:rFonts w:hint="eastAsia" w:asciiTheme="minorEastAsia" w:hAnsiTheme="minorEastAsia" w:eastAsiaTheme="minorEastAsia"/>
          <w:color w:val="auto"/>
          <w:sz w:val="32"/>
          <w:szCs w:val="32"/>
        </w:rPr>
        <w:t>%；上缴上级支出0万元，占0%；经营支出0万元，占0%；对附属单位补助支出0万元，占0%。</w:t>
      </w:r>
    </w:p>
    <w:p>
      <w:pPr>
        <w:pStyle w:val="13"/>
        <w:rPr>
          <w:rFonts w:hAnsi="黑体"/>
          <w:b/>
          <w:color w:val="auto"/>
          <w:sz w:val="32"/>
          <w:szCs w:val="32"/>
        </w:rPr>
      </w:pPr>
      <w:r>
        <w:rPr>
          <w:rFonts w:hint="eastAsia" w:hAnsi="黑体"/>
          <w:b/>
          <w:color w:val="auto"/>
          <w:sz w:val="32"/>
          <w:szCs w:val="32"/>
        </w:rPr>
        <w:t>四、财政拨款收入支出决算总体情况说明</w:t>
      </w:r>
    </w:p>
    <w:p>
      <w:pPr>
        <w:pStyle w:val="13"/>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 xml:space="preserve">    2021年度财政拨款收、支总计</w:t>
      </w:r>
      <w:r>
        <w:rPr>
          <w:rFonts w:hint="eastAsia" w:asciiTheme="minorEastAsia" w:hAnsiTheme="minorEastAsia" w:eastAsiaTheme="minorEastAsia"/>
          <w:color w:val="auto"/>
          <w:sz w:val="32"/>
          <w:szCs w:val="32"/>
          <w:lang w:val="en-US" w:eastAsia="zh-CN"/>
        </w:rPr>
        <w:t>1126.46</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215.57</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23.7</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2021年度单位工作人员人数增加，因此各方面费用有所增加。</w:t>
      </w:r>
    </w:p>
    <w:p>
      <w:pPr>
        <w:pStyle w:val="13"/>
        <w:rPr>
          <w:rFonts w:hAnsi="黑体"/>
          <w:b/>
          <w:color w:val="auto"/>
          <w:sz w:val="32"/>
          <w:szCs w:val="32"/>
        </w:rPr>
      </w:pPr>
      <w:r>
        <w:rPr>
          <w:rFonts w:hint="eastAsia" w:hAnsi="黑体"/>
          <w:b/>
          <w:color w:val="auto"/>
          <w:sz w:val="32"/>
          <w:szCs w:val="32"/>
        </w:rPr>
        <w:t>五、一般公共预算财政拨款支出决算情况说明</w:t>
      </w: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1094.46</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97</w:t>
      </w:r>
      <w:r>
        <w:rPr>
          <w:rFonts w:hint="eastAsia" w:asciiTheme="minorEastAsia" w:hAnsiTheme="minorEastAsia" w:eastAsiaTheme="minorEastAsia"/>
          <w:color w:val="auto"/>
          <w:sz w:val="32"/>
          <w:szCs w:val="32"/>
        </w:rPr>
        <w:t>%，与上年相比，财政拨款支出增加</w:t>
      </w:r>
      <w:r>
        <w:rPr>
          <w:rFonts w:hint="eastAsia" w:asciiTheme="minorEastAsia" w:hAnsiTheme="minorEastAsia" w:eastAsiaTheme="minorEastAsia"/>
          <w:color w:val="auto"/>
          <w:sz w:val="32"/>
          <w:szCs w:val="32"/>
          <w:lang w:val="en-US" w:eastAsia="zh-CN"/>
        </w:rPr>
        <w:t>330.3</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2021年度单位工作人员人数增加，因此各方面费用有所增加。</w:t>
      </w:r>
    </w:p>
    <w:p>
      <w:pPr>
        <w:pStyle w:val="13"/>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3"/>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1094.46</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482.95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44.1</w:t>
      </w:r>
      <w:r>
        <w:rPr>
          <w:rFonts w:hint="eastAsia" w:asciiTheme="minorEastAsia" w:hAnsiTheme="minorEastAsia" w:eastAsiaTheme="minorEastAsia"/>
          <w:color w:val="auto"/>
          <w:sz w:val="32"/>
          <w:szCs w:val="32"/>
        </w:rPr>
        <w:t>%；公共安全支出（类）支出</w:t>
      </w:r>
      <w:r>
        <w:rPr>
          <w:rFonts w:hint="eastAsia" w:asciiTheme="minorEastAsia" w:hAnsiTheme="minorEastAsia" w:eastAsiaTheme="minorEastAsia"/>
          <w:color w:val="auto"/>
          <w:sz w:val="32"/>
          <w:szCs w:val="32"/>
          <w:lang w:val="en-US" w:eastAsia="zh-CN"/>
        </w:rPr>
        <w:t>11.16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%;文化旅游体育与传媒支出（类）支出</w:t>
      </w:r>
      <w:r>
        <w:rPr>
          <w:rFonts w:hint="eastAsia" w:asciiTheme="minorEastAsia" w:hAnsiTheme="minorEastAsia" w:eastAsiaTheme="minorEastAsia"/>
          <w:color w:val="auto"/>
          <w:sz w:val="32"/>
          <w:szCs w:val="32"/>
          <w:lang w:val="en-US" w:eastAsia="zh-CN"/>
        </w:rPr>
        <w:t>68.5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6.3</w:t>
      </w:r>
      <w:r>
        <w:rPr>
          <w:rFonts w:hint="eastAsia" w:asciiTheme="minorEastAsia" w:hAnsiTheme="minorEastAsia" w:eastAsiaTheme="minorEastAsia"/>
          <w:color w:val="auto"/>
          <w:sz w:val="32"/>
          <w:szCs w:val="32"/>
        </w:rPr>
        <w:t>%;社会保障和就业支出（类）支出</w:t>
      </w:r>
      <w:r>
        <w:rPr>
          <w:rFonts w:hint="eastAsia" w:asciiTheme="minorEastAsia" w:hAnsiTheme="minorEastAsia" w:eastAsiaTheme="minorEastAsia"/>
          <w:color w:val="auto"/>
          <w:sz w:val="32"/>
          <w:szCs w:val="32"/>
          <w:lang w:val="en-US" w:eastAsia="zh-CN"/>
        </w:rPr>
        <w:t>74.09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6.8</w:t>
      </w:r>
      <w:r>
        <w:rPr>
          <w:rFonts w:hint="eastAsia" w:asciiTheme="minorEastAsia" w:hAnsiTheme="minorEastAsia" w:eastAsiaTheme="minorEastAsia"/>
          <w:color w:val="auto"/>
          <w:sz w:val="32"/>
          <w:szCs w:val="32"/>
        </w:rPr>
        <w:t>%;卫生健康支出（类）支出</w:t>
      </w:r>
      <w:r>
        <w:rPr>
          <w:rFonts w:hint="eastAsia" w:asciiTheme="minorEastAsia" w:hAnsiTheme="minorEastAsia" w:eastAsiaTheme="minorEastAsia"/>
          <w:color w:val="auto"/>
          <w:sz w:val="32"/>
          <w:szCs w:val="32"/>
          <w:lang w:val="en-US" w:eastAsia="zh-CN"/>
        </w:rPr>
        <w:t>29.42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2.7</w:t>
      </w:r>
      <w:r>
        <w:rPr>
          <w:rFonts w:hint="eastAsia" w:asciiTheme="minorEastAsia" w:hAnsiTheme="minorEastAsia" w:eastAsiaTheme="minorEastAsia"/>
          <w:color w:val="auto"/>
          <w:sz w:val="32"/>
          <w:szCs w:val="32"/>
        </w:rPr>
        <w:t>%;城乡社区支出（类）支出</w:t>
      </w:r>
      <w:r>
        <w:rPr>
          <w:rFonts w:hint="eastAsia" w:asciiTheme="minorEastAsia" w:hAnsiTheme="minorEastAsia" w:eastAsiaTheme="minorEastAsia"/>
          <w:color w:val="auto"/>
          <w:sz w:val="32"/>
          <w:szCs w:val="32"/>
          <w:lang w:val="en-US" w:eastAsia="zh-CN"/>
        </w:rPr>
        <w:t>28.87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2.6</w:t>
      </w:r>
      <w:r>
        <w:rPr>
          <w:rFonts w:hint="eastAsia" w:asciiTheme="minorEastAsia" w:hAnsiTheme="minorEastAsia" w:eastAsiaTheme="minorEastAsia"/>
          <w:color w:val="auto"/>
          <w:sz w:val="32"/>
          <w:szCs w:val="32"/>
        </w:rPr>
        <w:t>%;农林水支出（类）支出</w:t>
      </w:r>
      <w:r>
        <w:rPr>
          <w:rFonts w:hint="eastAsia" w:asciiTheme="minorEastAsia" w:hAnsiTheme="minorEastAsia" w:eastAsiaTheme="minorEastAsia"/>
          <w:color w:val="auto"/>
          <w:sz w:val="32"/>
          <w:szCs w:val="32"/>
          <w:lang w:val="en-US" w:eastAsia="zh-CN"/>
        </w:rPr>
        <w:t>335.28</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30.6</w:t>
      </w:r>
      <w:r>
        <w:rPr>
          <w:rFonts w:hint="eastAsia" w:asciiTheme="minorEastAsia" w:hAnsiTheme="minorEastAsia" w:eastAsiaTheme="minorEastAsia"/>
          <w:color w:val="auto"/>
          <w:sz w:val="32"/>
          <w:szCs w:val="32"/>
        </w:rPr>
        <w:t>%;交通运输支出（类）支出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1.4</w:t>
      </w:r>
      <w:r>
        <w:rPr>
          <w:rFonts w:hint="eastAsia" w:asciiTheme="minorEastAsia" w:hAnsiTheme="minorEastAsia" w:eastAsiaTheme="minorEastAsia"/>
          <w:color w:val="auto"/>
          <w:sz w:val="32"/>
          <w:szCs w:val="32"/>
        </w:rPr>
        <w:t>%;住房保障支出（类）支出</w:t>
      </w:r>
      <w:r>
        <w:rPr>
          <w:rFonts w:hint="eastAsia" w:asciiTheme="minorEastAsia" w:hAnsiTheme="minorEastAsia" w:eastAsiaTheme="minorEastAsia"/>
          <w:color w:val="auto"/>
          <w:sz w:val="32"/>
          <w:szCs w:val="32"/>
          <w:lang w:val="en-US" w:eastAsia="zh-CN"/>
        </w:rPr>
        <w:t>15.54</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1.4</w:t>
      </w:r>
      <w:r>
        <w:rPr>
          <w:rFonts w:hint="eastAsia" w:asciiTheme="minorEastAsia" w:hAnsiTheme="minorEastAsia" w:eastAsiaTheme="minorEastAsia"/>
          <w:color w:val="auto"/>
          <w:sz w:val="32"/>
          <w:szCs w:val="32"/>
        </w:rPr>
        <w:t>%;灾害防治及应急管理支出（类）支出</w:t>
      </w:r>
      <w:r>
        <w:rPr>
          <w:rFonts w:hint="eastAsia" w:asciiTheme="minorEastAsia" w:hAnsiTheme="minorEastAsia" w:eastAsiaTheme="minorEastAsia"/>
          <w:color w:val="auto"/>
          <w:sz w:val="32"/>
          <w:szCs w:val="32"/>
          <w:lang w:val="en-US" w:eastAsia="zh-CN"/>
        </w:rPr>
        <w:t>33.65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13"/>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w:t>
      </w:r>
      <w:r>
        <w:rPr>
          <w:rFonts w:hint="eastAsia" w:asciiTheme="minorEastAsia" w:hAnsiTheme="minorEastAsia" w:eastAsiaTheme="minorEastAsia"/>
          <w:color w:val="auto"/>
          <w:sz w:val="32"/>
          <w:szCs w:val="32"/>
          <w:lang w:val="en-US" w:eastAsia="zh-CN"/>
        </w:rPr>
        <w:t>544.16</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1094.46</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201</w:t>
      </w:r>
      <w:r>
        <w:rPr>
          <w:rFonts w:hint="eastAsia" w:asciiTheme="minorEastAsia" w:hAnsiTheme="minorEastAsia" w:eastAsiaTheme="minorEastAsia"/>
          <w:color w:val="auto"/>
          <w:sz w:val="32"/>
          <w:szCs w:val="32"/>
        </w:rPr>
        <w:t>%，其中：</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rPr>
        <w:t>、一般公共服务（类）人大事务（款）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0.97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344.49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318.72</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rPr>
        <w:t>完成年初预算的</w:t>
      </w:r>
      <w:r>
        <w:rPr>
          <w:rFonts w:hint="eastAsia" w:asciiTheme="minorEastAsia" w:hAnsiTheme="minorEastAsia" w:eastAsiaTheme="minorEastAsia"/>
          <w:color w:val="auto"/>
          <w:sz w:val="32"/>
          <w:szCs w:val="32"/>
          <w:lang w:val="en-US" w:eastAsia="zh-CN"/>
        </w:rPr>
        <w:t>93</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val="en-US" w:eastAsia="zh-CN"/>
        </w:rPr>
        <w:t>小</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政府运行</w:t>
      </w:r>
      <w:r>
        <w:rPr>
          <w:rFonts w:hint="eastAsia" w:asciiTheme="minorEastAsia" w:hAnsiTheme="minorEastAsia" w:eastAsiaTheme="minorEastAsia"/>
          <w:color w:val="auto"/>
          <w:sz w:val="32"/>
          <w:szCs w:val="32"/>
        </w:rPr>
        <w:t>办公经费等</w:t>
      </w:r>
      <w:r>
        <w:rPr>
          <w:rFonts w:hint="eastAsia" w:asciiTheme="minorEastAsia" w:hAnsiTheme="minorEastAsia" w:eastAsiaTheme="minorEastAsia"/>
          <w:color w:val="auto"/>
          <w:sz w:val="32"/>
          <w:szCs w:val="32"/>
          <w:lang w:val="en-US" w:eastAsia="zh-CN"/>
        </w:rPr>
        <w:t>费用部分在一般行政管理事务和</w:t>
      </w:r>
      <w:r>
        <w:rPr>
          <w:rFonts w:hint="eastAsia" w:asciiTheme="minorEastAsia" w:hAnsiTheme="minorEastAsia" w:eastAsiaTheme="minorEastAsia"/>
          <w:color w:val="auto"/>
          <w:sz w:val="32"/>
          <w:szCs w:val="32"/>
        </w:rPr>
        <w:t>其他政府办公厅（室）及相关机构事务支出</w:t>
      </w:r>
      <w:r>
        <w:rPr>
          <w:rFonts w:hint="eastAsia" w:asciiTheme="minorEastAsia" w:hAnsiTheme="minorEastAsia" w:eastAsiaTheme="minorEastAsia"/>
          <w:color w:val="auto"/>
          <w:sz w:val="32"/>
          <w:szCs w:val="32"/>
          <w:lang w:val="en-US" w:eastAsia="zh-CN"/>
        </w:rPr>
        <w:t>中进行计算</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、一般公共服务（类）政府办公厅（室）及相关机构事务（款）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28.44</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、一般公共服务（类）政府办公厅（室）及相关机构事务（款）其他政府办公厅（室）及相关机构事务支出（项）。</w:t>
      </w:r>
    </w:p>
    <w:p>
      <w:pPr>
        <w:pStyle w:val="13"/>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90.42</w:t>
      </w:r>
      <w:r>
        <w:rPr>
          <w:rFonts w:hint="eastAsia" w:asciiTheme="minorEastAsia" w:hAnsiTheme="minorEastAsia" w:eastAsiaTheme="minorEastAsia"/>
          <w:color w:val="auto"/>
          <w:sz w:val="32"/>
          <w:szCs w:val="32"/>
        </w:rPr>
        <w:t>万元，决算数大于年初预算数的主要原因是由于将事业单位的开支放在此项计算，年初预算放在事业运行计算，同时办公经费等开支增加了</w:t>
      </w:r>
      <w:r>
        <w:rPr>
          <w:rFonts w:hint="eastAsia" w:asciiTheme="minorEastAsia" w:hAnsiTheme="minorEastAsia" w:eastAsiaTheme="minorEastAsia"/>
          <w:color w:val="auto"/>
          <w:sz w:val="32"/>
          <w:szCs w:val="32"/>
          <w:lang w:eastAsia="zh-CN"/>
        </w:rPr>
        <w:t>。</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统计信息事务</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专项普查活动</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年初预算为0万元，支出决算为1万元，决算数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、一般公共服务（类）财政事务（室）行政运行（项）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30.13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35.23</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rPr>
        <w:t>完成年初预算的</w:t>
      </w:r>
      <w:r>
        <w:rPr>
          <w:rFonts w:hint="eastAsia" w:asciiTheme="minorEastAsia" w:hAnsiTheme="minorEastAsia" w:eastAsiaTheme="minorEastAsia"/>
          <w:color w:val="auto"/>
          <w:sz w:val="32"/>
          <w:szCs w:val="32"/>
          <w:lang w:val="en-US" w:eastAsia="zh-CN"/>
        </w:rPr>
        <w:t>117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val="en-US"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val="en-US" w:eastAsia="zh-CN"/>
        </w:rPr>
        <w:t>办公</w:t>
      </w:r>
      <w:r>
        <w:rPr>
          <w:rFonts w:hint="eastAsia" w:asciiTheme="minorEastAsia" w:hAnsiTheme="minorEastAsia" w:eastAsiaTheme="minorEastAsia"/>
          <w:color w:val="auto"/>
          <w:sz w:val="32"/>
          <w:szCs w:val="32"/>
          <w:lang w:eastAsia="zh-CN"/>
        </w:rPr>
        <w:t>经费</w:t>
      </w:r>
      <w:r>
        <w:rPr>
          <w:rFonts w:hint="eastAsia" w:asciiTheme="minorEastAsia" w:hAnsiTheme="minorEastAsia" w:eastAsiaTheme="minorEastAsia"/>
          <w:color w:val="auto"/>
          <w:sz w:val="32"/>
          <w:szCs w:val="32"/>
        </w:rPr>
        <w:t>等</w:t>
      </w:r>
      <w:r>
        <w:rPr>
          <w:rFonts w:hint="eastAsia" w:asciiTheme="minorEastAsia" w:hAnsiTheme="minorEastAsia" w:eastAsiaTheme="minorEastAsia"/>
          <w:color w:val="auto"/>
          <w:sz w:val="32"/>
          <w:szCs w:val="32"/>
          <w:lang w:val="en-US" w:eastAsia="zh-CN"/>
        </w:rPr>
        <w:t>开支有所增加</w:t>
      </w:r>
      <w:r>
        <w:rPr>
          <w:rFonts w:hint="eastAsia" w:asciiTheme="minorEastAsia" w:hAnsiTheme="minorEastAsia" w:eastAsiaTheme="minorEastAsia"/>
          <w:color w:val="auto"/>
          <w:sz w:val="32"/>
          <w:szCs w:val="32"/>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、一般公共服务（类）财政事务（室）一般行政管理事务（项）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5.77</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8</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纪检监察事务</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2.4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公共安全支出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公安</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10.56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w:t>
      </w:r>
      <w:r>
        <w:rPr>
          <w:rFonts w:hint="eastAsia" w:asciiTheme="minorEastAsia" w:hAnsiTheme="minorEastAsia" w:eastAsiaTheme="minorEastAsia"/>
          <w:color w:val="auto"/>
          <w:sz w:val="32"/>
          <w:szCs w:val="32"/>
          <w:lang w:eastAsia="zh-CN"/>
        </w:rPr>
        <w:t>公共安全</w:t>
      </w:r>
      <w:r>
        <w:rPr>
          <w:rFonts w:hint="eastAsia" w:asciiTheme="minorEastAsia" w:hAnsiTheme="minorEastAsia" w:eastAsiaTheme="minorEastAsia"/>
          <w:color w:val="auto"/>
          <w:sz w:val="32"/>
          <w:szCs w:val="32"/>
          <w:lang w:val="en-US" w:eastAsia="zh-CN"/>
        </w:rPr>
        <w:t>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公安</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其他公安支出</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0.6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11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文化旅游体育与传媒支出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文化和旅游</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其他文化和旅游支出</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10.5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rPr>
        <w:t>、文化旅游体育与传媒支出（类）文物（室）历史名城与古迹（项）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、文化旅游体育与传媒支出（类）其他文化旅游体育与传媒支出（室）其他文化旅游体育与传媒支出（项）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eastAsia="Times New Roman" w:asciiTheme="minorEastAsia" w:hAnsi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、社会保障和就业支出（类）行政事业单位养老支出（室）机关事业单位基本养老保险缴费支出（项）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32.69</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、社会保障和就业支出（类）抚恤（室）死亡抚恤（项）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2.67</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社会福利</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老年福利</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11.47</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特困人员救助供养</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农村特困人员救助供养支出</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8.71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、社会保障和就业支出（类）抚恤（款）其他优抚支出（项）。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万元，决算数大于（小于）年初预算数的主要原因是：</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19</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财政对基本养老保险基金的补助</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财政对其他基本养老保险基金的补助</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color w:val="auto"/>
          <w:sz w:val="32"/>
          <w:szCs w:val="32"/>
        </w:rPr>
        <w:t>、社会保障和就业支出（类）退役</w:t>
      </w:r>
      <w:r>
        <w:rPr>
          <w:rFonts w:hint="eastAsia" w:asciiTheme="minorEastAsia" w:hAnsiTheme="minorEastAsia" w:eastAsiaTheme="minorEastAsia"/>
          <w:color w:val="auto"/>
          <w:sz w:val="32"/>
          <w:szCs w:val="32"/>
          <w:lang w:eastAsia="zh-CN"/>
        </w:rPr>
        <w:t>军人管理事务</w:t>
      </w:r>
      <w:r>
        <w:rPr>
          <w:rFonts w:hint="eastAsia" w:asciiTheme="minorEastAsia" w:hAnsiTheme="minorEastAsia" w:eastAsiaTheme="minorEastAsia"/>
          <w:color w:val="auto"/>
          <w:sz w:val="32"/>
          <w:szCs w:val="32"/>
        </w:rPr>
        <w:t>（室）其他退役</w:t>
      </w:r>
      <w:r>
        <w:rPr>
          <w:rFonts w:hint="eastAsia" w:asciiTheme="minorEastAsia" w:hAnsiTheme="minorEastAsia" w:eastAsiaTheme="minorEastAsia"/>
          <w:color w:val="auto"/>
          <w:sz w:val="32"/>
          <w:szCs w:val="32"/>
          <w:lang w:eastAsia="zh-CN"/>
        </w:rPr>
        <w:t>军人事务管理</w:t>
      </w:r>
      <w:r>
        <w:rPr>
          <w:rFonts w:hint="eastAsia" w:asciiTheme="minorEastAsia" w:hAnsiTheme="minorEastAsia" w:eastAsiaTheme="minorEastAsia"/>
          <w:color w:val="auto"/>
          <w:sz w:val="32"/>
          <w:szCs w:val="32"/>
        </w:rPr>
        <w:t>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2.4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21</w:t>
      </w:r>
      <w:r>
        <w:rPr>
          <w:rFonts w:hint="eastAsia" w:asciiTheme="minorEastAsia" w:hAnsiTheme="minorEastAsia" w:eastAsiaTheme="minorEastAsia"/>
          <w:color w:val="auto"/>
          <w:sz w:val="32"/>
          <w:szCs w:val="32"/>
        </w:rPr>
        <w:t>、卫生健康支出（类）公共卫生（室）精神卫生机构（项）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1.14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22</w:t>
      </w:r>
      <w:r>
        <w:rPr>
          <w:rFonts w:hint="eastAsia" w:asciiTheme="minorEastAsia" w:hAnsiTheme="minorEastAsia" w:eastAsiaTheme="minorEastAsia"/>
          <w:color w:val="auto"/>
          <w:sz w:val="32"/>
          <w:szCs w:val="32"/>
        </w:rPr>
        <w:t>、卫生健康支出（类）公共卫生（室）</w:t>
      </w:r>
      <w:r>
        <w:rPr>
          <w:rFonts w:hint="eastAsia" w:asciiTheme="minorEastAsia" w:hAnsiTheme="minorEastAsia" w:eastAsiaTheme="minorEastAsia"/>
          <w:color w:val="auto"/>
          <w:sz w:val="32"/>
          <w:szCs w:val="32"/>
          <w:lang w:eastAsia="zh-CN"/>
        </w:rPr>
        <w:t>基本公共卫生服务</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1.19</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、卫生健康支出（类）公共卫生（室）</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3.14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、卫生健康支出（类）计划生育事务（室）计划生育机构（项）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5.04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将计生办工资福利支出放在此项计算。</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、卫生健康支出（类）计划生育事务（室）计划生育服务（项）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将计生办办公经费等</w:t>
      </w:r>
      <w:r>
        <w:rPr>
          <w:rFonts w:hint="eastAsia" w:asciiTheme="minorEastAsia" w:hAnsiTheme="minorEastAsia" w:eastAsiaTheme="minorEastAsia"/>
          <w:color w:val="auto"/>
          <w:sz w:val="32"/>
          <w:szCs w:val="32"/>
          <w:lang w:eastAsia="zh-CN"/>
        </w:rPr>
        <w:t>部分经费</w:t>
      </w:r>
      <w:r>
        <w:rPr>
          <w:rFonts w:hint="eastAsia" w:asciiTheme="minorEastAsia" w:hAnsiTheme="minorEastAsia" w:eastAsiaTheme="minorEastAsia"/>
          <w:color w:val="auto"/>
          <w:sz w:val="32"/>
          <w:szCs w:val="32"/>
        </w:rPr>
        <w:t>放在</w:t>
      </w:r>
      <w:r>
        <w:rPr>
          <w:rFonts w:hint="eastAsia" w:asciiTheme="minorEastAsia" w:hAnsiTheme="minorEastAsia" w:eastAsiaTheme="minorEastAsia"/>
          <w:color w:val="auto"/>
          <w:sz w:val="32"/>
          <w:szCs w:val="32"/>
          <w:lang w:val="en-US" w:eastAsia="zh-CN"/>
        </w:rPr>
        <w:t>此</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olor w:val="auto"/>
          <w:sz w:val="32"/>
          <w:szCs w:val="32"/>
          <w:lang w:eastAsia="zh-CN"/>
        </w:rPr>
        <w:t>中</w:t>
      </w:r>
      <w:r>
        <w:rPr>
          <w:rFonts w:hint="eastAsia" w:asciiTheme="minorEastAsia" w:hAnsiTheme="minorEastAsia" w:eastAsiaTheme="minorEastAsia"/>
          <w:color w:val="auto"/>
          <w:sz w:val="32"/>
          <w:szCs w:val="32"/>
        </w:rPr>
        <w:t>计算。</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2</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、卫生健康支出（类）行政事业单位医疗（室）行政单位医疗（项）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17.82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、城乡社区支出（类）城乡社区管理事务（室）其他城乡社区管理事务支出（项）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lang w:eastAsia="zh-CN"/>
        </w:rPr>
        <w:t>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color w:val="auto"/>
          <w:sz w:val="32"/>
          <w:szCs w:val="32"/>
        </w:rPr>
        <w:t>、城乡社区支出（类）城乡社区公共设施（室）小城镇基础设施建设（项）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、城乡社区支出（类）城乡社区环境卫生（室）城乡社区环境卫生（项）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18.37</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30</w:t>
      </w:r>
      <w:r>
        <w:rPr>
          <w:rFonts w:hint="eastAsia" w:asciiTheme="minorEastAsia" w:hAnsiTheme="minorEastAsia" w:eastAsiaTheme="minorEastAsia"/>
          <w:color w:val="auto"/>
          <w:sz w:val="32"/>
          <w:szCs w:val="32"/>
        </w:rPr>
        <w:t>、农林水支出（类）农业</w:t>
      </w:r>
      <w:r>
        <w:rPr>
          <w:rFonts w:hint="eastAsia" w:asciiTheme="minorEastAsia" w:hAnsiTheme="minorEastAsia" w:eastAsiaTheme="minorEastAsia"/>
          <w:color w:val="auto"/>
          <w:sz w:val="32"/>
          <w:szCs w:val="32"/>
          <w:lang w:eastAsia="zh-CN"/>
        </w:rPr>
        <w:t>农村</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农村社会事业</w:t>
      </w:r>
      <w:r>
        <w:rPr>
          <w:rFonts w:hint="eastAsia" w:asciiTheme="minorEastAsia" w:hAnsiTheme="minorEastAsia" w:eastAsiaTheme="minorEastAsia"/>
          <w:color w:val="auto"/>
          <w:sz w:val="32"/>
          <w:szCs w:val="32"/>
        </w:rPr>
        <w:t>（项）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color w:val="auto"/>
          <w:sz w:val="32"/>
          <w:szCs w:val="32"/>
        </w:rPr>
        <w:t>、农林水支出（类）农业</w:t>
      </w:r>
      <w:r>
        <w:rPr>
          <w:rFonts w:hint="eastAsia" w:asciiTheme="minorEastAsia" w:hAnsiTheme="minorEastAsia" w:eastAsiaTheme="minorEastAsia"/>
          <w:color w:val="auto"/>
          <w:sz w:val="32"/>
          <w:szCs w:val="32"/>
          <w:lang w:eastAsia="zh-CN"/>
        </w:rPr>
        <w:t>农村</w:t>
      </w:r>
      <w:r>
        <w:rPr>
          <w:rFonts w:hint="eastAsia" w:asciiTheme="minorEastAsia" w:hAnsiTheme="minorEastAsia" w:eastAsiaTheme="minorEastAsia"/>
          <w:color w:val="auto"/>
          <w:sz w:val="32"/>
          <w:szCs w:val="32"/>
        </w:rPr>
        <w:t>（室）农村道路建设（项）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、农林水支出（类）</w:t>
      </w:r>
      <w:r>
        <w:rPr>
          <w:rFonts w:hint="eastAsia" w:asciiTheme="minorEastAsia" w:hAnsiTheme="minorEastAsia" w:eastAsiaTheme="minorEastAsia"/>
          <w:color w:val="auto"/>
          <w:sz w:val="32"/>
          <w:szCs w:val="32"/>
          <w:lang w:eastAsia="zh-CN"/>
        </w:rPr>
        <w:t>农业农村</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）其他农业农村支出</w:t>
      </w:r>
      <w:r>
        <w:rPr>
          <w:rFonts w:hint="eastAsia" w:asciiTheme="minorEastAsia" w:hAnsiTheme="minorEastAsia" w:eastAsiaTheme="minorEastAsia"/>
          <w:color w:val="auto"/>
          <w:sz w:val="32"/>
          <w:szCs w:val="32"/>
        </w:rPr>
        <w:t>（项）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、农林水支出（类）</w:t>
      </w:r>
      <w:r>
        <w:rPr>
          <w:rFonts w:hint="eastAsia" w:asciiTheme="minorEastAsia" w:hAnsiTheme="minorEastAsia" w:eastAsiaTheme="minorEastAsia"/>
          <w:color w:val="auto"/>
          <w:sz w:val="32"/>
          <w:szCs w:val="32"/>
          <w:lang w:eastAsia="zh-CN"/>
        </w:rPr>
        <w:t>林业和草原</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）行政运行</w:t>
      </w:r>
      <w:r>
        <w:rPr>
          <w:rFonts w:hint="eastAsia" w:asciiTheme="minorEastAsia" w:hAnsiTheme="minorEastAsia" w:eastAsiaTheme="minorEastAsia"/>
          <w:color w:val="auto"/>
          <w:sz w:val="32"/>
          <w:szCs w:val="32"/>
        </w:rPr>
        <w:t>（项）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6.2</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w:t>
      </w:r>
      <w:r>
        <w:rPr>
          <w:rFonts w:hint="eastAsia" w:asciiTheme="minorEastAsia" w:hAnsiTheme="minorEastAsia" w:eastAsiaTheme="minorEastAsia"/>
          <w:color w:val="auto"/>
          <w:sz w:val="32"/>
          <w:szCs w:val="32"/>
          <w:lang w:eastAsia="zh-CN"/>
        </w:rPr>
        <w:t>此项</w:t>
      </w:r>
      <w:r>
        <w:rPr>
          <w:rFonts w:hint="eastAsia" w:asciiTheme="minorEastAsia" w:hAnsiTheme="minorEastAsia" w:eastAsiaTheme="minorEastAsia"/>
          <w:color w:val="auto"/>
          <w:sz w:val="32"/>
          <w:szCs w:val="32"/>
        </w:rPr>
        <w:t>开支，年初预算未列支。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34</w:t>
      </w:r>
      <w:r>
        <w:rPr>
          <w:rFonts w:hint="eastAsia" w:asciiTheme="minorEastAsia" w:hAnsiTheme="minorEastAsia" w:eastAsiaTheme="minorEastAsia"/>
          <w:color w:val="auto"/>
          <w:sz w:val="32"/>
          <w:szCs w:val="32"/>
        </w:rPr>
        <w:t>、农林水支出（类）水利（室）</w:t>
      </w:r>
      <w:r>
        <w:rPr>
          <w:rFonts w:hint="eastAsia" w:asciiTheme="minorEastAsia" w:hAnsiTheme="minorEastAsia" w:eastAsiaTheme="minorEastAsia"/>
          <w:color w:val="auto"/>
          <w:sz w:val="32"/>
          <w:szCs w:val="32"/>
          <w:lang w:eastAsia="zh-CN"/>
        </w:rPr>
        <w:t>防汛</w:t>
      </w:r>
      <w:r>
        <w:rPr>
          <w:rFonts w:hint="eastAsia" w:asciiTheme="minorEastAsia" w:hAnsiTheme="minorEastAsia" w:eastAsiaTheme="minorEastAsia"/>
          <w:color w:val="auto"/>
          <w:sz w:val="32"/>
          <w:szCs w:val="32"/>
        </w:rPr>
        <w:t>（项）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、农林水支出（类）水利（室）</w:t>
      </w:r>
      <w:r>
        <w:rPr>
          <w:rFonts w:hint="eastAsia" w:asciiTheme="minorEastAsia" w:hAnsiTheme="minorEastAsia" w:eastAsiaTheme="minorEastAsia"/>
          <w:color w:val="auto"/>
          <w:sz w:val="32"/>
          <w:szCs w:val="32"/>
          <w:lang w:eastAsia="zh-CN"/>
        </w:rPr>
        <w:t>农村人畜饮水</w:t>
      </w:r>
      <w:r>
        <w:rPr>
          <w:rFonts w:hint="eastAsia" w:asciiTheme="minorEastAsia" w:hAnsiTheme="minorEastAsia" w:eastAsiaTheme="minorEastAsia"/>
          <w:color w:val="auto"/>
          <w:sz w:val="32"/>
          <w:szCs w:val="32"/>
        </w:rPr>
        <w:t>（项）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6.66</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3</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、农林水支出（类）扶贫（室）农村基础设施建设（项）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75.63</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37</w:t>
      </w:r>
      <w:r>
        <w:rPr>
          <w:rFonts w:hint="eastAsia" w:asciiTheme="minorEastAsia" w:hAnsiTheme="minorEastAsia" w:eastAsiaTheme="minorEastAsia"/>
          <w:color w:val="auto"/>
          <w:sz w:val="32"/>
          <w:szCs w:val="32"/>
        </w:rPr>
        <w:t>、农林水支出（类）扶贫（室）生产发展（项）</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20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38</w:t>
      </w:r>
      <w:r>
        <w:rPr>
          <w:rFonts w:hint="eastAsia" w:asciiTheme="minorEastAsia" w:hAnsiTheme="minorEastAsia" w:eastAsiaTheme="minorEastAsia"/>
          <w:color w:val="auto"/>
          <w:sz w:val="32"/>
          <w:szCs w:val="32"/>
          <w:lang w:eastAsia="zh-CN"/>
        </w:rPr>
        <w:t xml:space="preserve"> </w:t>
      </w:r>
      <w:r>
        <w:rPr>
          <w:rFonts w:hint="eastAsia" w:asciiTheme="minorEastAsia" w:hAnsiTheme="minorEastAsia" w:eastAsiaTheme="minorEastAsia"/>
          <w:color w:val="auto"/>
          <w:sz w:val="32"/>
          <w:szCs w:val="32"/>
        </w:rPr>
        <w:t>、农林水支出（类）扶贫（室）</w:t>
      </w:r>
      <w:r>
        <w:rPr>
          <w:rFonts w:hint="eastAsia" w:asciiTheme="minorEastAsia" w:hAnsiTheme="minorEastAsia" w:eastAsiaTheme="minorEastAsia"/>
          <w:color w:val="auto"/>
          <w:sz w:val="32"/>
          <w:szCs w:val="32"/>
          <w:lang w:eastAsia="zh-CN"/>
        </w:rPr>
        <w:t>其他扶贫支出</w:t>
      </w:r>
      <w:r>
        <w:rPr>
          <w:rFonts w:hint="eastAsia" w:asciiTheme="minorEastAsia" w:hAnsiTheme="minorEastAsia" w:eastAsiaTheme="minorEastAsia"/>
          <w:color w:val="auto"/>
          <w:sz w:val="32"/>
          <w:szCs w:val="32"/>
        </w:rPr>
        <w:t>（项）</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26.17</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、农林水支出（类）农村综合改革（室）对村民委员会和村党支部的补助（项）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eastAsia="zh-CN"/>
        </w:rPr>
        <w:t>1</w:t>
      </w:r>
      <w:r>
        <w:rPr>
          <w:rFonts w:hint="eastAsia" w:asciiTheme="minorEastAsia" w:hAnsiTheme="minorEastAsia" w:eastAsiaTheme="minorEastAsia"/>
          <w:color w:val="auto"/>
          <w:sz w:val="32"/>
          <w:szCs w:val="32"/>
          <w:lang w:val="en-US" w:eastAsia="zh-CN"/>
        </w:rPr>
        <w:t>62.61</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财务处理时项目支出增加，年初预算未列支。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40</w:t>
      </w:r>
      <w:r>
        <w:rPr>
          <w:rFonts w:hint="eastAsia" w:asciiTheme="minorEastAsia" w:hAnsiTheme="minorEastAsia" w:eastAsiaTheme="minorEastAsia"/>
          <w:color w:val="auto"/>
          <w:sz w:val="32"/>
          <w:szCs w:val="32"/>
        </w:rPr>
        <w:t>、农林水支出（类）农村综合改革（室）农村综合改革</w:t>
      </w:r>
      <w:r>
        <w:rPr>
          <w:rFonts w:hint="eastAsia" w:asciiTheme="minorEastAsia" w:hAnsiTheme="minorEastAsia" w:eastAsiaTheme="minorEastAsia"/>
          <w:color w:val="auto"/>
          <w:sz w:val="32"/>
          <w:szCs w:val="32"/>
          <w:lang w:eastAsia="zh-CN"/>
        </w:rPr>
        <w:t>示范试点补助</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大于</w:t>
      </w:r>
      <w:r>
        <w:rPr>
          <w:rFonts w:hint="eastAsia" w:asciiTheme="minorEastAsia" w:hAnsiTheme="minorEastAsia" w:eastAsiaTheme="minorEastAsia"/>
          <w:color w:val="auto"/>
          <w:sz w:val="32"/>
          <w:szCs w:val="32"/>
        </w:rPr>
        <w:t>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财务处理时项目支出增加，年初预算未列支。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、交通运输支出（类）公路水路运输（室）其他公路水路运输支出（项）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万元，决算数</w:t>
      </w:r>
      <w:r>
        <w:rPr>
          <w:rFonts w:hint="eastAsia" w:asciiTheme="minorEastAsia" w:hAnsiTheme="minorEastAsia" w:eastAsiaTheme="minorEastAsia"/>
          <w:color w:val="auto"/>
          <w:sz w:val="32"/>
          <w:szCs w:val="32"/>
          <w:lang w:eastAsia="zh-CN"/>
        </w:rPr>
        <w:t>大</w:t>
      </w:r>
      <w:r>
        <w:rPr>
          <w:rFonts w:hint="eastAsia" w:asciiTheme="minorEastAsia" w:hAnsiTheme="minorEastAsia" w:eastAsiaTheme="minorEastAsia"/>
          <w:color w:val="auto"/>
          <w:sz w:val="32"/>
          <w:szCs w:val="32"/>
        </w:rPr>
        <w:t>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将其放在对村民委员会和村党支部的补助项进行计算。</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42</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住房保障</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住房改革支出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住房公积金</w:t>
      </w:r>
      <w:r>
        <w:rPr>
          <w:rFonts w:hint="eastAsia" w:asciiTheme="minorEastAsia" w:hAnsiTheme="minorEastAsia" w:eastAsiaTheme="minorEastAsia"/>
          <w:color w:val="auto"/>
          <w:sz w:val="32"/>
          <w:szCs w:val="32"/>
        </w:rPr>
        <w:t>（项）</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15.54</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43</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灾害防治及应急管理</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应急管理事务</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其他应急管理支出</w:t>
      </w:r>
      <w:r>
        <w:rPr>
          <w:rFonts w:hint="eastAsia" w:asciiTheme="minorEastAsia" w:hAnsiTheme="minorEastAsia" w:eastAsiaTheme="minorEastAsia"/>
          <w:color w:val="auto"/>
          <w:sz w:val="32"/>
          <w:szCs w:val="32"/>
        </w:rPr>
        <w:t>（项）</w:t>
      </w:r>
    </w:p>
    <w:p>
      <w:pPr>
        <w:pStyle w:val="13"/>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灾害防治及应急管理</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自然灾害防治</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地质灾害防治</w:t>
      </w:r>
      <w:r>
        <w:rPr>
          <w:rFonts w:hint="eastAsia" w:asciiTheme="minorEastAsia" w:hAnsiTheme="minorEastAsia" w:eastAsiaTheme="minorEastAsia"/>
          <w:color w:val="auto"/>
          <w:sz w:val="32"/>
          <w:szCs w:val="32"/>
        </w:rPr>
        <w:t>（项）</w:t>
      </w:r>
    </w:p>
    <w:p>
      <w:pPr>
        <w:pStyle w:val="13"/>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18.65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财务处理时增加了此项支出，年初预算未列支。</w:t>
      </w:r>
    </w:p>
    <w:p>
      <w:pPr>
        <w:pStyle w:val="13"/>
        <w:rPr>
          <w:rFonts w:hAnsi="黑体"/>
          <w:b/>
          <w:color w:val="auto"/>
          <w:sz w:val="32"/>
          <w:szCs w:val="32"/>
        </w:rPr>
      </w:pPr>
      <w:r>
        <w:rPr>
          <w:rFonts w:hint="eastAsia" w:hAnsi="黑体"/>
          <w:b/>
          <w:color w:val="auto"/>
          <w:sz w:val="32"/>
          <w:szCs w:val="32"/>
        </w:rPr>
        <w:t>六、一般公共预算财政拨款基本支出决算情况说明</w:t>
      </w:r>
    </w:p>
    <w:p>
      <w:pPr>
        <w:pStyle w:val="13"/>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w:t>
      </w:r>
      <w:r>
        <w:rPr>
          <w:rFonts w:hint="eastAsia" w:asciiTheme="minorEastAsia" w:hAnsiTheme="minorEastAsia" w:eastAsiaTheme="minorEastAsia"/>
          <w:color w:val="auto"/>
          <w:sz w:val="32"/>
          <w:szCs w:val="32"/>
          <w:lang w:val="en-US" w:eastAsia="zh-CN"/>
        </w:rPr>
        <w:t>846.87</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703.33</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83</w:t>
      </w:r>
      <w:r>
        <w:rPr>
          <w:rFonts w:hint="eastAsia" w:asciiTheme="minorEastAsia" w:hAnsiTheme="minorEastAsia" w:eastAsiaTheme="minorEastAsia"/>
          <w:color w:val="auto"/>
          <w:sz w:val="32"/>
          <w:szCs w:val="32"/>
        </w:rPr>
        <w:t>%,主要包括基本工资</w:t>
      </w:r>
      <w:r>
        <w:rPr>
          <w:rFonts w:hint="eastAsia" w:asciiTheme="minorEastAsia" w:hAnsiTheme="minorEastAsia" w:eastAsiaTheme="minorEastAsia"/>
          <w:color w:val="auto"/>
          <w:sz w:val="32"/>
          <w:szCs w:val="32"/>
          <w:lang w:val="en-US" w:eastAsia="zh-CN"/>
        </w:rPr>
        <w:t>130.16</w:t>
      </w:r>
      <w:r>
        <w:rPr>
          <w:rFonts w:hint="eastAsia" w:asciiTheme="minorEastAsia" w:hAnsiTheme="minorEastAsia" w:eastAsiaTheme="minorEastAsia"/>
          <w:color w:val="auto"/>
          <w:sz w:val="32"/>
          <w:szCs w:val="32"/>
        </w:rPr>
        <w:t>万元、津贴补贴</w:t>
      </w:r>
      <w:r>
        <w:rPr>
          <w:rFonts w:hint="eastAsia" w:asciiTheme="minorEastAsia" w:hAnsiTheme="minorEastAsia" w:eastAsiaTheme="minorEastAsia"/>
          <w:color w:val="auto"/>
          <w:sz w:val="32"/>
          <w:szCs w:val="32"/>
          <w:lang w:val="en-US" w:eastAsia="zh-CN"/>
        </w:rPr>
        <w:t>124.72</w:t>
      </w:r>
      <w:r>
        <w:rPr>
          <w:rFonts w:hint="eastAsia" w:asciiTheme="minorEastAsia" w:hAnsiTheme="minorEastAsia" w:eastAsiaTheme="minorEastAsia"/>
          <w:color w:val="auto"/>
          <w:sz w:val="32"/>
          <w:szCs w:val="32"/>
        </w:rPr>
        <w:t>万元、奖金</w:t>
      </w:r>
      <w:r>
        <w:rPr>
          <w:rFonts w:hint="eastAsia" w:asciiTheme="minorEastAsia" w:hAnsiTheme="minorEastAsia" w:eastAsiaTheme="minorEastAsia"/>
          <w:color w:val="auto"/>
          <w:sz w:val="32"/>
          <w:szCs w:val="32"/>
          <w:lang w:val="en-US" w:eastAsia="zh-CN"/>
        </w:rPr>
        <w:t>65.87</w:t>
      </w:r>
      <w:r>
        <w:rPr>
          <w:rFonts w:hint="eastAsia" w:asciiTheme="minorEastAsia" w:hAnsiTheme="minorEastAsia" w:eastAsiaTheme="minorEastAsia"/>
          <w:color w:val="auto"/>
          <w:sz w:val="32"/>
          <w:szCs w:val="32"/>
        </w:rPr>
        <w:t>万元、伙食补助费</w:t>
      </w:r>
      <w:r>
        <w:rPr>
          <w:rFonts w:hint="eastAsia" w:asciiTheme="minorEastAsia" w:hAnsiTheme="minorEastAsia" w:eastAsiaTheme="minorEastAsia"/>
          <w:color w:val="auto"/>
          <w:sz w:val="32"/>
          <w:szCs w:val="32"/>
          <w:lang w:val="en-US" w:eastAsia="zh-CN"/>
        </w:rPr>
        <w:t>15.36</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、机关事业单位基本养老保险缴费</w:t>
      </w:r>
      <w:r>
        <w:rPr>
          <w:rFonts w:hint="eastAsia" w:asciiTheme="minorEastAsia" w:hAnsiTheme="minorEastAsia" w:eastAsiaTheme="minorEastAsia"/>
          <w:color w:val="auto"/>
          <w:sz w:val="32"/>
          <w:szCs w:val="32"/>
          <w:lang w:val="en-US" w:eastAsia="zh-CN"/>
        </w:rPr>
        <w:t>32.69万元、职工基本医疗保险缴费17.82万元、其他社会保障缴费1.63万元、 住房公积金15.54万元、其他工资福利支出45.64万元、抚恤金2.62万元、生活补助217.88万元、其他对个人和家庭的补助33.4万元</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143.54</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17</w:t>
      </w:r>
      <w:r>
        <w:rPr>
          <w:rFonts w:hint="eastAsia" w:asciiTheme="minorEastAsia" w:hAnsiTheme="minorEastAsia" w:eastAsiaTheme="minorEastAsia"/>
          <w:color w:val="auto"/>
          <w:sz w:val="32"/>
          <w:szCs w:val="32"/>
        </w:rPr>
        <w:t>%，主要包括办公费</w:t>
      </w:r>
      <w:r>
        <w:rPr>
          <w:rFonts w:hint="eastAsia" w:asciiTheme="minorEastAsia" w:hAnsiTheme="minorEastAsia" w:eastAsiaTheme="minorEastAsia"/>
          <w:color w:val="auto"/>
          <w:sz w:val="32"/>
          <w:szCs w:val="32"/>
          <w:lang w:val="en-US" w:eastAsia="zh-CN"/>
        </w:rPr>
        <w:t>27.37</w:t>
      </w:r>
      <w:r>
        <w:rPr>
          <w:rFonts w:hint="eastAsia" w:asciiTheme="minorEastAsia" w:hAnsiTheme="minorEastAsia" w:eastAsiaTheme="minorEastAsia"/>
          <w:color w:val="auto"/>
          <w:sz w:val="32"/>
          <w:szCs w:val="32"/>
        </w:rPr>
        <w:t>万元、印刷费</w:t>
      </w:r>
      <w:r>
        <w:rPr>
          <w:rFonts w:hint="eastAsia" w:asciiTheme="minorEastAsia" w:hAnsiTheme="minorEastAsia" w:eastAsiaTheme="minorEastAsia"/>
          <w:color w:val="auto"/>
          <w:sz w:val="32"/>
          <w:szCs w:val="32"/>
          <w:lang w:val="en-US" w:eastAsia="zh-CN"/>
        </w:rPr>
        <w:t>6.51</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电</w:t>
      </w:r>
      <w:r>
        <w:rPr>
          <w:rFonts w:hint="eastAsia" w:asciiTheme="minorEastAsia" w:hAnsiTheme="minorEastAsia" w:eastAsiaTheme="minorEastAsia"/>
          <w:color w:val="auto"/>
          <w:sz w:val="32"/>
          <w:szCs w:val="32"/>
        </w:rPr>
        <w:t>费</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取暖费2.54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差旅费18.04万元、</w:t>
      </w:r>
      <w:r>
        <w:rPr>
          <w:rFonts w:hint="eastAsia" w:asciiTheme="minorEastAsia" w:hAnsiTheme="minorEastAsia" w:eastAsiaTheme="minorEastAsia"/>
          <w:color w:val="auto"/>
          <w:sz w:val="32"/>
          <w:szCs w:val="32"/>
        </w:rPr>
        <w:t>维修（护）费</w:t>
      </w:r>
      <w:r>
        <w:rPr>
          <w:rFonts w:hint="eastAsia" w:asciiTheme="minorEastAsia" w:hAnsiTheme="minorEastAsia" w:eastAsiaTheme="minorEastAsia"/>
          <w:color w:val="auto"/>
          <w:sz w:val="32"/>
          <w:szCs w:val="32"/>
          <w:lang w:val="en-US" w:eastAsia="zh-CN"/>
        </w:rPr>
        <w:t>6万元、会议费2万元、公务接待费1.81万元、 劳务费8万元、委托业务费0.44万元、工会经费10万元、公务用车运行维护费4.6万元、其他交通费用1.87万元、其他商品和服务支出39.03万元</w:t>
      </w:r>
      <w:r>
        <w:rPr>
          <w:rFonts w:hint="eastAsia" w:asciiTheme="minorEastAsia" w:hAnsiTheme="minorEastAsia" w:eastAsiaTheme="minorEastAsia"/>
          <w:color w:val="auto"/>
          <w:sz w:val="32"/>
          <w:szCs w:val="32"/>
        </w:rPr>
        <w:t>。</w:t>
      </w:r>
    </w:p>
    <w:p>
      <w:pPr>
        <w:pStyle w:val="13"/>
        <w:rPr>
          <w:rFonts w:hAnsi="黑体"/>
          <w:b/>
          <w:color w:val="auto"/>
          <w:sz w:val="32"/>
          <w:szCs w:val="32"/>
        </w:rPr>
      </w:pPr>
      <w:r>
        <w:rPr>
          <w:rFonts w:hint="eastAsia" w:hAnsi="黑体"/>
          <w:b/>
          <w:color w:val="auto"/>
          <w:sz w:val="32"/>
          <w:szCs w:val="32"/>
        </w:rPr>
        <w:t>七、一般公共预算财政拨款“三公”经费支出决算情况说明</w:t>
      </w:r>
    </w:p>
    <w:p>
      <w:pPr>
        <w:pStyle w:val="13"/>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w:t>
      </w:r>
      <w:r>
        <w:rPr>
          <w:rFonts w:hint="eastAsia" w:asciiTheme="minorEastAsia" w:hAnsiTheme="minorEastAsia" w:eastAsiaTheme="minorEastAsia"/>
          <w:color w:val="auto"/>
          <w:sz w:val="32"/>
          <w:szCs w:val="32"/>
        </w:rPr>
        <w:t>”经费财政拨款支出预算为</w:t>
      </w:r>
      <w:r>
        <w:rPr>
          <w:rFonts w:hint="eastAsia" w:asciiTheme="minorEastAsia" w:hAnsiTheme="minorEastAsia" w:eastAsiaTheme="minorEastAsia"/>
          <w:color w:val="auto"/>
          <w:sz w:val="32"/>
          <w:szCs w:val="32"/>
          <w:lang w:val="en-US" w:eastAsia="zh-CN"/>
        </w:rPr>
        <w:t>6.41</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6.41</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w:t>
      </w:r>
      <w:r>
        <w:rPr>
          <w:rFonts w:hint="eastAsia" w:asciiTheme="minorEastAsia" w:hAnsiTheme="minorEastAsia" w:eastAsiaTheme="minorEastAsia"/>
          <w:color w:val="auto"/>
          <w:sz w:val="32"/>
          <w:szCs w:val="32"/>
        </w:rPr>
        <w:t>中：</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bookmarkStart w:id="0" w:name="_GoBack"/>
      <w:bookmarkEnd w:id="0"/>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与上年相比无变化。</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w:t>
      </w:r>
      <w:r>
        <w:rPr>
          <w:rFonts w:hint="eastAsia" w:asciiTheme="minorEastAsia" w:hAnsiTheme="minorEastAsia" w:eastAsiaTheme="minorEastAsia"/>
          <w:color w:val="auto"/>
          <w:sz w:val="32"/>
          <w:szCs w:val="32"/>
        </w:rPr>
        <w:t>算为</w:t>
      </w:r>
      <w:r>
        <w:rPr>
          <w:rFonts w:hint="eastAsia" w:asciiTheme="minorEastAsia" w:hAnsiTheme="minorEastAsia" w:eastAsiaTheme="minorEastAsia"/>
          <w:color w:val="auto"/>
          <w:sz w:val="32"/>
          <w:szCs w:val="32"/>
          <w:lang w:val="en-US" w:eastAsia="zh-CN"/>
        </w:rPr>
        <w:t>1.81</w:t>
      </w:r>
      <w:r>
        <w:rPr>
          <w:rFonts w:hint="eastAsia" w:asciiTheme="minorEastAsia" w:hAnsiTheme="minorEastAsia" w:eastAsiaTheme="minorEastAsia"/>
          <w:color w:val="auto"/>
          <w:sz w:val="32"/>
          <w:szCs w:val="32"/>
        </w:rPr>
        <w:t>万</w:t>
      </w:r>
      <w:r>
        <w:rPr>
          <w:rFonts w:hint="eastAsia" w:asciiTheme="minorEastAsia" w:hAnsiTheme="minorEastAsia" w:eastAsiaTheme="minorEastAsia"/>
          <w:color w:val="auto"/>
          <w:sz w:val="32"/>
          <w:szCs w:val="32"/>
        </w:rPr>
        <w:t>元，支出决算为</w:t>
      </w:r>
      <w:r>
        <w:rPr>
          <w:rFonts w:hint="eastAsia" w:asciiTheme="minorEastAsia" w:hAnsiTheme="minorEastAsia" w:eastAsiaTheme="minorEastAsia"/>
          <w:color w:val="auto"/>
          <w:sz w:val="32"/>
          <w:szCs w:val="32"/>
          <w:lang w:val="en-US" w:eastAsia="zh-CN"/>
        </w:rPr>
        <w:t>1.81</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预算数，与上年相比</w:t>
      </w:r>
      <w:r>
        <w:rPr>
          <w:rFonts w:hint="eastAsia" w:asciiTheme="minorEastAsia" w:hAnsiTheme="minorEastAsia" w:eastAsiaTheme="minorEastAsia"/>
          <w:color w:val="auto"/>
          <w:sz w:val="32"/>
          <w:szCs w:val="32"/>
          <w:lang w:val="en-US" w:eastAsia="zh-CN"/>
        </w:rPr>
        <w:t>增加0.5675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增加45.6</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增加</w:t>
      </w:r>
      <w:r>
        <w:rPr>
          <w:rFonts w:hint="eastAsia" w:asciiTheme="minorEastAsia" w:hAnsiTheme="minorEastAsia" w:eastAsiaTheme="minorEastAsia"/>
          <w:color w:val="auto"/>
          <w:sz w:val="32"/>
          <w:szCs w:val="32"/>
        </w:rPr>
        <w:t>的主要原因是</w:t>
      </w:r>
      <w:r>
        <w:rPr>
          <w:rFonts w:hint="eastAsia" w:asciiTheme="minorEastAsia" w:hAnsiTheme="minorEastAsia" w:eastAsiaTheme="minorEastAsia"/>
          <w:color w:val="auto"/>
          <w:sz w:val="32"/>
          <w:szCs w:val="32"/>
          <w:lang w:val="en-US" w:eastAsia="zh-CN"/>
        </w:rPr>
        <w:t>公务接待次数增多，从而公务接待支出较去年有所增加</w:t>
      </w:r>
      <w:r>
        <w:rPr>
          <w:rFonts w:hint="eastAsia" w:asciiTheme="minorEastAsia" w:hAnsiTheme="minorEastAsia" w:eastAsiaTheme="minorEastAsia"/>
          <w:color w:val="auto"/>
          <w:sz w:val="32"/>
          <w:szCs w:val="32"/>
        </w:rPr>
        <w:t>。</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与上年一致</w:t>
      </w:r>
      <w:r>
        <w:rPr>
          <w:rFonts w:hint="eastAsia" w:asciiTheme="minorEastAsia" w:hAnsiTheme="minorEastAsia" w:eastAsiaTheme="minorEastAsia"/>
          <w:color w:val="auto"/>
          <w:sz w:val="32"/>
          <w:szCs w:val="32"/>
        </w:rPr>
        <w:t>。</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w:t>
      </w:r>
      <w:r>
        <w:rPr>
          <w:rFonts w:hint="eastAsia" w:asciiTheme="minorEastAsia" w:hAnsiTheme="minorEastAsia" w:eastAsiaTheme="minorEastAsia"/>
          <w:color w:val="auto"/>
          <w:sz w:val="32"/>
          <w:szCs w:val="32"/>
        </w:rPr>
        <w:t>算为</w:t>
      </w: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color w:val="auto"/>
          <w:sz w:val="32"/>
          <w:szCs w:val="32"/>
        </w:rPr>
        <w:t>万</w:t>
      </w:r>
      <w:r>
        <w:rPr>
          <w:rFonts w:hint="eastAsia" w:asciiTheme="minorEastAsia" w:hAnsiTheme="minorEastAsia" w:eastAsiaTheme="minorEastAsia"/>
          <w:color w:val="auto"/>
          <w:sz w:val="32"/>
          <w:szCs w:val="32"/>
        </w:rPr>
        <w:t>元，支出决算为</w:t>
      </w: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预算数，与上年相比增加</w:t>
      </w:r>
      <w:r>
        <w:rPr>
          <w:rFonts w:hint="eastAsia" w:asciiTheme="minorEastAsia" w:hAnsiTheme="minorEastAsia" w:eastAsiaTheme="minorEastAsia"/>
          <w:color w:val="auto"/>
          <w:sz w:val="32"/>
          <w:szCs w:val="32"/>
          <w:lang w:val="en-US" w:eastAsia="zh-CN"/>
        </w:rPr>
        <w:t>3.6</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360</w:t>
      </w:r>
      <w:r>
        <w:rPr>
          <w:rFonts w:hint="eastAsia" w:asciiTheme="minorEastAsia" w:hAnsiTheme="minorEastAsia" w:eastAsiaTheme="minorEastAsia"/>
          <w:color w:val="auto"/>
          <w:sz w:val="32"/>
          <w:szCs w:val="32"/>
        </w:rPr>
        <w:t>%,增长的主要原因是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一方面公车车龄老化，公车维护保养次数以及费用增加；另一方面动车频率增加，从而油料费增加</w:t>
      </w:r>
      <w:r>
        <w:rPr>
          <w:rFonts w:hint="eastAsia" w:asciiTheme="minorEastAsia" w:hAnsiTheme="minorEastAsia" w:eastAsiaTheme="minorEastAsia"/>
          <w:color w:val="auto"/>
          <w:sz w:val="32"/>
          <w:szCs w:val="32"/>
        </w:rPr>
        <w:t>。</w:t>
      </w:r>
    </w:p>
    <w:p>
      <w:pPr>
        <w:pStyle w:val="13"/>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1.81</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28</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4.6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72</w:t>
      </w:r>
      <w:r>
        <w:rPr>
          <w:rFonts w:hint="eastAsia" w:asciiTheme="minorEastAsia" w:hAnsiTheme="minorEastAsia" w:eastAsiaTheme="minorEastAsia"/>
          <w:color w:val="auto"/>
          <w:sz w:val="32"/>
          <w:szCs w:val="32"/>
        </w:rPr>
        <w:t>%。其中：</w:t>
      </w:r>
    </w:p>
    <w:p>
      <w:pPr>
        <w:pStyle w:val="13"/>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val="en-US" w:eastAsia="zh-CN"/>
        </w:rPr>
        <w:t>.</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1.81</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51</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305</w:t>
      </w:r>
      <w:r>
        <w:rPr>
          <w:rFonts w:hint="eastAsia" w:asciiTheme="minorEastAsia" w:hAnsiTheme="minorEastAsia" w:eastAsiaTheme="minorEastAsia"/>
          <w:color w:val="auto"/>
          <w:sz w:val="32"/>
          <w:szCs w:val="32"/>
        </w:rPr>
        <w:t>人次，主要是公务</w:t>
      </w:r>
      <w:r>
        <w:rPr>
          <w:rFonts w:asciiTheme="minorEastAsia" w:hAnsiTheme="minorEastAsia" w:eastAsiaTheme="minorEastAsia"/>
          <w:color w:val="auto"/>
          <w:sz w:val="32"/>
          <w:szCs w:val="32"/>
        </w:rPr>
        <w:t>活动</w:t>
      </w:r>
      <w:r>
        <w:rPr>
          <w:rFonts w:hint="eastAsia" w:asciiTheme="minorEastAsia" w:hAnsiTheme="minorEastAsia" w:eastAsiaTheme="minorEastAsia"/>
          <w:color w:val="auto"/>
          <w:sz w:val="32"/>
          <w:szCs w:val="32"/>
        </w:rPr>
        <w:t>发生的接待支出。</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4.6</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w:t>
      </w:r>
      <w:r>
        <w:rPr>
          <w:rFonts w:hint="eastAsia" w:asciiTheme="minorEastAsia" w:hAnsiTheme="minorEastAsia"/>
          <w:color w:val="auto"/>
          <w:sz w:val="32"/>
          <w:szCs w:val="32"/>
          <w:lang w:val="en-US" w:eastAsia="zh-CN"/>
        </w:rPr>
        <w:t>龙庄湾乡人民政府</w:t>
      </w:r>
      <w:r>
        <w:rPr>
          <w:rFonts w:hint="eastAsia" w:asciiTheme="minorEastAsia" w:hAnsiTheme="minorEastAsia"/>
          <w:color w:val="auto"/>
          <w:sz w:val="32"/>
          <w:szCs w:val="32"/>
        </w:rPr>
        <w:t>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r>
        <w:rPr>
          <w:rFonts w:hint="eastAsia" w:asciiTheme="minorEastAsia" w:hAnsiTheme="minorEastAsia"/>
          <w:color w:val="auto"/>
          <w:sz w:val="32"/>
          <w:szCs w:val="32"/>
        </w:rPr>
        <w:t>。</w:t>
      </w:r>
      <w:r>
        <w:rPr>
          <w:rFonts w:hint="eastAsia" w:asciiTheme="minorEastAsia" w:hAnsiTheme="minorEastAsia"/>
          <w:color w:val="auto"/>
          <w:sz w:val="32"/>
          <w:szCs w:val="32"/>
        </w:rPr>
        <w:t>公务用车运行维护费</w:t>
      </w:r>
      <w:r>
        <w:rPr>
          <w:rFonts w:hint="eastAsia" w:asciiTheme="minorEastAsia" w:hAnsiTheme="minorEastAsia"/>
          <w:color w:val="auto"/>
          <w:sz w:val="32"/>
          <w:szCs w:val="32"/>
          <w:lang w:val="en-US" w:eastAsia="zh-CN"/>
        </w:rPr>
        <w:t>4.6</w:t>
      </w:r>
      <w:r>
        <w:rPr>
          <w:rFonts w:hint="eastAsia" w:asciiTheme="minorEastAsia" w:hAnsiTheme="minorEastAsia"/>
          <w:color w:val="auto"/>
          <w:sz w:val="32"/>
          <w:szCs w:val="32"/>
        </w:rPr>
        <w:t>万元，主要是</w:t>
      </w:r>
      <w:r>
        <w:rPr>
          <w:rFonts w:hint="eastAsia" w:asciiTheme="minorEastAsia" w:hAnsiTheme="minorEastAsia"/>
          <w:color w:val="auto"/>
          <w:sz w:val="32"/>
          <w:szCs w:val="32"/>
          <w:lang w:val="en-US" w:eastAsia="zh-CN"/>
        </w:rPr>
        <w:t>公车日常保养维护及油料费</w:t>
      </w:r>
      <w:r>
        <w:rPr>
          <w:rFonts w:hint="eastAsia" w:asciiTheme="minorEastAsia" w:hAnsiTheme="minorEastAsia"/>
          <w:color w:val="auto"/>
          <w:sz w:val="32"/>
          <w:szCs w:val="32"/>
        </w:rPr>
        <w:t>支出，截止2021年12月31日，我单位开支财政拨款的公务用车保有量为</w:t>
      </w:r>
      <w:r>
        <w:rPr>
          <w:rFonts w:hint="eastAsia" w:asciiTheme="minorEastAsia" w:hAnsiTheme="minorEastAsia"/>
          <w:color w:val="auto"/>
          <w:sz w:val="32"/>
          <w:szCs w:val="32"/>
          <w:lang w:val="en-US" w:eastAsia="zh-CN"/>
        </w:rPr>
        <w:t>1</w:t>
      </w:r>
      <w:r>
        <w:rPr>
          <w:rFonts w:hint="eastAsia" w:asciiTheme="minorEastAsia" w:hAnsiTheme="minorEastAsia"/>
          <w:color w:val="auto"/>
          <w:sz w:val="32"/>
          <w:szCs w:val="32"/>
        </w:rPr>
        <w:t>辆。</w:t>
      </w:r>
    </w:p>
    <w:p>
      <w:pPr>
        <w:pStyle w:val="13"/>
        <w:rPr>
          <w:rFonts w:hAnsi="黑体"/>
          <w:b/>
          <w:color w:val="auto"/>
          <w:sz w:val="32"/>
          <w:szCs w:val="32"/>
        </w:rPr>
      </w:pPr>
      <w:r>
        <w:rPr>
          <w:rFonts w:hint="eastAsia" w:hAnsi="黑体"/>
          <w:b/>
          <w:color w:val="auto"/>
          <w:sz w:val="32"/>
          <w:szCs w:val="32"/>
        </w:rPr>
        <w:t>八、政府性基金预算收入支出决算情况</w:t>
      </w:r>
    </w:p>
    <w:p>
      <w:pPr>
        <w:pStyle w:val="13"/>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 xml:space="preserve">     2021年度政府性基金预算财政拨款收入</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万元；年初结转和结余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万元，项目支出</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万元。具体情况如下：</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1、社会保障和就业支出（类）</w:t>
      </w:r>
      <w:r>
        <w:rPr>
          <w:rFonts w:hint="eastAsia" w:asciiTheme="minorEastAsia" w:hAnsiTheme="minorEastAsia" w:eastAsiaTheme="minorEastAsia"/>
          <w:color w:val="auto"/>
          <w:sz w:val="32"/>
          <w:szCs w:val="32"/>
          <w:lang w:eastAsia="zh-CN"/>
        </w:rPr>
        <w:t>大中型水库移民后期扶持基金支出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基础设施建设和经济发展</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小型水库移民扶助基金安排的支出</w:t>
      </w:r>
      <w:r>
        <w:rPr>
          <w:rFonts w:hint="eastAsia" w:asciiTheme="minorEastAsia" w:hAnsiTheme="minorEastAsia" w:eastAsiaTheme="minorEastAsia"/>
          <w:color w:val="auto"/>
          <w:sz w:val="32"/>
          <w:szCs w:val="32"/>
        </w:rPr>
        <w:t>（室）</w:t>
      </w:r>
      <w:r>
        <w:rPr>
          <w:rFonts w:hint="eastAsia" w:asciiTheme="minorEastAsia" w:hAnsiTheme="minorEastAsia" w:eastAsiaTheme="minorEastAsia"/>
          <w:color w:val="auto"/>
          <w:sz w:val="32"/>
          <w:szCs w:val="32"/>
          <w:lang w:eastAsia="zh-CN"/>
        </w:rPr>
        <w:t>基础设施建设和经济发展</w:t>
      </w:r>
      <w:r>
        <w:rPr>
          <w:rFonts w:hint="eastAsia" w:asciiTheme="minorEastAsia" w:hAnsiTheme="minorEastAsia" w:eastAsiaTheme="minorEastAsia"/>
          <w:color w:val="auto"/>
          <w:sz w:val="32"/>
          <w:szCs w:val="32"/>
        </w:rPr>
        <w:t>（项）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万元，决算数大于年初预算数的主要原因是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、城乡社区支出（类）国有土地使用权出让收入安排的支出（款）农村基础设施建设支出（项）。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万元，决算数大于（小于）年初预算数的主要原因是：</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、其他支出（类）彩票公益金安排的支出（款）用于社会福利的彩票公益金支出（项）。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11</w:t>
      </w:r>
      <w:r>
        <w:rPr>
          <w:rFonts w:hint="eastAsia" w:asciiTheme="minorEastAsia" w:hAnsiTheme="minorEastAsia" w:eastAsiaTheme="minorEastAsia"/>
          <w:color w:val="auto"/>
          <w:sz w:val="32"/>
          <w:szCs w:val="32"/>
        </w:rPr>
        <w:t>万元，决算数大于（小于）年初预算数的主要原因是：</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、其他支出（类）彩票公益金安排的支出（款）用于体育事业的彩票公益金支出（项）。</w:t>
      </w:r>
    </w:p>
    <w:p>
      <w:pPr>
        <w:pStyle w:val="13"/>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万元，决算数大于（小于）年初预算数的主要原因是：</w:t>
      </w:r>
      <w:r>
        <w:rPr>
          <w:rFonts w:hint="eastAsia" w:asciiTheme="minorEastAsia" w:hAnsiTheme="minorEastAsia" w:eastAsiaTheme="minorEastAsia"/>
          <w:color w:val="auto"/>
          <w:sz w:val="32"/>
          <w:szCs w:val="32"/>
        </w:rPr>
        <w:t>与</w:t>
      </w:r>
      <w:r>
        <w:rPr>
          <w:rFonts w:hint="eastAsia" w:asciiTheme="minorEastAsia" w:hAnsiTheme="minorEastAsia" w:eastAsiaTheme="minorEastAsia"/>
          <w:color w:val="auto"/>
          <w:sz w:val="32"/>
          <w:szCs w:val="32"/>
          <w:lang w:val="en-US" w:eastAsia="zh-CN"/>
        </w:rPr>
        <w:t>预算</w:t>
      </w:r>
      <w:r>
        <w:rPr>
          <w:rFonts w:hint="eastAsia" w:asciiTheme="minorEastAsia" w:hAnsiTheme="minorEastAsia" w:eastAsiaTheme="minorEastAsia"/>
          <w:color w:val="auto"/>
          <w:sz w:val="32"/>
          <w:szCs w:val="32"/>
        </w:rPr>
        <w:t>相比增加了这一项支出，年初预算未列支。</w:t>
      </w:r>
    </w:p>
    <w:p>
      <w:pPr>
        <w:pStyle w:val="13"/>
        <w:rPr>
          <w:rFonts w:hAnsi="黑体"/>
          <w:b/>
          <w:color w:val="auto"/>
          <w:sz w:val="32"/>
          <w:szCs w:val="32"/>
        </w:rPr>
      </w:pPr>
      <w:r>
        <w:rPr>
          <w:rFonts w:hint="eastAsia" w:hAnsi="黑体"/>
          <w:b/>
          <w:color w:val="auto"/>
          <w:sz w:val="32"/>
          <w:szCs w:val="32"/>
        </w:rPr>
        <w:t>九、机关运行经费支出说明</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本部门2021年度机关运行经费支出</w:t>
      </w:r>
      <w:r>
        <w:rPr>
          <w:rFonts w:hint="eastAsia" w:asciiTheme="minorEastAsia" w:hAnsiTheme="minorEastAsia" w:eastAsiaTheme="minorEastAsia"/>
          <w:color w:val="auto"/>
          <w:sz w:val="32"/>
          <w:szCs w:val="32"/>
          <w:lang w:val="en-US" w:eastAsia="zh-CN"/>
        </w:rPr>
        <w:t>143.54</w:t>
      </w:r>
      <w:r>
        <w:rPr>
          <w:rFonts w:hint="eastAsia" w:asciiTheme="minorEastAsia" w:hAnsiTheme="minorEastAsia" w:eastAsiaTheme="minorEastAsia"/>
          <w:color w:val="auto"/>
          <w:sz w:val="32"/>
          <w:szCs w:val="32"/>
        </w:rPr>
        <w:t>万元，比年初预算数增加</w:t>
      </w:r>
      <w:r>
        <w:rPr>
          <w:rFonts w:hint="eastAsia" w:asciiTheme="minorEastAsia" w:hAnsiTheme="minorEastAsia" w:eastAsiaTheme="minorEastAsia"/>
          <w:color w:val="auto"/>
          <w:sz w:val="32"/>
          <w:szCs w:val="32"/>
          <w:lang w:val="en-US" w:eastAsia="zh-CN"/>
        </w:rPr>
        <w:t>9.53</w:t>
      </w:r>
      <w:r>
        <w:rPr>
          <w:rFonts w:hint="eastAsia" w:asciiTheme="minorEastAsia" w:hAnsiTheme="minorEastAsia" w:eastAsiaTheme="minorEastAsia"/>
          <w:color w:val="auto"/>
          <w:sz w:val="32"/>
          <w:szCs w:val="32"/>
        </w:rPr>
        <w:t xml:space="preserve"> 万元，增长</w:t>
      </w:r>
      <w:r>
        <w:rPr>
          <w:rFonts w:hint="eastAsia" w:asciiTheme="minorEastAsia" w:hAnsiTheme="minorEastAsia" w:eastAsiaTheme="minorEastAsia"/>
          <w:color w:val="auto"/>
          <w:sz w:val="32"/>
          <w:szCs w:val="32"/>
          <w:lang w:val="en-US" w:eastAsia="zh-CN"/>
        </w:rPr>
        <w:t>6.6</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val="en-US" w:eastAsia="zh-CN"/>
        </w:rPr>
        <w:t>本单位2021年度新增加了工作人员，从而相应的办公费、取暖费等支出增加</w:t>
      </w:r>
      <w:r>
        <w:rPr>
          <w:rFonts w:hint="eastAsia" w:asciiTheme="minorEastAsia" w:hAnsiTheme="minorEastAsia" w:eastAsiaTheme="minorEastAsia"/>
          <w:color w:val="auto"/>
          <w:sz w:val="32"/>
          <w:szCs w:val="32"/>
        </w:rPr>
        <w:t>。</w:t>
      </w:r>
    </w:p>
    <w:p>
      <w:pPr>
        <w:pStyle w:val="13"/>
        <w:rPr>
          <w:rFonts w:hAnsi="黑体"/>
          <w:b/>
          <w:color w:val="auto"/>
          <w:sz w:val="32"/>
          <w:szCs w:val="32"/>
        </w:rPr>
      </w:pPr>
      <w:r>
        <w:rPr>
          <w:rFonts w:hint="eastAsia" w:hAnsi="黑体"/>
          <w:b/>
          <w:color w:val="auto"/>
          <w:sz w:val="32"/>
          <w:szCs w:val="32"/>
        </w:rPr>
        <w:t>十、一般性支出情况说明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万元，用于召开</w:t>
      </w:r>
      <w:r>
        <w:rPr>
          <w:rFonts w:hint="eastAsia" w:asciiTheme="minorEastAsia" w:hAnsiTheme="minorEastAsia" w:eastAsiaTheme="minorEastAsia"/>
          <w:color w:val="auto"/>
          <w:sz w:val="32"/>
          <w:szCs w:val="32"/>
          <w:lang w:val="en-US" w:eastAsia="zh-CN"/>
        </w:rPr>
        <w:t>乡村振兴、人居环境等日常工作</w:t>
      </w:r>
      <w:r>
        <w:rPr>
          <w:rFonts w:hint="eastAsia" w:asciiTheme="minorEastAsia" w:hAnsiTheme="minorEastAsia" w:eastAsiaTheme="minorEastAsia"/>
          <w:color w:val="auto"/>
          <w:sz w:val="32"/>
          <w:szCs w:val="32"/>
        </w:rPr>
        <w:t>会议，人数</w:t>
      </w:r>
      <w:r>
        <w:rPr>
          <w:rFonts w:hint="eastAsia" w:asciiTheme="minorEastAsia" w:hAnsiTheme="minorEastAsia" w:eastAsiaTheme="minorEastAsia"/>
          <w:color w:val="auto"/>
          <w:sz w:val="32"/>
          <w:szCs w:val="32"/>
          <w:lang w:val="en-US" w:eastAsia="zh-CN"/>
        </w:rPr>
        <w:t>1667</w:t>
      </w:r>
      <w:r>
        <w:rPr>
          <w:rFonts w:hint="eastAsia" w:asciiTheme="minorEastAsia" w:hAnsiTheme="minorEastAsia" w:eastAsiaTheme="minorEastAsia"/>
          <w:color w:val="auto"/>
          <w:sz w:val="32"/>
          <w:szCs w:val="32"/>
        </w:rPr>
        <w:t>人</w:t>
      </w:r>
      <w:r>
        <w:rPr>
          <w:rFonts w:hint="eastAsia" w:asciiTheme="minorEastAsia" w:hAnsiTheme="minorEastAsia" w:eastAsiaTheme="minorEastAsia"/>
          <w:color w:val="auto"/>
          <w:sz w:val="32"/>
          <w:szCs w:val="32"/>
          <w:lang w:eastAsia="zh-CN"/>
        </w:rPr>
        <w:t>次</w:t>
      </w:r>
      <w:r>
        <w:rPr>
          <w:rFonts w:hint="eastAsia" w:asciiTheme="minorEastAsia" w:hAnsiTheme="minorEastAsia" w:eastAsiaTheme="minorEastAsia"/>
          <w:color w:val="auto"/>
          <w:sz w:val="32"/>
          <w:szCs w:val="32"/>
        </w:rPr>
        <w:t>，内容为</w:t>
      </w:r>
      <w:r>
        <w:rPr>
          <w:rFonts w:hint="eastAsia" w:asciiTheme="minorEastAsia" w:hAnsiTheme="minorEastAsia" w:eastAsiaTheme="minorEastAsia"/>
          <w:color w:val="auto"/>
          <w:sz w:val="32"/>
          <w:szCs w:val="32"/>
          <w:lang w:val="en-US" w:eastAsia="zh-CN"/>
        </w:rPr>
        <w:t>乡村振兴、人居环境等日常工作安排；</w:t>
      </w:r>
      <w:r>
        <w:rPr>
          <w:rFonts w:hint="eastAsia" w:asciiTheme="minorEastAsia" w:hAnsiTheme="minorEastAsia" w:eastAsiaTheme="minorEastAsia"/>
          <w:color w:val="auto"/>
          <w:sz w:val="32"/>
          <w:szCs w:val="32"/>
        </w:rPr>
        <w:t>开支培训费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万元，用于开展</w:t>
      </w:r>
      <w:r>
        <w:rPr>
          <w:rFonts w:hint="eastAsia" w:asciiTheme="minorEastAsia" w:hAnsiTheme="minorEastAsia" w:eastAsiaTheme="minorEastAsia"/>
          <w:color w:val="auto"/>
          <w:sz w:val="32"/>
          <w:szCs w:val="32"/>
          <w:lang w:val="en-US" w:eastAsia="zh-CN"/>
        </w:rPr>
        <w:t>0次</w:t>
      </w:r>
      <w:r>
        <w:rPr>
          <w:rFonts w:hint="eastAsia" w:asciiTheme="minorEastAsia" w:hAnsiTheme="minorEastAsia" w:eastAsiaTheme="minorEastAsia"/>
          <w:color w:val="auto"/>
          <w:sz w:val="32"/>
          <w:szCs w:val="32"/>
        </w:rPr>
        <w:t>培训，人数</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w:t>
      </w:r>
    </w:p>
    <w:p>
      <w:pPr>
        <w:pStyle w:val="13"/>
        <w:rPr>
          <w:rFonts w:hAnsi="黑体"/>
          <w:b/>
          <w:color w:val="auto"/>
          <w:sz w:val="32"/>
          <w:szCs w:val="32"/>
        </w:rPr>
      </w:pPr>
      <w:r>
        <w:rPr>
          <w:rFonts w:hint="eastAsia" w:hAnsi="黑体"/>
          <w:b/>
          <w:color w:val="auto"/>
          <w:sz w:val="32"/>
          <w:szCs w:val="32"/>
        </w:rPr>
        <w:t>十一、政府采购支出说明</w:t>
      </w:r>
    </w:p>
    <w:p>
      <w:pPr>
        <w:pStyle w:val="13"/>
        <w:ind w:firstLine="640" w:firstLineChars="200"/>
        <w:rPr>
          <w:rFonts w:hint="eastAsia"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 xml:space="preserve"> 万元、政府采购工程支出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 xml:space="preserve"> 万元、政府采购服务支出</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eastAsia="zh-CN"/>
        </w:rPr>
        <w:t>0</w:t>
      </w:r>
      <w:r>
        <w:rPr>
          <w:rFonts w:hint="eastAsia" w:asciiTheme="minorEastAsia" w:hAnsiTheme="minorEastAsia" w:eastAsiaTheme="minorEastAsia"/>
          <w:color w:val="auto"/>
          <w:sz w:val="32"/>
          <w:szCs w:val="32"/>
        </w:rPr>
        <w:t>%。</w:t>
      </w:r>
    </w:p>
    <w:p>
      <w:pPr>
        <w:pStyle w:val="13"/>
        <w:rPr>
          <w:rFonts w:hAnsi="黑体"/>
          <w:b/>
          <w:color w:val="auto"/>
          <w:sz w:val="32"/>
          <w:szCs w:val="32"/>
        </w:rPr>
      </w:pPr>
      <w:r>
        <w:rPr>
          <w:rFonts w:hint="eastAsia" w:hAnsi="黑体"/>
          <w:b/>
          <w:color w:val="auto"/>
          <w:sz w:val="32"/>
          <w:szCs w:val="32"/>
        </w:rPr>
        <w:t>十二、国有资产占用情况说明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3"/>
        <w:rPr>
          <w:rFonts w:hAnsi="黑体"/>
          <w:b/>
          <w:color w:val="auto"/>
          <w:sz w:val="32"/>
          <w:szCs w:val="32"/>
        </w:rPr>
      </w:pPr>
      <w:r>
        <w:rPr>
          <w:rFonts w:hint="eastAsia" w:hAnsi="黑体"/>
          <w:b/>
          <w:color w:val="auto"/>
          <w:sz w:val="32"/>
          <w:szCs w:val="32"/>
        </w:rPr>
        <w:t>十三、2021年度预算绩效情况说明</w:t>
      </w:r>
    </w:p>
    <w:p>
      <w:pPr>
        <w:shd w:val="clear"/>
        <w:autoSpaceDE w:val="0"/>
        <w:autoSpaceDN w:val="0"/>
        <w:adjustRightInd w:val="0"/>
        <w:ind w:firstLine="640" w:firstLineChars="200"/>
        <w:jc w:val="left"/>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（1）绩效管理评价工作开展情况。</w:t>
      </w:r>
    </w:p>
    <w:p>
      <w:pPr>
        <w:shd w:val="clea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shd w:val="clea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组织对0个项目开展了部门评价，涉及一般公共预算支出0万元，政府性基金预算支出0万元，国有资本经营预算支出0万元。</w:t>
      </w:r>
    </w:p>
    <w:p>
      <w:pPr>
        <w:shd w:val="clea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组织对本单位开展整体支出绩效评价，涉及一般公共预算支出</w:t>
      </w:r>
      <w:r>
        <w:rPr>
          <w:rFonts w:hint="eastAsia" w:cs="黑体" w:asciiTheme="minorEastAsia" w:hAnsiTheme="minorEastAsia"/>
          <w:color w:val="auto"/>
          <w:kern w:val="0"/>
          <w:sz w:val="32"/>
          <w:szCs w:val="32"/>
          <w:lang w:val="en-US" w:eastAsia="zh-CN"/>
        </w:rPr>
        <w:t>1094.46</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32</w:t>
      </w:r>
      <w:r>
        <w:rPr>
          <w:rFonts w:hint="eastAsia" w:cs="黑体" w:asciiTheme="minorEastAsia" w:hAnsiTheme="minorEastAsia"/>
          <w:color w:val="auto"/>
          <w:kern w:val="0"/>
          <w:sz w:val="32"/>
          <w:szCs w:val="32"/>
        </w:rPr>
        <w:t>万元。从评价情况来看，本单位</w:t>
      </w:r>
      <w:r>
        <w:rPr>
          <w:rFonts w:hint="eastAsia" w:cs="黑体" w:asciiTheme="minorEastAsia" w:hAnsiTheme="minorEastAsia"/>
          <w:color w:val="auto"/>
          <w:kern w:val="0"/>
          <w:sz w:val="32"/>
          <w:szCs w:val="32"/>
          <w:lang w:eastAsia="zh-CN"/>
        </w:rPr>
        <w:t>坚持党建引领，各项重点工作齐头并进；坚持从严治党，不断提升执政能力；坚持有效衔接，加快乡村振兴步伐；</w:t>
      </w:r>
      <w:r>
        <w:rPr>
          <w:rFonts w:hint="eastAsia" w:cs="黑体" w:asciiTheme="minorEastAsia" w:hAnsiTheme="minorEastAsia"/>
          <w:color w:val="auto"/>
          <w:kern w:val="0"/>
          <w:sz w:val="32"/>
          <w:szCs w:val="32"/>
        </w:rPr>
        <w:t>坚持为民服务</w:t>
      </w:r>
      <w:r>
        <w:rPr>
          <w:rFonts w:hint="eastAsia" w:cs="黑体" w:asciiTheme="minorEastAsia" w:hAnsiTheme="minorEastAsia"/>
          <w:color w:val="auto"/>
          <w:kern w:val="0"/>
          <w:sz w:val="32"/>
          <w:szCs w:val="32"/>
          <w:lang w:eastAsia="zh-CN"/>
        </w:rPr>
        <w:t>，乡容乡貌持续改善；坚持底线思维，社会治理能力有效加强。</w:t>
      </w:r>
    </w:p>
    <w:p>
      <w:pPr>
        <w:shd w:val="clear"/>
        <w:autoSpaceDE w:val="0"/>
        <w:autoSpaceDN w:val="0"/>
        <w:adjustRightInd w:val="0"/>
        <w:ind w:firstLine="640" w:firstLineChars="200"/>
        <w:jc w:val="left"/>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（2）部门决算中项目绩效自评结果。</w:t>
      </w:r>
    </w:p>
    <w:p>
      <w:pPr>
        <w:shd w:val="clea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2021年度一般公共预算中无项目支出，部门决算中无项目绩效自评结果。</w:t>
      </w:r>
    </w:p>
    <w:p>
      <w:pPr>
        <w:shd w:val="clear"/>
        <w:autoSpaceDE w:val="0"/>
        <w:autoSpaceDN w:val="0"/>
        <w:adjustRightInd w:val="0"/>
        <w:ind w:firstLine="640" w:firstLineChars="200"/>
        <w:jc w:val="left"/>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（3）部门评价项目绩效评价结果。</w:t>
      </w:r>
    </w:p>
    <w:p>
      <w:pPr>
        <w:shd w:val="clea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2021年度一般公共预算中无项目支出，部门决算中无项目绩效自评结果。</w:t>
      </w: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rPr>
          <w:color w:val="auto"/>
          <w:sz w:val="72"/>
          <w:szCs w:val="72"/>
        </w:rPr>
      </w:pPr>
    </w:p>
    <w:p>
      <w:pPr>
        <w:pStyle w:val="13"/>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rFonts w:hint="eastAsia"/>
          <w:color w:val="auto"/>
          <w:sz w:val="72"/>
          <w:szCs w:val="72"/>
        </w:rPr>
      </w:pPr>
    </w:p>
    <w:p>
      <w:pPr>
        <w:pStyle w:val="13"/>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cs="黑体" w:asciiTheme="minorEastAsia" w:hAnsiTheme="minorEastAsia"/>
          <w:color w:val="auto"/>
          <w:kern w:val="0"/>
          <w:sz w:val="32"/>
          <w:szCs w:val="32"/>
        </w:rPr>
      </w:pP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（二）事业收入：指事业单位开展专业业务活动及辅助活动所取得的收入。</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（三）其他收入：指除上述“财政拨款收入”、“事业收入”、“经营收入”等以外的收入。</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（九）项目支出：填列单位为完成特定的行政工作任务或事业发展目标，在基本支出之外发生的各项支出</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 （十三）其他交通费用：填列单位除公务用车运行维护费以外的其他交通费用。如飞机、船舶等的燃料费、维修费、过桥过路费、保险费、出租车费用、公务交通补贴等。</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（十四）公务用车购置：填列单位公务用车车辆购置支出（含车辆购置税）。</w:t>
      </w:r>
    </w:p>
    <w:p>
      <w:pPr>
        <w:ind w:firstLine="640" w:firstLineChars="20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（十五）其他交通工具购置：填列单位除公务用车外的其他各类交通工具（如船舶、飞机）购置支出（含车辆购置税）。</w:t>
      </w:r>
    </w:p>
    <w:p>
      <w:pPr>
        <w:pStyle w:val="13"/>
        <w:ind w:firstLine="640" w:firstLineChars="200"/>
        <w:jc w:val="left"/>
        <w:rPr>
          <w:color w:val="auto"/>
          <w:sz w:val="72"/>
          <w:szCs w:val="72"/>
        </w:rPr>
      </w:pPr>
      <w:r>
        <w:rPr>
          <w:rFonts w:hint="eastAsia" w:asciiTheme="minorEastAsia" w:hAnsiTheme="minorEastAsia" w:eastAsiaTheme="minorEastAsia"/>
          <w:color w:val="auto"/>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shd w:val="clear"/>
        <w:ind w:firstLine="880" w:firstLineChars="200"/>
        <w:jc w:val="center"/>
        <w:rPr>
          <w:rFonts w:cs="黑体" w:asciiTheme="minorEastAsia" w:hAnsiTheme="minorEastAsia"/>
          <w:b/>
          <w:color w:val="auto"/>
          <w:kern w:val="0"/>
          <w:sz w:val="44"/>
          <w:szCs w:val="44"/>
        </w:rPr>
      </w:pPr>
      <w:r>
        <w:rPr>
          <w:rFonts w:hint="eastAsia" w:cs="黑体" w:asciiTheme="minorEastAsia" w:hAnsiTheme="minorEastAsia"/>
          <w:b/>
          <w:color w:val="auto"/>
          <w:kern w:val="0"/>
          <w:sz w:val="44"/>
          <w:szCs w:val="44"/>
        </w:rPr>
        <w:t>202</w:t>
      </w:r>
      <w:r>
        <w:rPr>
          <w:rFonts w:hint="eastAsia" w:cs="黑体" w:asciiTheme="minorEastAsia" w:hAnsiTheme="minorEastAsia"/>
          <w:b/>
          <w:color w:val="auto"/>
          <w:kern w:val="0"/>
          <w:sz w:val="44"/>
          <w:szCs w:val="44"/>
          <w:lang w:val="en-US" w:eastAsia="zh-CN"/>
        </w:rPr>
        <w:t>1</w:t>
      </w:r>
      <w:r>
        <w:rPr>
          <w:rFonts w:hint="eastAsia" w:cs="黑体" w:asciiTheme="minorEastAsia" w:hAnsiTheme="minorEastAsia"/>
          <w:b/>
          <w:color w:val="auto"/>
          <w:kern w:val="0"/>
          <w:sz w:val="44"/>
          <w:szCs w:val="44"/>
        </w:rPr>
        <w:t>年度部门整体支出绩效评价报告</w:t>
      </w:r>
    </w:p>
    <w:p>
      <w:pPr>
        <w:shd w:val="clear" w:color="auto"/>
        <w:spacing w:line="640" w:lineRule="exact"/>
        <w:ind w:firstLine="640"/>
        <w:rPr>
          <w:rFonts w:hint="eastAsia" w:ascii="黑体" w:hAnsi="黑体" w:eastAsia="黑体"/>
          <w:color w:val="auto"/>
          <w:spacing w:val="-2"/>
          <w:sz w:val="32"/>
          <w:szCs w:val="21"/>
        </w:rPr>
      </w:pPr>
      <w:r>
        <w:rPr>
          <w:rFonts w:hint="eastAsia" w:ascii="黑体" w:hAnsi="黑体" w:eastAsia="黑体"/>
          <w:color w:val="auto"/>
          <w:spacing w:val="-2"/>
          <w:sz w:val="32"/>
          <w:szCs w:val="32"/>
        </w:rPr>
        <w:t>一、部门概况</w:t>
      </w:r>
    </w:p>
    <w:p>
      <w:pPr>
        <w:shd w:val="clear"/>
        <w:ind w:firstLine="632" w:firstLineChars="200"/>
        <w:jc w:val="left"/>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rPr>
        <w:t>（一）部门基本情况。</w:t>
      </w:r>
    </w:p>
    <w:p>
      <w:pPr>
        <w:shd w:val="clear"/>
        <w:ind w:firstLine="640" w:firstLineChars="200"/>
        <w:jc w:val="left"/>
        <w:rPr>
          <w:rFonts w:hint="eastAsia" w:eastAsia="仿宋_GB2312"/>
          <w:color w:val="auto"/>
          <w:kern w:val="0"/>
          <w:sz w:val="32"/>
          <w:szCs w:val="32"/>
        </w:rPr>
      </w:pPr>
      <w:r>
        <w:rPr>
          <w:rFonts w:hint="eastAsia" w:eastAsia="仿宋_GB2312"/>
          <w:color w:val="auto"/>
          <w:kern w:val="0"/>
          <w:sz w:val="32"/>
          <w:szCs w:val="32"/>
        </w:rPr>
        <w:t>本单位是行政单位，下设党政办、经济发展办、</w:t>
      </w:r>
      <w:r>
        <w:rPr>
          <w:rFonts w:hint="eastAsia" w:eastAsia="仿宋_GB2312"/>
          <w:color w:val="auto"/>
          <w:kern w:val="0"/>
          <w:sz w:val="32"/>
          <w:szCs w:val="32"/>
          <w:lang w:eastAsia="zh-CN"/>
        </w:rPr>
        <w:t>社会治安和应急办</w:t>
      </w:r>
      <w:r>
        <w:rPr>
          <w:rFonts w:hint="eastAsia" w:eastAsia="仿宋_GB2312"/>
          <w:color w:val="auto"/>
          <w:kern w:val="0"/>
          <w:sz w:val="32"/>
          <w:szCs w:val="32"/>
        </w:rPr>
        <w:t>、</w:t>
      </w:r>
      <w:r>
        <w:rPr>
          <w:rFonts w:hint="eastAsia" w:eastAsia="仿宋_GB2312"/>
          <w:color w:val="auto"/>
          <w:kern w:val="0"/>
          <w:sz w:val="32"/>
          <w:szCs w:val="32"/>
          <w:lang w:eastAsia="zh-CN"/>
        </w:rPr>
        <w:t>社会事务办</w:t>
      </w:r>
      <w:r>
        <w:rPr>
          <w:rFonts w:hint="eastAsia" w:eastAsia="仿宋_GB2312"/>
          <w:color w:val="auto"/>
          <w:kern w:val="0"/>
          <w:sz w:val="32"/>
          <w:szCs w:val="32"/>
        </w:rPr>
        <w:t>、党建</w:t>
      </w:r>
      <w:r>
        <w:rPr>
          <w:rFonts w:hint="eastAsia" w:eastAsia="仿宋_GB2312"/>
          <w:color w:val="auto"/>
          <w:kern w:val="0"/>
          <w:sz w:val="32"/>
          <w:szCs w:val="32"/>
          <w:lang w:eastAsia="zh-CN"/>
        </w:rPr>
        <w:t>办</w:t>
      </w:r>
      <w:r>
        <w:rPr>
          <w:rFonts w:hint="eastAsia" w:eastAsia="仿宋_GB2312"/>
          <w:color w:val="auto"/>
          <w:kern w:val="0"/>
          <w:sz w:val="32"/>
          <w:szCs w:val="32"/>
        </w:rPr>
        <w:t>、农业</w:t>
      </w:r>
      <w:r>
        <w:rPr>
          <w:rFonts w:hint="eastAsia" w:eastAsia="仿宋_GB2312"/>
          <w:color w:val="auto"/>
          <w:kern w:val="0"/>
          <w:sz w:val="32"/>
          <w:szCs w:val="32"/>
          <w:lang w:eastAsia="zh-CN"/>
        </w:rPr>
        <w:t>综合</w:t>
      </w:r>
      <w:r>
        <w:rPr>
          <w:rFonts w:hint="eastAsia" w:eastAsia="仿宋_GB2312"/>
          <w:color w:val="auto"/>
          <w:kern w:val="0"/>
          <w:sz w:val="32"/>
          <w:szCs w:val="32"/>
        </w:rPr>
        <w:t>服务中心、安监站、社会</w:t>
      </w:r>
      <w:r>
        <w:rPr>
          <w:rFonts w:hint="eastAsia" w:eastAsia="仿宋_GB2312"/>
          <w:color w:val="auto"/>
          <w:kern w:val="0"/>
          <w:sz w:val="32"/>
          <w:szCs w:val="32"/>
          <w:lang w:eastAsia="zh-CN"/>
        </w:rPr>
        <w:t>事务综合服务</w:t>
      </w:r>
      <w:r>
        <w:rPr>
          <w:rFonts w:hint="eastAsia" w:eastAsia="仿宋_GB2312"/>
          <w:color w:val="auto"/>
          <w:kern w:val="0"/>
          <w:sz w:val="32"/>
          <w:szCs w:val="32"/>
        </w:rPr>
        <w:t>中心等。核定编制</w:t>
      </w:r>
      <w:r>
        <w:rPr>
          <w:rFonts w:hint="eastAsia" w:eastAsia="仿宋_GB2312"/>
          <w:color w:val="auto"/>
          <w:kern w:val="0"/>
          <w:sz w:val="32"/>
          <w:szCs w:val="32"/>
          <w:lang w:val="en-US" w:eastAsia="zh-CN"/>
        </w:rPr>
        <w:t>54</w:t>
      </w:r>
      <w:r>
        <w:rPr>
          <w:rFonts w:hint="eastAsia" w:eastAsia="仿宋_GB2312"/>
          <w:color w:val="auto"/>
          <w:kern w:val="0"/>
          <w:sz w:val="32"/>
          <w:szCs w:val="32"/>
        </w:rPr>
        <w:t>名，实有人数</w:t>
      </w:r>
      <w:r>
        <w:rPr>
          <w:rFonts w:hint="eastAsia" w:eastAsia="仿宋_GB2312"/>
          <w:color w:val="auto"/>
          <w:kern w:val="0"/>
          <w:sz w:val="32"/>
          <w:szCs w:val="32"/>
          <w:lang w:val="en-US" w:eastAsia="zh-CN"/>
        </w:rPr>
        <w:t>47</w:t>
      </w:r>
      <w:r>
        <w:rPr>
          <w:rFonts w:hint="eastAsia" w:eastAsia="仿宋_GB2312"/>
          <w:color w:val="auto"/>
          <w:kern w:val="0"/>
          <w:sz w:val="32"/>
          <w:szCs w:val="32"/>
        </w:rPr>
        <w:t>人，其中：行政人员</w:t>
      </w:r>
      <w:r>
        <w:rPr>
          <w:rFonts w:hint="eastAsia" w:eastAsia="仿宋_GB2312"/>
          <w:color w:val="auto"/>
          <w:kern w:val="0"/>
          <w:sz w:val="32"/>
          <w:szCs w:val="32"/>
          <w:lang w:val="en-US" w:eastAsia="zh-CN"/>
        </w:rPr>
        <w:t>21</w:t>
      </w:r>
      <w:r>
        <w:rPr>
          <w:rFonts w:hint="eastAsia" w:eastAsia="仿宋_GB2312"/>
          <w:color w:val="auto"/>
          <w:kern w:val="0"/>
          <w:sz w:val="32"/>
          <w:szCs w:val="32"/>
        </w:rPr>
        <w:t>人、非参公事业人员</w:t>
      </w:r>
      <w:r>
        <w:rPr>
          <w:rFonts w:hint="eastAsia" w:eastAsia="仿宋_GB2312"/>
          <w:color w:val="auto"/>
          <w:kern w:val="0"/>
          <w:sz w:val="32"/>
          <w:szCs w:val="32"/>
          <w:lang w:val="en-US" w:eastAsia="zh-CN"/>
        </w:rPr>
        <w:t>26</w:t>
      </w:r>
      <w:r>
        <w:rPr>
          <w:rFonts w:hint="eastAsia" w:eastAsia="仿宋_GB2312"/>
          <w:color w:val="auto"/>
          <w:kern w:val="0"/>
          <w:sz w:val="32"/>
          <w:szCs w:val="32"/>
        </w:rPr>
        <w:t>人。</w:t>
      </w:r>
    </w:p>
    <w:p>
      <w:pPr>
        <w:widowControl/>
        <w:shd w:val="clear"/>
        <w:ind w:firstLine="640" w:firstLineChars="200"/>
        <w:rPr>
          <w:rFonts w:hint="eastAsia" w:ascii="仿宋_GB2312" w:eastAsia="仿宋_GB2312"/>
          <w:color w:val="auto"/>
          <w:kern w:val="0"/>
          <w:sz w:val="32"/>
          <w:szCs w:val="32"/>
          <w:lang w:eastAsia="zh-CN"/>
        </w:rPr>
      </w:pPr>
      <w:r>
        <w:rPr>
          <w:rFonts w:hint="eastAsia" w:ascii="仿宋_GB2312" w:eastAsia="仿宋_GB2312" w:cs="仿宋_GB2312"/>
          <w:color w:val="auto"/>
          <w:kern w:val="0"/>
          <w:sz w:val="32"/>
          <w:szCs w:val="32"/>
        </w:rPr>
        <w:t>主要职能</w:t>
      </w:r>
      <w:r>
        <w:rPr>
          <w:rFonts w:hint="eastAsia" w:ascii="仿宋_GB2312" w:eastAsia="仿宋_GB2312" w:cs="仿宋_GB2312"/>
          <w:color w:val="auto"/>
          <w:kern w:val="0"/>
          <w:sz w:val="32"/>
          <w:szCs w:val="32"/>
          <w:lang w:eastAsia="zh-CN"/>
        </w:rPr>
        <w:t>如下：</w:t>
      </w:r>
    </w:p>
    <w:p>
      <w:pPr>
        <w:widowControl/>
        <w:shd w:val="clea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hd w:val="clea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shd w:val="clea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hd w:val="clea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(4)按计划组织本级财政收入和地方税的征收，完成国家财政计划，不断培植税源，管好财政资金，增强财政实力。</w:t>
      </w:r>
    </w:p>
    <w:p>
      <w:pPr>
        <w:widowControl/>
        <w:shd w:val="clea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(5)抓好精神文明建设，丰富群众文化生活，提倡移风易俗，反对封建迷信，破除陈规陋习，树立社会主义新风尚。</w:t>
      </w:r>
    </w:p>
    <w:p>
      <w:pPr>
        <w:widowControl/>
        <w:shd w:val="clea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(6)完成上级政府交办的其它事项。</w:t>
      </w:r>
    </w:p>
    <w:p>
      <w:pPr>
        <w:keepNext w:val="0"/>
        <w:keepLines w:val="0"/>
        <w:pageBreakBefore w:val="0"/>
        <w:widowControl/>
        <w:numPr>
          <w:ilvl w:val="0"/>
          <w:numId w:val="0"/>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rPr>
        <w:t>重点工作计划</w:t>
      </w:r>
      <w:r>
        <w:rPr>
          <w:rFonts w:hint="eastAsia" w:ascii="仿宋_GB2312" w:hAnsi="仿宋" w:eastAsia="仿宋_GB2312"/>
          <w:color w:val="auto"/>
          <w:spacing w:val="-2"/>
          <w:sz w:val="32"/>
          <w:szCs w:val="32"/>
          <w:lang w:eastAsia="zh-CN"/>
        </w:rPr>
        <w:t>：</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rPr>
        <w:t>全力以赴抓好重点民生实事项目建设</w:t>
      </w:r>
      <w:r>
        <w:rPr>
          <w:rFonts w:hint="eastAsia" w:ascii="仿宋_GB2312" w:hAnsi="仿宋" w:eastAsia="仿宋_GB2312"/>
          <w:color w:val="auto"/>
          <w:spacing w:val="-2"/>
          <w:sz w:val="32"/>
          <w:szCs w:val="32"/>
          <w:lang w:eastAsia="zh-CN"/>
        </w:rPr>
        <w:t>；</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eastAsia="仿宋_GB2312"/>
          <w:color w:val="auto"/>
          <w:sz w:val="32"/>
          <w:szCs w:val="32"/>
        </w:rPr>
      </w:pPr>
      <w:r>
        <w:rPr>
          <w:rFonts w:hint="eastAsia" w:ascii="仿宋_GB2312" w:hAnsi="仿宋" w:eastAsia="仿宋_GB2312"/>
          <w:color w:val="auto"/>
          <w:spacing w:val="-2"/>
          <w:sz w:val="32"/>
          <w:szCs w:val="32"/>
          <w:lang w:eastAsia="zh-CN"/>
        </w:rPr>
        <w:t>全力以赴促进经济社会高质量发展；</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全力以赴抓好党的建设；</w:t>
      </w:r>
    </w:p>
    <w:p>
      <w:pPr>
        <w:keepNext w:val="0"/>
        <w:keepLines w:val="0"/>
        <w:pageBreakBefore w:val="0"/>
        <w:widowControl/>
        <w:numPr>
          <w:ilvl w:val="0"/>
          <w:numId w:val="3"/>
        </w:numPr>
        <w:shd w:val="clea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全力以赴抓好社会稳定和安全生产工作。</w:t>
      </w:r>
    </w:p>
    <w:p>
      <w:pPr>
        <w:shd w:val="clear"/>
        <w:ind w:firstLine="632" w:firstLineChars="200"/>
        <w:jc w:val="left"/>
        <w:rPr>
          <w:rFonts w:hint="eastAsia" w:ascii="仿宋_GB2312" w:hAnsi="仿宋" w:eastAsia="仿宋_GB2312" w:cs="Times New Roman"/>
          <w:color w:val="auto"/>
          <w:spacing w:val="-2"/>
          <w:sz w:val="32"/>
          <w:szCs w:val="32"/>
        </w:rPr>
      </w:pPr>
      <w:r>
        <w:rPr>
          <w:rFonts w:hint="eastAsia" w:ascii="仿宋_GB2312" w:hAnsi="仿宋" w:eastAsia="仿宋_GB2312" w:cs="Times New Roman"/>
          <w:color w:val="auto"/>
          <w:spacing w:val="-2"/>
          <w:sz w:val="32"/>
          <w:szCs w:val="32"/>
        </w:rPr>
        <w:t>（二）部门整体支出规模、使用方向和主要内容、涉及范围等。</w:t>
      </w:r>
    </w:p>
    <w:p>
      <w:pPr>
        <w:shd w:val="clear" w:color="auto"/>
        <w:spacing w:line="640" w:lineRule="exact"/>
        <w:ind w:firstLine="640"/>
        <w:rPr>
          <w:rFonts w:hint="default"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2021年度总支出1126.46万元，主要用于基本支出851.87万元，项目支出274.59万元。其</w:t>
      </w:r>
      <w:r>
        <w:rPr>
          <w:rFonts w:hint="eastAsia" w:ascii="仿宋_GB2312" w:hAnsi="仿宋" w:eastAsia="仿宋_GB2312" w:cs="Times New Roman"/>
          <w:color w:val="auto"/>
          <w:spacing w:val="-2"/>
          <w:sz w:val="32"/>
          <w:szCs w:val="32"/>
          <w:lang w:val="en-US" w:eastAsia="zh-CN"/>
        </w:rPr>
        <w:t>中一般公共服务支出482.95万元、公共安全支出11.16万元、文化旅游体育与传媒支出68.5万元、社会保障和就业支出89.09万元、卫生健康支出29.42万元、城乡社区支出32.87万元、农林水支出335.28万元、交通运输支出15万元、住房保障支出15.54万元、灾害防治及应急管理支出33.65万元、其他支出13万元。</w:t>
      </w:r>
    </w:p>
    <w:p>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rPr>
        <w:t>二、部门整体支出管理及使用情况</w:t>
      </w:r>
    </w:p>
    <w:p>
      <w:pPr>
        <w:shd w:val="clear" w:color="auto"/>
        <w:spacing w:line="640" w:lineRule="exact"/>
        <w:ind w:firstLine="643"/>
        <w:rPr>
          <w:rFonts w:hint="eastAsia" w:ascii="楷体_GB2312" w:hAnsi="楷体_GB2312" w:eastAsia="楷体_GB2312" w:cs="楷体_GB2312"/>
          <w:b/>
          <w:color w:val="auto"/>
          <w:spacing w:val="-2"/>
          <w:sz w:val="32"/>
          <w:szCs w:val="21"/>
        </w:rPr>
      </w:pPr>
      <w:r>
        <w:rPr>
          <w:rFonts w:hint="eastAsia" w:ascii="楷体_GB2312" w:hAnsi="楷体_GB2312" w:eastAsia="楷体_GB2312" w:cs="楷体_GB2312"/>
          <w:b/>
          <w:color w:val="auto"/>
          <w:spacing w:val="-2"/>
          <w:sz w:val="32"/>
          <w:szCs w:val="32"/>
        </w:rPr>
        <w:t>（一）基本支出</w:t>
      </w:r>
    </w:p>
    <w:p>
      <w:pPr>
        <w:shd w:val="clear"/>
        <w:ind w:firstLine="800" w:firstLineChars="250"/>
        <w:rPr>
          <w:rFonts w:hint="eastAsia" w:ascii="仿宋_GB2312" w:hAnsi="仿宋" w:eastAsia="仿宋_GB2312"/>
          <w:color w:val="auto"/>
          <w:spacing w:val="-2"/>
          <w:sz w:val="32"/>
          <w:szCs w:val="21"/>
        </w:rPr>
      </w:pPr>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21</w:t>
      </w:r>
      <w:r>
        <w:rPr>
          <w:rFonts w:hint="eastAsia" w:ascii="仿宋" w:hAnsi="仿宋" w:eastAsia="仿宋"/>
          <w:b/>
          <w:color w:val="auto"/>
          <w:sz w:val="32"/>
          <w:szCs w:val="32"/>
        </w:rPr>
        <w:t>年基本支出</w:t>
      </w:r>
      <w:r>
        <w:rPr>
          <w:rFonts w:hint="eastAsia" w:ascii="仿宋" w:hAnsi="仿宋" w:eastAsia="仿宋"/>
          <w:b/>
          <w:color w:val="auto"/>
          <w:sz w:val="32"/>
          <w:szCs w:val="32"/>
          <w:lang w:val="en-US" w:eastAsia="zh-CN"/>
        </w:rPr>
        <w:t>851.87万</w:t>
      </w:r>
      <w:r>
        <w:rPr>
          <w:rFonts w:hint="eastAsia" w:ascii="仿宋" w:hAnsi="仿宋" w:eastAsia="仿宋"/>
          <w:b/>
          <w:color w:val="auto"/>
          <w:sz w:val="32"/>
          <w:szCs w:val="32"/>
        </w:rPr>
        <w:t>元。1、支出按经济分类</w:t>
      </w:r>
      <w:r>
        <w:rPr>
          <w:rFonts w:hint="eastAsia" w:ascii="仿宋" w:hAnsi="仿宋" w:eastAsia="仿宋"/>
          <w:color w:val="auto"/>
          <w:sz w:val="32"/>
          <w:szCs w:val="32"/>
        </w:rPr>
        <w:t>:</w:t>
      </w:r>
      <w:r>
        <w:rPr>
          <w:rFonts w:hint="eastAsia"/>
          <w:color w:val="auto"/>
        </w:rPr>
        <w:t xml:space="preserve"> </w:t>
      </w:r>
      <w:r>
        <w:rPr>
          <w:rFonts w:hint="eastAsia" w:ascii="仿宋" w:hAnsi="仿宋" w:eastAsia="仿宋"/>
          <w:color w:val="auto"/>
          <w:sz w:val="32"/>
          <w:szCs w:val="32"/>
        </w:rPr>
        <w:t>工资福利支出</w:t>
      </w:r>
      <w:r>
        <w:rPr>
          <w:rFonts w:hint="eastAsia" w:ascii="仿宋" w:hAnsi="仿宋" w:eastAsia="仿宋"/>
          <w:color w:val="auto"/>
          <w:sz w:val="32"/>
          <w:szCs w:val="32"/>
          <w:lang w:val="en-US" w:eastAsia="zh-CN"/>
        </w:rPr>
        <w:t>449.42</w:t>
      </w:r>
      <w:r>
        <w:rPr>
          <w:rFonts w:hint="eastAsia" w:ascii="仿宋" w:hAnsi="仿宋" w:eastAsia="仿宋"/>
          <w:color w:val="auto"/>
          <w:sz w:val="32"/>
          <w:szCs w:val="32"/>
        </w:rPr>
        <w:t>万元、商品服务支出</w:t>
      </w:r>
      <w:r>
        <w:rPr>
          <w:rFonts w:hint="eastAsia" w:ascii="仿宋" w:hAnsi="仿宋" w:eastAsia="仿宋"/>
          <w:color w:val="auto"/>
          <w:sz w:val="32"/>
          <w:szCs w:val="32"/>
          <w:lang w:val="en-US" w:eastAsia="zh-CN"/>
        </w:rPr>
        <w:t>143.54</w:t>
      </w:r>
      <w:r>
        <w:rPr>
          <w:rFonts w:hint="eastAsia" w:ascii="仿宋" w:hAnsi="仿宋" w:eastAsia="仿宋"/>
          <w:color w:val="auto"/>
          <w:sz w:val="32"/>
          <w:szCs w:val="32"/>
        </w:rPr>
        <w:t>万元、对个人和</w:t>
      </w:r>
      <w:r>
        <w:rPr>
          <w:rFonts w:hint="eastAsia" w:ascii="仿宋" w:hAnsi="仿宋" w:eastAsia="仿宋" w:cs="Times New Roman"/>
          <w:color w:val="auto"/>
          <w:sz w:val="32"/>
          <w:szCs w:val="32"/>
        </w:rPr>
        <w:t>家庭</w:t>
      </w:r>
      <w:r>
        <w:rPr>
          <w:rFonts w:hint="eastAsia" w:ascii="仿宋" w:hAnsi="仿宋" w:eastAsia="仿宋"/>
          <w:color w:val="auto"/>
          <w:sz w:val="32"/>
          <w:szCs w:val="32"/>
        </w:rPr>
        <w:t>补助支出</w:t>
      </w:r>
      <w:r>
        <w:rPr>
          <w:rFonts w:hint="eastAsia" w:ascii="仿宋" w:hAnsi="仿宋" w:eastAsia="仿宋"/>
          <w:color w:val="auto"/>
          <w:sz w:val="32"/>
          <w:szCs w:val="32"/>
          <w:lang w:val="en-US" w:eastAsia="zh-CN"/>
        </w:rPr>
        <w:t>253.91</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b/>
          <w:color w:val="auto"/>
          <w:sz w:val="32"/>
          <w:szCs w:val="32"/>
        </w:rPr>
        <w:t>2、支出按功能分类：</w:t>
      </w:r>
      <w:r>
        <w:rPr>
          <w:rFonts w:hint="eastAsia" w:ascii="仿宋_GB2312" w:hAnsi="仿宋" w:eastAsia="仿宋_GB2312" w:cs="Times New Roman"/>
          <w:color w:val="auto"/>
          <w:spacing w:val="-2"/>
          <w:sz w:val="32"/>
          <w:szCs w:val="32"/>
          <w:lang w:val="en-US" w:eastAsia="zh-CN"/>
        </w:rPr>
        <w:t>一般公共服务支出482.95万元、公共安全支出11.16万元、社会保障和就业支出79.09万元、卫生健康支出29.42万元、城乡社区支出10.8万元、农林水支出207.91万元、住房保障支出15.54万元、灾害影响正常防治及应急管理支出15万元。</w:t>
      </w:r>
      <w:r>
        <w:rPr>
          <w:rFonts w:hint="eastAsia" w:ascii="仿宋" w:hAnsi="仿宋" w:eastAsia="仿宋" w:cs="Times New Roman"/>
          <w:color w:val="auto"/>
          <w:sz w:val="32"/>
          <w:szCs w:val="32"/>
        </w:rPr>
        <w:t>2</w:t>
      </w:r>
      <w:r>
        <w:rPr>
          <w:rFonts w:hint="eastAsia" w:ascii="仿宋" w:hAnsi="仿宋" w:eastAsia="仿宋"/>
          <w:color w:val="auto"/>
          <w:sz w:val="32"/>
          <w:szCs w:val="32"/>
        </w:rPr>
        <w:t>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年“三公”支出</w:t>
      </w:r>
      <w:r>
        <w:rPr>
          <w:rFonts w:hint="eastAsia" w:ascii="仿宋" w:hAnsi="仿宋" w:eastAsia="仿宋"/>
          <w:color w:val="auto"/>
          <w:sz w:val="32"/>
          <w:szCs w:val="32"/>
          <w:lang w:val="en-US" w:eastAsia="zh-CN"/>
        </w:rPr>
        <w:t>6.41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较上年增加了1.72万元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其中公务接待费</w:t>
      </w:r>
      <w:r>
        <w:rPr>
          <w:rFonts w:hint="eastAsia" w:ascii="仿宋" w:hAnsi="仿宋" w:eastAsia="仿宋"/>
          <w:color w:val="auto"/>
          <w:sz w:val="32"/>
          <w:szCs w:val="32"/>
          <w:lang w:val="en-US" w:eastAsia="zh-CN"/>
        </w:rPr>
        <w:t>1.81</w:t>
      </w:r>
      <w:r>
        <w:rPr>
          <w:rFonts w:hint="eastAsia" w:ascii="仿宋" w:hAnsi="仿宋" w:eastAsia="仿宋"/>
          <w:color w:val="auto"/>
          <w:sz w:val="32"/>
          <w:szCs w:val="32"/>
        </w:rPr>
        <w:t>万元</w:t>
      </w:r>
      <w:r>
        <w:rPr>
          <w:rFonts w:hint="eastAsia" w:ascii="仿宋" w:hAnsi="仿宋" w:eastAsia="仿宋"/>
          <w:color w:val="auto"/>
          <w:sz w:val="32"/>
          <w:szCs w:val="32"/>
          <w:lang w:eastAsia="zh-CN"/>
        </w:rPr>
        <w:t>（较上年</w:t>
      </w:r>
      <w:r>
        <w:rPr>
          <w:rFonts w:hint="eastAsia" w:ascii="仿宋" w:hAnsi="仿宋" w:eastAsia="仿宋"/>
          <w:color w:val="auto"/>
          <w:sz w:val="32"/>
          <w:szCs w:val="32"/>
          <w:lang w:val="en-US" w:eastAsia="zh-CN"/>
        </w:rPr>
        <w:t>增加</w:t>
      </w:r>
      <w:r>
        <w:rPr>
          <w:rFonts w:hint="eastAsia" w:ascii="仿宋" w:hAnsi="仿宋" w:eastAsia="仿宋"/>
          <w:color w:val="auto"/>
          <w:sz w:val="32"/>
          <w:szCs w:val="32"/>
          <w:lang w:eastAsia="zh-CN"/>
        </w:rPr>
        <w:t>了</w:t>
      </w:r>
      <w:r>
        <w:rPr>
          <w:rFonts w:hint="eastAsia" w:ascii="仿宋" w:hAnsi="仿宋" w:eastAsia="仿宋"/>
          <w:color w:val="auto"/>
          <w:sz w:val="32"/>
          <w:szCs w:val="32"/>
          <w:lang w:val="en-US" w:eastAsia="zh-CN"/>
        </w:rPr>
        <w:t>0.5675万元</w:t>
      </w:r>
      <w:r>
        <w:rPr>
          <w:rFonts w:hint="eastAsia" w:ascii="仿宋" w:hAnsi="仿宋" w:eastAsia="仿宋"/>
          <w:color w:val="auto"/>
          <w:sz w:val="32"/>
          <w:szCs w:val="32"/>
          <w:lang w:eastAsia="zh-CN"/>
        </w:rPr>
        <w:t>），</w:t>
      </w:r>
      <w:r>
        <w:rPr>
          <w:rFonts w:hint="eastAsia" w:ascii="仿宋" w:hAnsi="仿宋" w:eastAsia="仿宋"/>
          <w:color w:val="auto"/>
          <w:sz w:val="32"/>
          <w:szCs w:val="32"/>
        </w:rPr>
        <w:t>公车用车运行费</w:t>
      </w:r>
      <w:r>
        <w:rPr>
          <w:rFonts w:hint="eastAsia" w:ascii="仿宋" w:hAnsi="仿宋" w:eastAsia="仿宋"/>
          <w:color w:val="auto"/>
          <w:sz w:val="32"/>
          <w:szCs w:val="32"/>
          <w:lang w:val="en-US" w:eastAsia="zh-CN"/>
        </w:rPr>
        <w:t>4.6</w:t>
      </w:r>
      <w:r>
        <w:rPr>
          <w:rFonts w:hint="eastAsia" w:ascii="仿宋" w:hAnsi="仿宋" w:eastAsia="仿宋"/>
          <w:color w:val="auto"/>
          <w:sz w:val="32"/>
          <w:szCs w:val="32"/>
        </w:rPr>
        <w:t>万元</w:t>
      </w:r>
      <w:r>
        <w:rPr>
          <w:rFonts w:hint="eastAsia" w:ascii="仿宋" w:hAnsi="仿宋" w:eastAsia="仿宋"/>
          <w:color w:val="auto"/>
          <w:sz w:val="32"/>
          <w:szCs w:val="32"/>
          <w:lang w:eastAsia="zh-CN"/>
        </w:rPr>
        <w:t>（较上年增加了</w:t>
      </w:r>
      <w:r>
        <w:rPr>
          <w:rFonts w:hint="eastAsia" w:ascii="仿宋" w:hAnsi="仿宋" w:eastAsia="仿宋"/>
          <w:color w:val="auto"/>
          <w:sz w:val="32"/>
          <w:szCs w:val="32"/>
          <w:lang w:val="en-US" w:eastAsia="zh-CN"/>
        </w:rPr>
        <w:t>3.6万元</w:t>
      </w:r>
      <w:r>
        <w:rPr>
          <w:rFonts w:hint="eastAsia" w:ascii="仿宋" w:hAnsi="仿宋" w:eastAsia="仿宋"/>
          <w:color w:val="auto"/>
          <w:sz w:val="32"/>
          <w:szCs w:val="32"/>
          <w:lang w:eastAsia="zh-CN"/>
        </w:rPr>
        <w:t>），三公经费严格按照县厉行节约办的控制数进行支出。</w:t>
      </w:r>
    </w:p>
    <w:p>
      <w:pPr>
        <w:shd w:val="clear" w:color="auto"/>
        <w:spacing w:line="640" w:lineRule="exact"/>
        <w:ind w:firstLine="643"/>
        <w:rPr>
          <w:rFonts w:hint="eastAsia" w:ascii="楷体_GB2312" w:hAnsi="楷体_GB2312" w:eastAsia="楷体_GB2312" w:cs="楷体_GB2312"/>
          <w:b/>
          <w:color w:val="auto"/>
          <w:spacing w:val="-2"/>
          <w:sz w:val="32"/>
          <w:szCs w:val="32"/>
        </w:rPr>
      </w:pPr>
      <w:r>
        <w:rPr>
          <w:rFonts w:hint="eastAsia" w:ascii="楷体_GB2312" w:hAnsi="楷体_GB2312" w:eastAsia="楷体_GB2312" w:cs="楷体_GB2312"/>
          <w:b/>
          <w:color w:val="auto"/>
          <w:spacing w:val="-2"/>
          <w:sz w:val="32"/>
          <w:szCs w:val="32"/>
        </w:rPr>
        <w:t>（二）专项支出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472"/>
        <w:jc w:val="both"/>
        <w:rPr>
          <w:rFonts w:hint="eastAsia" w:ascii="仿宋" w:hAnsi="仿宋" w:eastAsia="仿宋"/>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w:t>
      </w:r>
      <w:r>
        <w:rPr>
          <w:rFonts w:hint="eastAsia" w:ascii="仿宋" w:hAnsi="仿宋" w:eastAsia="仿宋"/>
          <w:color w:val="auto"/>
          <w:sz w:val="32"/>
          <w:szCs w:val="32"/>
          <w:lang w:eastAsia="zh-CN"/>
        </w:rPr>
        <w:t>专项</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274.59</w:t>
      </w:r>
      <w:r>
        <w:rPr>
          <w:rFonts w:hint="eastAsia" w:ascii="仿宋" w:hAnsi="仿宋" w:eastAsia="仿宋"/>
          <w:color w:val="auto"/>
          <w:sz w:val="32"/>
          <w:szCs w:val="32"/>
        </w:rPr>
        <w:t>万元，</w:t>
      </w:r>
      <w:r>
        <w:rPr>
          <w:rFonts w:hint="eastAsia" w:ascii="仿宋" w:hAnsi="仿宋" w:eastAsia="仿宋"/>
          <w:color w:val="auto"/>
          <w:sz w:val="32"/>
          <w:szCs w:val="32"/>
          <w:lang w:eastAsia="zh-CN"/>
        </w:rPr>
        <w:t>全部是财政资金，</w:t>
      </w:r>
      <w:r>
        <w:rPr>
          <w:rFonts w:hint="eastAsia" w:ascii="仿宋" w:hAnsi="仿宋" w:eastAsia="仿宋"/>
          <w:color w:val="auto"/>
          <w:sz w:val="32"/>
          <w:szCs w:val="32"/>
        </w:rPr>
        <w:t>主要用于</w:t>
      </w:r>
      <w:r>
        <w:rPr>
          <w:rFonts w:hint="eastAsia" w:ascii="仿宋" w:hAnsi="仿宋" w:eastAsia="仿宋"/>
          <w:color w:val="auto"/>
          <w:sz w:val="32"/>
          <w:szCs w:val="32"/>
          <w:lang w:eastAsia="zh-CN"/>
        </w:rPr>
        <w:t>基础设施建设、维修维护等项目支出，</w:t>
      </w:r>
      <w:r>
        <w:rPr>
          <w:rFonts w:hint="eastAsia" w:ascii="仿宋" w:hAnsi="仿宋" w:eastAsia="仿宋"/>
          <w:b w:val="0"/>
          <w:bCs/>
          <w:color w:val="auto"/>
          <w:sz w:val="32"/>
          <w:szCs w:val="32"/>
          <w:lang w:eastAsia="zh-CN"/>
        </w:rPr>
        <w:t>按</w:t>
      </w:r>
      <w:r>
        <w:rPr>
          <w:rFonts w:hint="eastAsia" w:ascii="仿宋" w:hAnsi="仿宋" w:eastAsia="仿宋"/>
          <w:b w:val="0"/>
          <w:bCs/>
          <w:color w:val="auto"/>
          <w:sz w:val="32"/>
          <w:szCs w:val="32"/>
        </w:rPr>
        <w:t>支出经济分类</w:t>
      </w:r>
      <w:r>
        <w:rPr>
          <w:rFonts w:hint="eastAsia" w:ascii="仿宋" w:hAnsi="仿宋" w:eastAsia="仿宋"/>
          <w:b w:val="0"/>
          <w:bCs/>
          <w:color w:val="auto"/>
          <w:sz w:val="32"/>
          <w:szCs w:val="32"/>
          <w:lang w:eastAsia="zh-CN"/>
        </w:rPr>
        <w:t>：</w:t>
      </w:r>
      <w:r>
        <w:rPr>
          <w:rFonts w:hint="eastAsia" w:ascii="仿宋" w:hAnsi="仿宋" w:eastAsia="仿宋"/>
          <w:color w:val="auto"/>
          <w:sz w:val="32"/>
          <w:szCs w:val="32"/>
        </w:rPr>
        <w:t>工资福利支出</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万元</w:t>
      </w:r>
      <w:r>
        <w:rPr>
          <w:rFonts w:hint="eastAsia" w:ascii="仿宋" w:hAnsi="仿宋" w:eastAsia="仿宋"/>
          <w:color w:val="auto"/>
          <w:sz w:val="32"/>
          <w:szCs w:val="32"/>
          <w:lang w:eastAsia="zh-CN"/>
        </w:rPr>
        <w:t>、资本性支出</w:t>
      </w:r>
      <w:r>
        <w:rPr>
          <w:rFonts w:hint="eastAsia" w:ascii="仿宋" w:hAnsi="仿宋" w:eastAsia="仿宋"/>
          <w:color w:val="auto"/>
          <w:sz w:val="32"/>
          <w:szCs w:val="32"/>
          <w:lang w:val="en-US" w:eastAsia="zh-CN"/>
        </w:rPr>
        <w:t>247.59万元</w:t>
      </w:r>
      <w:r>
        <w:rPr>
          <w:rFonts w:hint="eastAsia" w:ascii="仿宋" w:hAnsi="仿宋" w:eastAsia="仿宋"/>
          <w:color w:val="auto"/>
          <w:sz w:val="32"/>
          <w:szCs w:val="32"/>
          <w:lang w:eastAsia="zh-CN"/>
        </w:rPr>
        <w:t>；按</w:t>
      </w:r>
      <w:r>
        <w:rPr>
          <w:rFonts w:hint="eastAsia" w:ascii="仿宋" w:hAnsi="仿宋" w:eastAsia="仿宋"/>
          <w:b w:val="0"/>
          <w:bCs/>
          <w:color w:val="auto"/>
          <w:sz w:val="32"/>
          <w:szCs w:val="32"/>
        </w:rPr>
        <w:t>支出功能分类：</w:t>
      </w:r>
      <w:r>
        <w:rPr>
          <w:rFonts w:hint="eastAsia" w:ascii="仿宋" w:hAnsi="仿宋" w:eastAsia="仿宋"/>
          <w:color w:val="auto"/>
          <w:sz w:val="32"/>
          <w:szCs w:val="32"/>
        </w:rPr>
        <w:t>文化旅游体育与传媒支出</w:t>
      </w:r>
      <w:r>
        <w:rPr>
          <w:rFonts w:hint="eastAsia" w:ascii="仿宋" w:hAnsi="仿宋" w:eastAsia="仿宋"/>
          <w:color w:val="auto"/>
          <w:sz w:val="32"/>
          <w:szCs w:val="32"/>
          <w:lang w:val="en-US" w:eastAsia="zh-CN"/>
        </w:rPr>
        <w:t>68.5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社会保障和就业支出10万元、城乡社区支出22.07万元、农林水支出127.37</w:t>
      </w:r>
      <w:r>
        <w:rPr>
          <w:rFonts w:hint="eastAsia" w:ascii="仿宋" w:hAnsi="仿宋" w:eastAsia="仿宋"/>
          <w:color w:val="auto"/>
          <w:sz w:val="32"/>
          <w:szCs w:val="32"/>
        </w:rPr>
        <w:t>万元、交通运输支出</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万元、灾害防治及应急管理支出</w:t>
      </w:r>
      <w:r>
        <w:rPr>
          <w:rFonts w:hint="eastAsia" w:ascii="仿宋" w:hAnsi="仿宋" w:eastAsia="仿宋"/>
          <w:color w:val="auto"/>
          <w:sz w:val="32"/>
          <w:szCs w:val="32"/>
          <w:lang w:val="en-US" w:eastAsia="zh-CN"/>
        </w:rPr>
        <w:t>18.65万元、</w:t>
      </w:r>
      <w:r>
        <w:rPr>
          <w:rFonts w:hint="eastAsia" w:ascii="仿宋" w:hAnsi="仿宋" w:eastAsia="仿宋"/>
          <w:color w:val="auto"/>
          <w:sz w:val="32"/>
          <w:szCs w:val="32"/>
          <w:lang w:eastAsia="zh-CN"/>
        </w:rPr>
        <w:t>其他</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万元。</w:t>
      </w:r>
    </w:p>
    <w:p>
      <w:pPr>
        <w:shd w:val="clear" w:color="auto"/>
        <w:spacing w:line="640" w:lineRule="exact"/>
        <w:ind w:firstLine="640"/>
        <w:rPr>
          <w:rFonts w:hint="eastAsia" w:ascii="仿宋" w:hAnsi="仿宋" w:eastAsia="仿宋_GB2312" w:cs="Times New Roman"/>
          <w:color w:val="auto"/>
          <w:sz w:val="32"/>
          <w:szCs w:val="32"/>
          <w:lang w:eastAsia="zh-CN"/>
        </w:rPr>
      </w:pPr>
      <w:r>
        <w:rPr>
          <w:rFonts w:hint="eastAsia" w:ascii="仿宋_GB2312" w:hAnsi="仿宋" w:eastAsia="仿宋_GB2312"/>
          <w:color w:val="auto"/>
          <w:spacing w:val="-2"/>
          <w:sz w:val="32"/>
          <w:szCs w:val="32"/>
        </w:rPr>
        <w:t>专项资金管理情况分析</w:t>
      </w:r>
      <w:r>
        <w:rPr>
          <w:rFonts w:hint="eastAsia" w:ascii="仿宋_GB2312" w:hAnsi="仿宋" w:eastAsia="仿宋_GB2312"/>
          <w:color w:val="auto"/>
          <w:spacing w:val="-2"/>
          <w:sz w:val="32"/>
          <w:szCs w:val="32"/>
          <w:lang w:eastAsia="zh-CN"/>
        </w:rPr>
        <w:t>：</w:t>
      </w:r>
    </w:p>
    <w:p>
      <w:pPr>
        <w:shd w:val="clear" w:color="auto"/>
        <w:spacing w:line="640" w:lineRule="exact"/>
        <w:ind w:firstLine="640"/>
        <w:rPr>
          <w:rFonts w:hint="eastAsia" w:ascii="仿宋_GB2312" w:hAnsi="仿宋" w:eastAsia="仿宋_GB2312"/>
          <w:color w:val="auto"/>
          <w:spacing w:val="-2"/>
          <w:sz w:val="32"/>
          <w:szCs w:val="21"/>
        </w:rPr>
      </w:pPr>
      <w:r>
        <w:rPr>
          <w:rFonts w:hint="eastAsia" w:ascii="仿宋" w:hAnsi="仿宋" w:eastAsia="仿宋" w:cs="Times New Roman"/>
          <w:color w:val="auto"/>
          <w:sz w:val="32"/>
          <w:szCs w:val="32"/>
          <w:lang w:eastAsia="zh-CN"/>
        </w:rPr>
        <w:t>坚持</w:t>
      </w:r>
      <w:r>
        <w:rPr>
          <w:rFonts w:hint="eastAsia" w:ascii="仿宋" w:hAnsi="仿宋" w:eastAsia="仿宋" w:cs="Times New Roman"/>
          <w:color w:val="auto"/>
          <w:sz w:val="32"/>
          <w:szCs w:val="32"/>
        </w:rPr>
        <w:t>专款专用原则。专项资金的使用范围不允许超过被批准</w:t>
      </w:r>
      <w:r>
        <w:rPr>
          <w:rFonts w:hint="eastAsia" w:ascii="仿宋" w:hAnsi="仿宋" w:eastAsia="仿宋"/>
          <w:color w:val="auto"/>
          <w:sz w:val="32"/>
          <w:szCs w:val="32"/>
        </w:rPr>
        <w:t>（批复）的、已备案的、具体的投资项目预算内</w:t>
      </w:r>
      <w:r>
        <w:rPr>
          <w:rFonts w:hint="eastAsia" w:ascii="仿宋" w:hAnsi="仿宋" w:eastAsia="仿宋"/>
          <w:color w:val="auto"/>
          <w:sz w:val="32"/>
          <w:szCs w:val="32"/>
          <w:lang w:eastAsia="zh-CN"/>
        </w:rPr>
        <w:t>；</w:t>
      </w:r>
      <w:r>
        <w:rPr>
          <w:rFonts w:hint="eastAsia" w:ascii="仿宋" w:hAnsi="仿宋" w:eastAsia="仿宋"/>
          <w:color w:val="auto"/>
          <w:sz w:val="32"/>
          <w:szCs w:val="32"/>
        </w:rPr>
        <w:t>事前预算原则。专项资金纳入预算管理范围，事前明确支出的具体内容、时间、规模、产出目标，项目预算按资金拨付要求进行评审，设定项目绩效目标</w:t>
      </w:r>
      <w:r>
        <w:rPr>
          <w:rFonts w:hint="eastAsia" w:ascii="仿宋" w:hAnsi="仿宋" w:eastAsia="仿宋"/>
          <w:color w:val="auto"/>
          <w:sz w:val="32"/>
          <w:szCs w:val="32"/>
          <w:lang w:eastAsia="zh-CN"/>
        </w:rPr>
        <w:t>；</w:t>
      </w:r>
      <w:r>
        <w:rPr>
          <w:rFonts w:hint="eastAsia" w:ascii="仿宋" w:hAnsi="仿宋" w:eastAsia="仿宋"/>
          <w:color w:val="auto"/>
          <w:sz w:val="32"/>
          <w:szCs w:val="32"/>
        </w:rPr>
        <w:t>绩效管理原则。对专项资金的管理、项目竣工决算、项目绩效目标完成情况等进行全方位综合考评，提高专项资金使用效益</w:t>
      </w:r>
      <w:r>
        <w:rPr>
          <w:rFonts w:hint="eastAsia" w:ascii="仿宋" w:hAnsi="仿宋" w:eastAsia="仿宋"/>
          <w:color w:val="auto"/>
          <w:sz w:val="32"/>
          <w:szCs w:val="32"/>
          <w:lang w:eastAsia="zh-CN"/>
        </w:rPr>
        <w:t>。</w:t>
      </w:r>
      <w:r>
        <w:rPr>
          <w:rFonts w:hint="eastAsia" w:ascii="仿宋" w:hAnsi="仿宋" w:eastAsia="仿宋" w:cs="Times New Roman"/>
          <w:color w:val="auto"/>
          <w:sz w:val="32"/>
          <w:szCs w:val="32"/>
          <w:lang w:eastAsia="zh-CN"/>
        </w:rPr>
        <w:t>每笔专项资金的使用都进行了绩效评价，达到了预期的绩效目标。</w:t>
      </w:r>
    </w:p>
    <w:p>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rPr>
        <w:t>三、部门专项组织实施情况</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仿宋" w:hAnsi="仿宋" w:eastAsia="仿宋"/>
          <w:color w:val="auto"/>
          <w:sz w:val="32"/>
          <w:szCs w:val="32"/>
        </w:rPr>
      </w:pPr>
      <w:r>
        <w:rPr>
          <w:rFonts w:hint="eastAsia" w:ascii="仿宋" w:hAnsi="仿宋" w:eastAsia="仿宋" w:cs="仿宋"/>
          <w:color w:val="auto"/>
          <w:sz w:val="32"/>
          <w:szCs w:val="32"/>
        </w:rPr>
        <w:t>对于金额达到一定数额的项目，</w:t>
      </w:r>
      <w:r>
        <w:rPr>
          <w:rFonts w:hint="eastAsia" w:ascii="仿宋" w:hAnsi="仿宋" w:eastAsia="仿宋" w:cs="仿宋"/>
          <w:color w:val="auto"/>
          <w:sz w:val="32"/>
          <w:szCs w:val="32"/>
          <w:lang w:eastAsia="zh-CN"/>
        </w:rPr>
        <w:t>我乡</w:t>
      </w:r>
      <w:r>
        <w:rPr>
          <w:rFonts w:hint="eastAsia" w:ascii="仿宋" w:hAnsi="仿宋" w:eastAsia="仿宋" w:cs="仿宋"/>
          <w:color w:val="auto"/>
          <w:sz w:val="32"/>
          <w:szCs w:val="32"/>
        </w:rPr>
        <w:t>均按照要求开展了项目招投标，委托中标单位实施，进行第三方评估结算，绝大部分项目能够按规定落实使用资金，按规定完成项目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资金使用程序较规范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项目单位能够遵循合法合规的程序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完成项目立项申请内容的组织实施，并能按规定时间完成和验收，调整情况较少</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对于</w:t>
      </w:r>
      <w:r>
        <w:rPr>
          <w:rFonts w:hint="eastAsia" w:ascii="仿宋" w:hAnsi="仿宋" w:eastAsia="仿宋"/>
          <w:color w:val="auto"/>
          <w:sz w:val="32"/>
          <w:szCs w:val="32"/>
          <w:lang w:eastAsia="zh-CN"/>
        </w:rPr>
        <w:t>专项</w:t>
      </w:r>
      <w:r>
        <w:rPr>
          <w:rFonts w:hint="eastAsia" w:ascii="仿宋" w:hAnsi="仿宋" w:eastAsia="仿宋"/>
          <w:color w:val="auto"/>
          <w:sz w:val="32"/>
          <w:szCs w:val="32"/>
        </w:rPr>
        <w:t>资金我们</w:t>
      </w:r>
      <w:r>
        <w:rPr>
          <w:rFonts w:hint="eastAsia" w:ascii="仿宋" w:hAnsi="仿宋" w:eastAsia="仿宋"/>
          <w:color w:val="auto"/>
          <w:sz w:val="32"/>
          <w:szCs w:val="32"/>
          <w:lang w:eastAsia="zh-CN"/>
        </w:rPr>
        <w:t>严格遵循</w:t>
      </w:r>
      <w:r>
        <w:rPr>
          <w:rFonts w:hint="eastAsia" w:ascii="仿宋" w:hAnsi="仿宋" w:eastAsia="仿宋"/>
          <w:color w:val="auto"/>
          <w:sz w:val="32"/>
          <w:szCs w:val="32"/>
        </w:rPr>
        <w:t>专项资金管理制度，对每一个项目</w:t>
      </w:r>
      <w:r>
        <w:rPr>
          <w:rFonts w:hint="eastAsia" w:ascii="仿宋" w:hAnsi="仿宋" w:eastAsia="仿宋"/>
          <w:color w:val="auto"/>
          <w:sz w:val="32"/>
          <w:szCs w:val="32"/>
          <w:lang w:eastAsia="zh-CN"/>
        </w:rPr>
        <w:t>、每一个专项支出</w:t>
      </w:r>
      <w:r>
        <w:rPr>
          <w:rFonts w:hint="eastAsia" w:ascii="仿宋" w:hAnsi="仿宋" w:eastAsia="仿宋"/>
          <w:color w:val="auto"/>
          <w:sz w:val="32"/>
          <w:szCs w:val="32"/>
        </w:rPr>
        <w:t>实行专人负责，严把质量、验收、结算关，</w:t>
      </w:r>
      <w:r>
        <w:rPr>
          <w:rFonts w:hint="eastAsia" w:ascii="仿宋" w:hAnsi="仿宋" w:eastAsia="仿宋"/>
          <w:color w:val="auto"/>
          <w:sz w:val="32"/>
          <w:szCs w:val="32"/>
          <w:lang w:eastAsia="zh-CN"/>
        </w:rPr>
        <w:t>实行事前勘察、事中监督，事后跟踪，</w:t>
      </w:r>
      <w:r>
        <w:rPr>
          <w:rFonts w:hint="eastAsia" w:ascii="仿宋" w:hAnsi="仿宋" w:eastAsia="仿宋"/>
          <w:color w:val="auto"/>
          <w:sz w:val="32"/>
          <w:szCs w:val="32"/>
        </w:rPr>
        <w:t>从每一个环节确保每一分</w:t>
      </w:r>
      <w:r>
        <w:rPr>
          <w:rFonts w:hint="eastAsia" w:ascii="仿宋" w:hAnsi="仿宋" w:eastAsia="仿宋"/>
          <w:color w:val="auto"/>
          <w:sz w:val="32"/>
          <w:szCs w:val="32"/>
          <w:lang w:eastAsia="zh-CN"/>
        </w:rPr>
        <w:t>专项</w:t>
      </w:r>
      <w:r>
        <w:rPr>
          <w:rFonts w:hint="eastAsia" w:ascii="仿宋" w:hAnsi="仿宋" w:eastAsia="仿宋"/>
          <w:color w:val="auto"/>
          <w:sz w:val="32"/>
          <w:szCs w:val="32"/>
        </w:rPr>
        <w:t>财政资金落到实处</w:t>
      </w:r>
      <w:r>
        <w:rPr>
          <w:rFonts w:hint="eastAsia" w:ascii="仿宋" w:hAnsi="仿宋" w:eastAsia="仿宋"/>
          <w:color w:val="auto"/>
          <w:sz w:val="32"/>
          <w:szCs w:val="32"/>
          <w:lang w:eastAsia="zh-CN"/>
        </w:rPr>
        <w:t>，取得良好的效用</w:t>
      </w:r>
      <w:r>
        <w:rPr>
          <w:rFonts w:hint="eastAsia" w:ascii="仿宋" w:hAnsi="仿宋" w:eastAsia="仿宋"/>
          <w:color w:val="auto"/>
          <w:sz w:val="32"/>
          <w:szCs w:val="32"/>
        </w:rPr>
        <w:t>。</w:t>
      </w:r>
    </w:p>
    <w:p>
      <w:pPr>
        <w:keepNext w:val="0"/>
        <w:keepLines w:val="0"/>
        <w:pageBreakBefore w:val="0"/>
        <w:shd w:val="clear"/>
        <w:kinsoku/>
        <w:wordWrap/>
        <w:overflowPunct/>
        <w:topLinePunct w:val="0"/>
        <w:autoSpaceDE/>
        <w:autoSpaceDN/>
        <w:bidi w:val="0"/>
        <w:adjustRightInd/>
        <w:snapToGrid/>
        <w:spacing w:line="600" w:lineRule="exact"/>
        <w:ind w:firstLine="632" w:firstLineChars="200"/>
        <w:rPr>
          <w:rFonts w:hint="eastAsia" w:ascii="黑体" w:hAnsi="黑体" w:eastAsia="黑体"/>
          <w:color w:val="auto"/>
          <w:spacing w:val="-2"/>
          <w:sz w:val="32"/>
          <w:szCs w:val="32"/>
        </w:rPr>
      </w:pPr>
      <w:r>
        <w:rPr>
          <w:rFonts w:hint="eastAsia" w:ascii="黑体" w:hAnsi="黑体" w:eastAsia="黑体"/>
          <w:color w:val="auto"/>
          <w:spacing w:val="-2"/>
          <w:sz w:val="32"/>
          <w:szCs w:val="32"/>
          <w:lang w:eastAsia="zh-CN"/>
        </w:rPr>
        <w:t>四、</w:t>
      </w:r>
      <w:r>
        <w:rPr>
          <w:rFonts w:hint="eastAsia" w:ascii="黑体" w:hAnsi="黑体" w:eastAsia="黑体"/>
          <w:color w:val="auto"/>
          <w:spacing w:val="-2"/>
          <w:sz w:val="32"/>
          <w:szCs w:val="32"/>
        </w:rPr>
        <w:t>部门整体支出绩效情况</w:t>
      </w:r>
    </w:p>
    <w:p>
      <w:pPr>
        <w:pStyle w:val="2"/>
        <w:numPr>
          <w:ilvl w:val="0"/>
          <w:numId w:val="0"/>
        </w:numPr>
        <w:rPr>
          <w:rFonts w:hint="eastAsia"/>
          <w:color w:val="auto"/>
          <w:lang w:eastAsia="zh-CN"/>
        </w:rPr>
      </w:pPr>
      <w:r>
        <w:rPr>
          <w:rFonts w:hint="eastAsia"/>
          <w:color w:val="auto"/>
          <w:lang w:eastAsia="zh-CN"/>
        </w:rPr>
        <w:t xml:space="preserve">   </w:t>
      </w:r>
      <w:r>
        <w:rPr>
          <w:rFonts w:ascii="黑体" w:hAnsi="黑体" w:eastAsia="黑体"/>
          <w:bCs/>
          <w:color w:val="auto"/>
          <w:sz w:val="32"/>
          <w:szCs w:val="32"/>
        </w:rPr>
        <w:t>一、20</w:t>
      </w:r>
      <w:r>
        <w:rPr>
          <w:rFonts w:hint="eastAsia" w:ascii="黑体" w:hAnsi="黑体" w:eastAsia="黑体"/>
          <w:bCs/>
          <w:color w:val="auto"/>
          <w:sz w:val="32"/>
          <w:szCs w:val="32"/>
          <w:lang w:val="en-US" w:eastAsia="zh-CN"/>
        </w:rPr>
        <w:t>21</w:t>
      </w:r>
      <w:r>
        <w:rPr>
          <w:rFonts w:ascii="黑体" w:hAnsi="黑体" w:eastAsia="黑体"/>
          <w:bCs/>
          <w:color w:val="auto"/>
          <w:sz w:val="32"/>
          <w:szCs w:val="32"/>
        </w:rPr>
        <w:t>年工作情况</w:t>
      </w:r>
    </w:p>
    <w:p>
      <w:pPr>
        <w:keepNext w:val="0"/>
        <w:keepLines w:val="0"/>
        <w:pageBreakBefore w:val="0"/>
        <w:numPr>
          <w:ilvl w:val="0"/>
          <w:numId w:val="0"/>
        </w:numPr>
        <w:kinsoku/>
        <w:wordWrap/>
        <w:overflowPunct/>
        <w:topLinePunct w:val="0"/>
        <w:autoSpaceDE/>
        <w:autoSpaceDN/>
        <w:bidi w:val="0"/>
        <w:adjustRightInd/>
        <w:snapToGrid w:val="0"/>
        <w:spacing w:line="574" w:lineRule="exact"/>
        <w:ind w:firstLine="640" w:firstLineChars="200"/>
        <w:textAlignment w:val="auto"/>
        <w:rPr>
          <w:rFonts w:hint="default" w:ascii="楷体" w:hAnsi="楷体" w:eastAsia="楷体" w:cs="楷体"/>
          <w:b/>
          <w:bCs/>
          <w:color w:val="auto"/>
          <w:sz w:val="32"/>
          <w:szCs w:val="32"/>
          <w:lang w:val="en-US" w:eastAsia="zh-CN"/>
        </w:rPr>
      </w:pPr>
      <w:r>
        <w:rPr>
          <w:rFonts w:hint="eastAsia" w:ascii="仿宋" w:hAnsi="仿宋" w:eastAsia="仿宋" w:cs="仿宋"/>
          <w:b/>
          <w:color w:val="auto"/>
          <w:sz w:val="32"/>
          <w:szCs w:val="32"/>
          <w:lang w:val="en-US" w:eastAsia="zh-CN"/>
        </w:rPr>
        <w:t>巩固脱贫攻坚成果，全力推进乡村振兴。</w:t>
      </w:r>
      <w:r>
        <w:rPr>
          <w:rFonts w:hint="eastAsia" w:ascii="楷体" w:hAnsi="楷体" w:eastAsia="楷体" w:cs="楷体"/>
          <w:b/>
          <w:bCs/>
          <w:color w:val="auto"/>
          <w:sz w:val="32"/>
          <w:szCs w:val="32"/>
          <w:lang w:val="en-US" w:eastAsia="zh-CN"/>
        </w:rPr>
        <w:t>一是做实基础工作</w:t>
      </w:r>
      <w:r>
        <w:rPr>
          <w:rFonts w:hint="eastAsia" w:ascii="楷体" w:hAnsi="楷体" w:eastAsia="楷体" w:cs="楷体"/>
          <w:b/>
          <w:bCs/>
          <w:color w:val="auto"/>
          <w:sz w:val="32"/>
          <w:szCs w:val="32"/>
        </w:rPr>
        <w:t>。</w:t>
      </w:r>
      <w:r>
        <w:rPr>
          <w:rFonts w:hint="eastAsia" w:ascii="仿宋_GB2312" w:hAnsi="仿宋_GB2312" w:eastAsia="仿宋_GB2312" w:cs="仿宋_GB2312"/>
          <w:b w:val="0"/>
          <w:bCs w:val="0"/>
          <w:color w:val="auto"/>
          <w:kern w:val="0"/>
          <w:sz w:val="32"/>
          <w:szCs w:val="32"/>
          <w:lang w:val="en-US" w:eastAsia="zh-CN" w:bidi="ar"/>
        </w:rPr>
        <w:t>对低收入户、整户无劳力户、重病重残户、突发意外户等重点对象定期开展摸排，加强</w:t>
      </w:r>
      <w:r>
        <w:rPr>
          <w:rFonts w:hint="default" w:ascii="Times New Roman" w:hAnsi="Times New Roman" w:eastAsia="仿宋_GB2312" w:cs="Times New Roman"/>
          <w:b w:val="0"/>
          <w:bCs w:val="0"/>
          <w:color w:val="auto"/>
          <w:sz w:val="32"/>
          <w:szCs w:val="32"/>
          <w:highlight w:val="none"/>
          <w:lang w:val="en-US" w:eastAsia="zh-CN"/>
        </w:rPr>
        <w:t>防返贫动态调整</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lang w:val="en-US" w:eastAsia="zh-CN" w:bidi="ar"/>
        </w:rPr>
        <w:t>2021年对全乡存在致贫返贫风险的8户14人及时纳入监测。</w:t>
      </w:r>
      <w:r>
        <w:rPr>
          <w:rFonts w:hint="eastAsia" w:ascii="仿宋_GB2312" w:hAnsi="仿宋_GB2312" w:eastAsia="仿宋_GB2312" w:cs="仿宋_GB2312"/>
          <w:b w:val="0"/>
          <w:bCs w:val="0"/>
          <w:color w:val="auto"/>
          <w:sz w:val="32"/>
          <w:szCs w:val="32"/>
          <w:lang w:val="en-US" w:eastAsia="zh-CN"/>
        </w:rPr>
        <w:t>全乡所有脱贫户、监测户按照网格化管理，由乡村两级干部，一对一包保帮扶，</w:t>
      </w:r>
      <w:r>
        <w:rPr>
          <w:rFonts w:hint="eastAsia" w:ascii="仿宋_GB2312" w:hAnsi="仿宋_GB2312" w:eastAsia="仿宋_GB2312" w:cs="仿宋_GB2312"/>
          <w:b w:val="0"/>
          <w:bCs w:val="0"/>
          <w:color w:val="auto"/>
          <w:kern w:val="0"/>
          <w:sz w:val="32"/>
          <w:szCs w:val="32"/>
          <w:lang w:val="en-US" w:eastAsia="zh-CN" w:bidi="ar"/>
        </w:rPr>
        <w:t>通过上户联络，因户施策，确保巩固脱贫攻坚成果工作落到实处。</w:t>
      </w:r>
      <w:r>
        <w:rPr>
          <w:rFonts w:hint="eastAsia" w:ascii="楷体" w:hAnsi="楷体" w:eastAsia="楷体" w:cs="楷体"/>
          <w:b/>
          <w:bCs/>
          <w:color w:val="auto"/>
          <w:sz w:val="32"/>
          <w:szCs w:val="32"/>
          <w:lang w:val="en-US" w:eastAsia="zh-CN"/>
        </w:rPr>
        <w:t>二是强化产业发展</w:t>
      </w:r>
      <w:r>
        <w:rPr>
          <w:rFonts w:hint="eastAsia" w:ascii="楷体" w:hAnsi="楷体" w:eastAsia="楷体" w:cs="楷体"/>
          <w:b/>
          <w:bCs/>
          <w:color w:val="auto"/>
          <w:sz w:val="32"/>
          <w:szCs w:val="32"/>
        </w:rPr>
        <w:t>。</w:t>
      </w:r>
      <w:r>
        <w:rPr>
          <w:rFonts w:hint="eastAsia" w:ascii="仿宋_GB2312" w:hAnsi="仿宋_GB2312" w:eastAsia="仿宋_GB2312" w:cs="仿宋_GB2312"/>
          <w:b w:val="0"/>
          <w:bCs w:val="0"/>
          <w:color w:val="auto"/>
          <w:sz w:val="32"/>
          <w:szCs w:val="32"/>
          <w:lang w:val="en-US" w:eastAsia="zh-CN"/>
        </w:rPr>
        <w:t>我乡产业特色优势明显，金银花猕猴桃发展趋势持续向好，群众发展意愿很高，</w:t>
      </w:r>
      <w:r>
        <w:rPr>
          <w:rFonts w:hint="eastAsia" w:ascii="仿宋_GB2312" w:hAnsi="仿宋_GB2312" w:eastAsia="仿宋_GB2312" w:cs="仿宋_GB2312"/>
          <w:b w:val="0"/>
          <w:bCs w:val="0"/>
          <w:color w:val="auto"/>
          <w:kern w:val="0"/>
          <w:sz w:val="32"/>
          <w:szCs w:val="32"/>
          <w:lang w:val="en-US" w:eastAsia="zh-CN" w:bidi="ar"/>
        </w:rPr>
        <w:t>2021年申报自主产业发展57户，奖补金额12.241万元，一部分群众通过申请小额贷款，规范化产业发展，共发放贷款71笔239万元，累计贴息14.75万元。新增四跟四走项目“低庄镇惠泽牧业生猪养殖项目”，年实现产业分红12.608万元。</w:t>
      </w:r>
      <w:r>
        <w:rPr>
          <w:rFonts w:hint="eastAsia" w:ascii="楷体" w:hAnsi="楷体" w:eastAsia="楷体" w:cs="楷体"/>
          <w:b/>
          <w:bCs/>
          <w:color w:val="auto"/>
          <w:sz w:val="32"/>
          <w:szCs w:val="32"/>
          <w:lang w:val="en-US" w:eastAsia="zh-CN"/>
        </w:rPr>
        <w:t>三是壮大村集体经济。</w:t>
      </w:r>
      <w:r>
        <w:rPr>
          <w:rFonts w:hint="eastAsia" w:ascii="仿宋_GB2312" w:hAnsi="仿宋_GB2312" w:eastAsia="仿宋_GB2312" w:cs="仿宋_GB2312"/>
          <w:b w:val="0"/>
          <w:bCs w:val="0"/>
          <w:color w:val="auto"/>
          <w:kern w:val="0"/>
          <w:sz w:val="32"/>
          <w:szCs w:val="32"/>
          <w:lang w:val="en-US" w:eastAsia="zh-CN" w:bidi="ar"/>
        </w:rPr>
        <w:t>2021年我乡两个村集体经济发展项目一个是建设龙庄湾村冷链仓储烘干物流中心，一个是入股怀化雁露园生态农业有限公司。</w:t>
      </w:r>
    </w:p>
    <w:p>
      <w:pPr>
        <w:pStyle w:val="8"/>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仿宋_GB2312" w:hAnsi="仿宋" w:eastAsia="仿宋_GB2312" w:cs="Arial"/>
          <w:color w:val="auto"/>
          <w:kern w:val="0"/>
          <w:sz w:val="32"/>
          <w:szCs w:val="32"/>
          <w:lang w:val="en-US" w:eastAsia="zh-CN" w:bidi="ar-SA"/>
        </w:rPr>
      </w:pPr>
      <w:r>
        <w:rPr>
          <w:rFonts w:hint="eastAsia" w:ascii="仿宋" w:hAnsi="仿宋" w:eastAsia="仿宋" w:cs="仿宋"/>
          <w:b/>
          <w:bCs/>
          <w:color w:val="auto"/>
          <w:sz w:val="32"/>
          <w:szCs w:val="32"/>
          <w:lang w:val="en-US" w:eastAsia="zh-CN"/>
        </w:rPr>
        <w:t>加强文化建设阵地。一是</w:t>
      </w:r>
      <w:r>
        <w:rPr>
          <w:rFonts w:hint="eastAsia" w:ascii="仿宋_GB2312" w:hAnsi="仿宋_GB2312" w:eastAsia="仿宋_GB2312" w:cs="仿宋_GB2312"/>
          <w:b w:val="0"/>
          <w:bCs w:val="0"/>
          <w:color w:val="auto"/>
          <w:kern w:val="0"/>
          <w:sz w:val="32"/>
          <w:szCs w:val="32"/>
          <w:lang w:val="en-US" w:eastAsia="zh-CN" w:bidi="ar"/>
        </w:rPr>
        <w:t>完善了乡文化工作站的配置，各村农家书屋标准化建设。</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 w:eastAsia="仿宋_GB2312" w:cs="Arial"/>
          <w:color w:val="auto"/>
          <w:kern w:val="0"/>
          <w:sz w:val="32"/>
          <w:szCs w:val="32"/>
          <w:lang w:val="en-US" w:eastAsia="zh-CN" w:bidi="ar-SA"/>
        </w:rPr>
        <w:t>举办了“引领文明风尚、助力乡村振兴”、“启航新征程、奋进新时代”等多场文艺汇演；</w:t>
      </w:r>
      <w:r>
        <w:rPr>
          <w:rFonts w:hint="eastAsia" w:ascii="仿宋_GB2312" w:hAnsi="仿宋" w:eastAsia="仿宋_GB2312" w:cs="Arial"/>
          <w:b/>
          <w:bCs/>
          <w:color w:val="auto"/>
          <w:kern w:val="0"/>
          <w:sz w:val="32"/>
          <w:szCs w:val="32"/>
          <w:lang w:val="en-US" w:eastAsia="zh-CN" w:bidi="ar-SA"/>
        </w:rPr>
        <w:t>三是</w:t>
      </w:r>
      <w:r>
        <w:rPr>
          <w:rFonts w:hint="eastAsia" w:ascii="仿宋_GB2312" w:hAnsi="仿宋" w:eastAsia="仿宋_GB2312" w:cs="Arial"/>
          <w:color w:val="auto"/>
          <w:kern w:val="0"/>
          <w:sz w:val="32"/>
          <w:szCs w:val="32"/>
          <w:lang w:val="en-US" w:eastAsia="zh-CN" w:bidi="ar-SA"/>
        </w:rPr>
        <w:t>组织好婆婆、好媳妇和星级文明户评比工作，30户道德模范收到了表彰，树立了移风易俗新标杆。</w:t>
      </w:r>
      <w:r>
        <w:rPr>
          <w:rFonts w:hint="eastAsia" w:ascii="仿宋_GB2312" w:hAnsi="仿宋" w:eastAsia="仿宋_GB2312" w:cs="Arial"/>
          <w:b/>
          <w:bCs/>
          <w:color w:val="auto"/>
          <w:kern w:val="0"/>
          <w:sz w:val="32"/>
          <w:szCs w:val="32"/>
          <w:lang w:val="en-US" w:eastAsia="zh-CN" w:bidi="ar-SA"/>
        </w:rPr>
        <w:t>四</w:t>
      </w:r>
      <w:r>
        <w:rPr>
          <w:rFonts w:hint="eastAsia" w:ascii="仿宋_GB2312" w:hAnsi="仿宋_GB2312" w:eastAsia="仿宋_GB2312" w:cs="仿宋_GB2312"/>
          <w:b/>
          <w:bCs/>
          <w:color w:val="auto"/>
          <w:kern w:val="0"/>
          <w:sz w:val="32"/>
          <w:szCs w:val="32"/>
          <w:lang w:val="en-US" w:eastAsia="zh-CN" w:bidi="ar"/>
        </w:rPr>
        <w:t>是</w:t>
      </w:r>
      <w:r>
        <w:rPr>
          <w:rFonts w:hint="eastAsia" w:ascii="仿宋_GB2312" w:hAnsi="仿宋" w:eastAsia="仿宋_GB2312" w:cs="Arial"/>
          <w:color w:val="auto"/>
          <w:kern w:val="0"/>
          <w:sz w:val="32"/>
          <w:szCs w:val="32"/>
          <w:lang w:val="en-US" w:eastAsia="zh-CN" w:bidi="ar-SA"/>
        </w:rPr>
        <w:t>有关部门下乡义诊、义剪、送温暖活动接连不断，倡导新时代新文化。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落实疫情防控常态化措施。</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严格落实疫情防控常态化管控措施，积极摸排境外、中高风险地区返（来）溆人员，截止当前我乡共摸排涉境外人员11人，涉国内中高风险地区人员39人，严格落实管控措施。</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大力推进疫苗接种工作，目前为止，全乡完成12岁以上人群全程接种4998人；完成3-11岁人群第一剂接种844人，接种率达71.22%。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狠抓人居环境整治。</w:t>
      </w:r>
      <w:r>
        <w:rPr>
          <w:rFonts w:hint="eastAsia" w:ascii="仿宋" w:hAnsi="仿宋" w:eastAsia="仿宋" w:cs="宋体"/>
          <w:color w:val="auto"/>
          <w:kern w:val="0"/>
          <w:sz w:val="32"/>
          <w:szCs w:val="31"/>
          <w:lang w:val="en-US" w:eastAsia="zh-CN" w:bidi="ar-SA"/>
        </w:rPr>
        <w:t>坚持倡导绿水青山就是金山银山的绿色发展理念，</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按照“六无一全”的要求常态化落实人居环境整治</w:t>
      </w:r>
      <w:r>
        <w:rPr>
          <w:rFonts w:hint="eastAsia" w:ascii="仿宋" w:hAnsi="仿宋" w:eastAsia="仿宋" w:cs="宋体"/>
          <w:color w:val="auto"/>
          <w:kern w:val="0"/>
          <w:sz w:val="32"/>
          <w:szCs w:val="31"/>
          <w:lang w:val="en-US" w:eastAsia="zh-CN" w:bidi="ar-SA"/>
        </w:rPr>
        <w:t>。</w:t>
      </w:r>
      <w:r>
        <w:rPr>
          <w:rFonts w:hint="eastAsia" w:ascii="仿宋" w:hAnsi="仿宋" w:eastAsia="仿宋" w:cs="宋体"/>
          <w:b/>
          <w:bCs/>
          <w:color w:val="auto"/>
          <w:kern w:val="0"/>
          <w:sz w:val="32"/>
          <w:szCs w:val="31"/>
          <w:lang w:val="en-US" w:eastAsia="zh-CN" w:bidi="ar-SA"/>
        </w:rPr>
        <w:t>一是加强污染防治</w:t>
      </w:r>
      <w:r>
        <w:rPr>
          <w:rFonts w:hint="eastAsia" w:ascii="仿宋" w:hAnsi="仿宋" w:eastAsia="仿宋" w:cs="宋体"/>
          <w:color w:val="auto"/>
          <w:kern w:val="0"/>
          <w:sz w:val="32"/>
          <w:szCs w:val="31"/>
          <w:lang w:val="en-US" w:eastAsia="zh-CN" w:bidi="ar-SA"/>
        </w:rPr>
        <w:t>，全面加强水污染防治，污水处理系统已完成前期工作，建设检查井57个；全面推进农村户厕新改建工作，2021年完成农村改厕户133户。</w:t>
      </w:r>
      <w:r>
        <w:rPr>
          <w:rFonts w:hint="eastAsia" w:ascii="仿宋" w:hAnsi="仿宋" w:eastAsia="仿宋" w:cs="宋体"/>
          <w:b/>
          <w:bCs/>
          <w:color w:val="auto"/>
          <w:kern w:val="0"/>
          <w:sz w:val="32"/>
          <w:szCs w:val="31"/>
          <w:lang w:val="en-US" w:eastAsia="zh-CN" w:bidi="ar-SA"/>
        </w:rPr>
        <w:t>二是配齐环卫物资</w:t>
      </w:r>
      <w:r>
        <w:rPr>
          <w:rFonts w:hint="eastAsia" w:ascii="仿宋" w:hAnsi="仿宋" w:eastAsia="仿宋" w:cs="宋体"/>
          <w:color w:val="auto"/>
          <w:kern w:val="0"/>
          <w:sz w:val="32"/>
          <w:szCs w:val="31"/>
          <w:lang w:val="en-US" w:eastAsia="zh-CN" w:bidi="ar-SA"/>
        </w:rPr>
        <w:t>，发放垃圾箱625个，配备垃圾清洁车辆2台，做到垃圾日产日清，同时设立20块有奖举报牌，鼓励群众监督破坏环境、乱丢垃圾的行为，并建立了严格的督查奖惩机制，实现了人居环境常态化管理。</w:t>
      </w:r>
      <w:r>
        <w:rPr>
          <w:rFonts w:hint="eastAsia" w:ascii="仿宋" w:hAnsi="仿宋" w:eastAsia="仿宋" w:cs="宋体"/>
          <w:b/>
          <w:bCs/>
          <w:color w:val="auto"/>
          <w:kern w:val="0"/>
          <w:sz w:val="32"/>
          <w:szCs w:val="31"/>
          <w:lang w:val="en-US" w:eastAsia="zh-CN" w:bidi="ar-SA"/>
        </w:rPr>
        <w:t>三是全面推行河长制</w:t>
      </w:r>
      <w:r>
        <w:rPr>
          <w:rFonts w:hint="eastAsia" w:ascii="仿宋" w:hAnsi="仿宋" w:eastAsia="仿宋" w:cs="宋体"/>
          <w:color w:val="auto"/>
          <w:kern w:val="0"/>
          <w:sz w:val="32"/>
          <w:szCs w:val="31"/>
          <w:lang w:val="en-US" w:eastAsia="zh-CN" w:bidi="ar-SA"/>
        </w:rPr>
        <w:t>，组织开展示范河段创建，自2021年9月禁捕水域格化管理工作开展以来，网格员每周开展1次巡查，非法捕捞高发、多发水域增加巡查频次;网格长每10日开展1次巡查。截至2021年11月底共出动巡查人员219人，巡查车辆76辆。“一人多杆”行为查处行为2起、查处人数2起、收缴钩杆4根。同时结合人居环境整治工作，对河道进行清理。</w:t>
      </w:r>
      <w:r>
        <w:rPr>
          <w:rFonts w:hint="eastAsia" w:ascii="仿宋" w:hAnsi="仿宋" w:eastAsia="仿宋" w:cs="宋体"/>
          <w:b/>
          <w:bCs/>
          <w:color w:val="auto"/>
          <w:kern w:val="0"/>
          <w:sz w:val="32"/>
          <w:szCs w:val="31"/>
          <w:lang w:val="en-US" w:eastAsia="zh-CN" w:bidi="ar-SA"/>
        </w:rPr>
        <w:t>四是持续推进绿化美化。</w:t>
      </w:r>
      <w:r>
        <w:rPr>
          <w:rFonts w:hint="eastAsia" w:ascii="仿宋_GB2312" w:hAnsi="仿宋_GB2312" w:eastAsia="仿宋_GB2312" w:cs="仿宋_GB2312"/>
          <w:color w:val="auto"/>
          <w:sz w:val="32"/>
          <w:szCs w:val="32"/>
          <w:lang w:val="en-US" w:eastAsia="zh-CN"/>
        </w:rPr>
        <w:t>绿化车路沿线，新种植罗汉松、红叶石楠、桂花、紫薇等树种共计400余株，推行美化工程，积极鼓励群众旧篱笆换新竹栏，共建设新篱笆7309.8米。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强农惠农政策稳步推进。一是</w:t>
      </w:r>
      <w:r>
        <w:rPr>
          <w:rFonts w:hint="eastAsia" w:ascii="仿宋_GB2312" w:hAnsi="仿宋_GB2312" w:eastAsia="仿宋_GB2312" w:cs="仿宋_GB2312"/>
          <w:color w:val="auto"/>
          <w:sz w:val="32"/>
          <w:szCs w:val="32"/>
          <w:lang w:val="en-US" w:eastAsia="zh-CN"/>
        </w:rPr>
        <w:t>对摸排上报的204.3亩抛荒土地，进行流转、复种，落实耕地抛荒整治。</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落实惠农补贴发放。全乡一次性种粮补贴面积共6181.64亩，补贴金额12363.8元；耕地地力保护补贴共2656.21亩，补贴金额278902.05元。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坚守安全生产底线</w:t>
      </w:r>
      <w:r>
        <w:rPr>
          <w:rFonts w:hint="eastAsia" w:ascii="仿宋" w:hAnsi="仿宋" w:eastAsia="仿宋" w:cs="仿宋"/>
          <w:color w:val="auto"/>
          <w:sz w:val="32"/>
          <w:szCs w:val="32"/>
          <w:lang w:val="en-US" w:eastAsia="zh-CN"/>
        </w:rPr>
        <w:t>。严格落实“党政同责、一岗双责、齐抓共管、失职追责”的安全生产责任制。结合“安全生产月”“全国防灾减灾日”“道路交通顽瘴痼疾整治”“打非治违三年攻坚行动”“带帽工程”等系列专项活动，全年开展安全生产专题讲座4次，安全生产“打非治违”专项行动6次、“一盔一带”专项行动16次，开展“消防安全”讲座3次；同时按照“九长制”要求压实防溺水工作责任。实现了全年安全生产零事故。</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扎实做好森林防火和防汛抗旱工作。一是</w:t>
      </w:r>
      <w:r>
        <w:rPr>
          <w:rFonts w:hint="eastAsia" w:ascii="仿宋" w:hAnsi="仿宋" w:eastAsia="仿宋" w:cs="仿宋"/>
          <w:color w:val="auto"/>
          <w:sz w:val="32"/>
          <w:szCs w:val="32"/>
          <w:lang w:val="en-US" w:eastAsia="zh-CN"/>
        </w:rPr>
        <w:t>严格执行24小时防火防汛值班制，强化干部的防灾意识和应急避险处置能力，严格落实值班责任。</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落实好生态护林员工作责任，全乡共聘请生态护林员13名，肩护着全乡1.8万亩森林、2.1万亩林地守护任务，督促其履职尽责。</w:t>
      </w:r>
    </w:p>
    <w:p>
      <w:pPr>
        <w:keepNext w:val="0"/>
        <w:keepLines w:val="0"/>
        <w:pageBreakBefore w:val="0"/>
        <w:tabs>
          <w:tab w:val="left" w:pos="5536"/>
        </w:tabs>
        <w:kinsoku/>
        <w:wordWrap/>
        <w:overflowPunct/>
        <w:topLinePunct w:val="0"/>
        <w:autoSpaceDE/>
        <w:autoSpaceDN/>
        <w:bidi w:val="0"/>
        <w:adjustRightInd/>
        <w:spacing w:line="574"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不断提高社会保障能力。</w:t>
      </w:r>
      <w:r>
        <w:rPr>
          <w:rFonts w:hint="eastAsia" w:ascii="仿宋" w:hAnsi="仿宋" w:eastAsia="仿宋" w:cs="仿宋"/>
          <w:color w:val="auto"/>
          <w:sz w:val="32"/>
          <w:szCs w:val="32"/>
          <w:lang w:val="en-US" w:eastAsia="zh-CN"/>
        </w:rPr>
        <w:t>今年以来，我乡新增就业人数107人，全乡3350人缴纳城乡居民养老保险。全年共发放临时生活救助336人次，发放救助资金338400元；低保现有130户199人、特困供养现在32户34人，其中集中供养12人，分散供养22人、事实无人抚养儿童10人、孤儿1人、重度残疾人244人。</w:t>
      </w:r>
    </w:p>
    <w:p>
      <w:pPr>
        <w:keepNext w:val="0"/>
        <w:keepLines w:val="0"/>
        <w:pageBreakBefore w:val="0"/>
        <w:numPr>
          <w:ilvl w:val="0"/>
          <w:numId w:val="4"/>
        </w:numPr>
        <w:kinsoku/>
        <w:wordWrap/>
        <w:overflowPunct/>
        <w:topLinePunct w:val="0"/>
        <w:autoSpaceDE/>
        <w:autoSpaceDN/>
        <w:bidi w:val="0"/>
        <w:adjustRightInd/>
        <w:spacing w:line="574" w:lineRule="exact"/>
        <w:ind w:firstLine="640" w:firstLineChars="200"/>
        <w:textAlignment w:val="auto"/>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主要成效及亮点。</w:t>
      </w:r>
    </w:p>
    <w:p>
      <w:pPr>
        <w:keepNext w:val="0"/>
        <w:keepLines w:val="0"/>
        <w:pageBreakBefore w:val="0"/>
        <w:numPr>
          <w:ilvl w:val="0"/>
          <w:numId w:val="0"/>
        </w:numPr>
        <w:kinsoku/>
        <w:wordWrap/>
        <w:overflowPunct/>
        <w:topLinePunct w:val="0"/>
        <w:autoSpaceDE/>
        <w:autoSpaceDN/>
        <w:bidi w:val="0"/>
        <w:adjustRightInd/>
        <w:spacing w:line="574" w:lineRule="exact"/>
        <w:textAlignment w:val="auto"/>
        <w:rPr>
          <w:rFonts w:hint="default" w:eastAsia="楷体"/>
          <w:color w:val="auto"/>
          <w:lang w:val="en-US" w:eastAsia="zh-CN"/>
        </w:rPr>
      </w:pPr>
      <w:r>
        <w:rPr>
          <w:rFonts w:hint="eastAsia" w:ascii="楷体" w:hAnsi="楷体" w:eastAsia="楷体" w:cs="楷体"/>
          <w:b/>
          <w:color w:val="auto"/>
          <w:sz w:val="32"/>
          <w:szCs w:val="32"/>
          <w:lang w:eastAsia="zh-CN"/>
        </w:rPr>
        <w:t xml:space="preserve">   （</w:t>
      </w:r>
      <w:r>
        <w:rPr>
          <w:rFonts w:hint="eastAsia" w:ascii="楷体" w:hAnsi="楷体" w:eastAsia="楷体" w:cs="楷体"/>
          <w:b/>
          <w:color w:val="auto"/>
          <w:sz w:val="32"/>
          <w:szCs w:val="32"/>
          <w:lang w:val="en-US" w:eastAsia="zh-CN"/>
        </w:rPr>
        <w:t>一</w:t>
      </w: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lang w:val="en-US" w:eastAsia="zh-CN"/>
        </w:rPr>
        <w:t>旅游发展有规划。</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聘请中南林业科技大学旅游学院原院长钟永德教授所带领的团队，统筹现有丰富的旅游资源，从主题提升、空间设计、产品创新、项目研讨等多个方面为我乡的整体旅游资源做好规划。</w:t>
      </w:r>
      <w:r>
        <w:rPr>
          <w:rFonts w:hint="eastAsia" w:ascii="Times New Roman" w:hAnsi="Times New Roman" w:eastAsia="仿宋" w:cs="Times New Roman"/>
          <w:color w:val="auto"/>
          <w:kern w:val="2"/>
          <w:sz w:val="32"/>
          <w:szCs w:val="32"/>
          <w:lang w:val="en-US" w:eastAsia="zh-CN" w:bidi="ar-SA"/>
        </w:rPr>
        <w:t>在尊重经济发展规律和群众发展意愿的前提下，加强对村容村貌的管控，保留我乡原有建筑风格，对村庄规划建设布局深入研究，完善总体和专项规划，不搞大拆大建。现已经钟教授已与县、乡两级部门座谈意见，《龙庄湾乡旅游规划》初稿已形成，现等待县级评审团进行评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楷体" w:hAnsi="楷体" w:eastAsia="楷体" w:cs="楷体"/>
          <w:b/>
          <w:bCs/>
          <w:color w:val="auto"/>
          <w:sz w:val="32"/>
          <w:szCs w:val="32"/>
          <w:shd w:val="clear" w:color="auto" w:fill="FFFFFF"/>
          <w:lang w:val="en-US"/>
        </w:rPr>
      </w:pPr>
      <w:r>
        <w:rPr>
          <w:rFonts w:hint="eastAsia" w:ascii="楷体" w:hAnsi="楷体" w:eastAsia="楷体" w:cs="楷体"/>
          <w:b/>
          <w:bCs/>
          <w:color w:val="auto"/>
          <w:sz w:val="32"/>
          <w:szCs w:val="32"/>
          <w:shd w:val="clear" w:color="auto" w:fill="FFFFFF"/>
          <w:lang w:val="en-US" w:eastAsia="zh-CN"/>
        </w:rPr>
        <w:t>（二）产业发展有经验。</w:t>
      </w:r>
    </w:p>
    <w:p>
      <w:pPr>
        <w:keepNext w:val="0"/>
        <w:keepLines w:val="0"/>
        <w:pageBreakBefore w:val="0"/>
        <w:kinsoku/>
        <w:wordWrap/>
        <w:overflowPunct/>
        <w:topLinePunct w:val="0"/>
        <w:autoSpaceDE/>
        <w:autoSpaceDN/>
        <w:bidi w:val="0"/>
        <w:adjustRightInd/>
        <w:spacing w:line="574"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前正建设的龙庄湾村冷链仓储烘干物流中心，预计年综合烘干农产品200吨、可储存冷藏农产品800吨。制定收购标准，规范产业发展、稳定行业市场，打造绿色无污染产品，对于硫磺烘干的金银花、大果林处理的猕猴桃，坚决不予以收购，以常态化“旱涝保收”，督促群众自发规范产业发展，突出特色优势，让产品最大化程度减少滞销、浪费等情况，第一时间提供最新鲜最优质产品，打响品牌号召力，打开营销大门，学习大江口“脐橙”的成功经验，在产业发展、品牌打造、对外销售等方面打出“组合拳”。</w:t>
      </w:r>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楷体" w:hAnsi="楷体" w:eastAsia="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l="clear" w:color="auto" w:fill="FFFFFF"/>
          <w:lang w:val="en-US" w:eastAsia="zh-CN"/>
        </w:rPr>
        <w:t>（三）区域特色有标签。</w:t>
      </w:r>
    </w:p>
    <w:p>
      <w:pPr>
        <w:shd w:val="clear" w:color="auto"/>
        <w:spacing w:line="640" w:lineRule="exact"/>
        <w:ind w:firstLine="640"/>
        <w:rPr>
          <w:rFonts w:hint="eastAsia" w:ascii="仿宋" w:hAnsi="仿宋" w:eastAsia="仿宋" w:cs="仿宋"/>
          <w:color w:val="auto"/>
          <w:sz w:val="32"/>
          <w:szCs w:val="32"/>
        </w:rPr>
      </w:pPr>
      <w:r>
        <w:rPr>
          <w:rStyle w:val="16"/>
          <w:rFonts w:hint="eastAsia" w:ascii="仿宋_GB2312" w:hAnsi="仿宋_GB2312" w:eastAsia="仿宋_GB2312"/>
          <w:b w:val="0"/>
          <w:i w:val="0"/>
          <w:caps w:val="0"/>
          <w:color w:val="auto"/>
          <w:spacing w:val="0"/>
          <w:w w:val="100"/>
          <w:kern w:val="2"/>
          <w:sz w:val="32"/>
          <w:szCs w:val="32"/>
          <w:lang w:val="en-US" w:eastAsia="zh-CN" w:bidi="ar-SA"/>
        </w:rPr>
        <w:t>我乡文旅产业资源丰厚，旅游有“雪峰天池”刘家坪水库、有凉风界十里野生杜鹃花海、有抗日最后一战的“青山界抗战遗址”；产业有享誉周边的金银花、猕猴桃，其中猕猴桃更是被已故袁隆平院士亲自题词肯定。在此基础上，</w:t>
      </w:r>
      <w:r>
        <w:rPr>
          <w:rStyle w:val="16"/>
          <w:rFonts w:ascii="仿宋_GB2312" w:hAnsi="仿宋_GB2312" w:eastAsia="仿宋_GB2312"/>
          <w:b w:val="0"/>
          <w:i w:val="0"/>
          <w:caps w:val="0"/>
          <w:color w:val="auto"/>
          <w:spacing w:val="0"/>
          <w:w w:val="100"/>
          <w:kern w:val="2"/>
          <w:sz w:val="32"/>
          <w:szCs w:val="32"/>
          <w:lang w:val="en-US" w:eastAsia="zh-CN" w:bidi="ar-SA"/>
        </w:rPr>
        <w:t>利用抖音、微视频等平台</w:t>
      </w:r>
      <w:r>
        <w:rPr>
          <w:rStyle w:val="16"/>
          <w:rFonts w:hint="eastAsia" w:ascii="仿宋_GB2312" w:hAnsi="仿宋_GB2312" w:eastAsia="仿宋_GB2312"/>
          <w:b w:val="0"/>
          <w:i w:val="0"/>
          <w:caps w:val="0"/>
          <w:color w:val="auto"/>
          <w:spacing w:val="0"/>
          <w:w w:val="100"/>
          <w:kern w:val="2"/>
          <w:sz w:val="32"/>
          <w:szCs w:val="32"/>
          <w:lang w:val="en-US" w:eastAsia="zh-CN" w:bidi="ar-SA"/>
        </w:rPr>
        <w:t>，</w:t>
      </w:r>
      <w:r>
        <w:rPr>
          <w:rFonts w:hint="eastAsia" w:ascii="仿宋" w:hAnsi="仿宋" w:eastAsia="仿宋" w:cs="仿宋"/>
          <w:color w:val="auto"/>
          <w:kern w:val="2"/>
          <w:sz w:val="32"/>
          <w:szCs w:val="32"/>
          <w:lang w:val="en-US" w:eastAsia="zh-CN" w:bidi="ar-SA"/>
        </w:rPr>
        <w:t>将我乡的特色人文景观及产业通过拍摄短视频等手段宣传出去，充分发挥互联网优势，</w:t>
      </w:r>
      <w:r>
        <w:rPr>
          <w:rStyle w:val="16"/>
          <w:rFonts w:hint="eastAsia" w:ascii="仿宋_GB2312" w:hAnsi="仿宋_GB2312" w:eastAsia="仿宋_GB2312"/>
          <w:b w:val="0"/>
          <w:i w:val="0"/>
          <w:caps w:val="0"/>
          <w:color w:val="auto"/>
          <w:spacing w:val="0"/>
          <w:w w:val="100"/>
          <w:kern w:val="2"/>
          <w:sz w:val="32"/>
          <w:szCs w:val="32"/>
          <w:lang w:val="en-US" w:eastAsia="zh-CN" w:bidi="ar-SA"/>
        </w:rPr>
        <w:t>打造“</w:t>
      </w:r>
      <w:r>
        <w:rPr>
          <w:rFonts w:hint="eastAsia" w:ascii="仿宋_GB2312" w:hAnsi="黑体" w:eastAsia="仿宋_GB2312" w:cs="Dotum"/>
          <w:b w:val="0"/>
          <w:bCs/>
          <w:color w:val="auto"/>
          <w:kern w:val="1"/>
          <w:sz w:val="32"/>
          <w:szCs w:val="32"/>
          <w:lang w:val="en-US" w:eastAsia="zh-CN"/>
        </w:rPr>
        <w:t>雪峰天池、抗战胜地、三湘凉都、避暑天堂</w:t>
      </w:r>
      <w:r>
        <w:rPr>
          <w:rStyle w:val="16"/>
          <w:rFonts w:hint="eastAsia" w:ascii="仿宋_GB2312" w:hAnsi="仿宋_GB2312" w:eastAsia="仿宋_GB2312"/>
          <w:b w:val="0"/>
          <w:i w:val="0"/>
          <w:caps w:val="0"/>
          <w:color w:val="auto"/>
          <w:spacing w:val="0"/>
          <w:w w:val="100"/>
          <w:kern w:val="2"/>
          <w:sz w:val="32"/>
          <w:szCs w:val="32"/>
          <w:lang w:val="en-US" w:eastAsia="zh-CN" w:bidi="ar-SA"/>
        </w:rPr>
        <w:t>”的特色标签，积极探索文旅融合</w:t>
      </w:r>
      <w:r>
        <w:rPr>
          <w:rFonts w:hint="eastAsia" w:ascii="仿宋" w:hAnsi="仿宋" w:eastAsia="仿宋" w:cs="仿宋"/>
          <w:color w:val="auto"/>
          <w:sz w:val="32"/>
          <w:szCs w:val="32"/>
          <w:lang w:val="en-US" w:eastAsia="zh-CN"/>
        </w:rPr>
        <w:t>。</w:t>
      </w:r>
    </w:p>
    <w:p>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lang w:eastAsia="zh-CN"/>
        </w:rPr>
        <w:t>五</w:t>
      </w:r>
      <w:r>
        <w:rPr>
          <w:rFonts w:hint="eastAsia" w:ascii="黑体" w:hAnsi="黑体" w:eastAsia="黑体"/>
          <w:color w:val="auto"/>
          <w:spacing w:val="-2"/>
          <w:sz w:val="32"/>
          <w:szCs w:val="32"/>
        </w:rPr>
        <w:t>、存在的主要问题</w:t>
      </w:r>
    </w:p>
    <w:p>
      <w:pPr>
        <w:shd w:val="clear" w:color="auto"/>
        <w:spacing w:line="640" w:lineRule="exact"/>
        <w:ind w:firstLine="640"/>
        <w:rPr>
          <w:rFonts w:hint="eastAsia" w:ascii="仿宋_GB2312" w:hAnsi="仿宋" w:eastAsia="仿宋_GB2312"/>
          <w:color w:val="auto"/>
          <w:spacing w:val="-2"/>
          <w:sz w:val="32"/>
          <w:szCs w:val="21"/>
        </w:rPr>
      </w:pPr>
      <w:r>
        <w:rPr>
          <w:rFonts w:hint="eastAsia" w:ascii="仿宋" w:hAnsi="仿宋" w:eastAsia="仿宋" w:cs="仿宋"/>
          <w:color w:val="auto"/>
          <w:sz w:val="32"/>
          <w:szCs w:val="32"/>
        </w:rPr>
        <w:t>我们的工作还存在着一些困难和不足，主要表现在以下几个方面：一是</w:t>
      </w:r>
      <w:r>
        <w:rPr>
          <w:rFonts w:hint="eastAsia" w:ascii="仿宋" w:hAnsi="仿宋" w:eastAsia="仿宋" w:cs="仿宋"/>
          <w:color w:val="auto"/>
          <w:sz w:val="32"/>
          <w:szCs w:val="32"/>
          <w:lang w:eastAsia="zh-CN"/>
        </w:rPr>
        <w:t>工作及时性不够，</w:t>
      </w:r>
      <w:r>
        <w:rPr>
          <w:rFonts w:ascii="仿宋" w:hAnsi="仿宋" w:eastAsia="仿宋" w:cs="仿宋"/>
          <w:i w:val="0"/>
          <w:iCs w:val="0"/>
          <w:caps w:val="0"/>
          <w:color w:val="auto"/>
          <w:spacing w:val="0"/>
          <w:sz w:val="32"/>
          <w:szCs w:val="32"/>
          <w:shd w:val="clear" w:color="auto" w:fill="FFFFFF"/>
        </w:rPr>
        <w:t>有关项目工作开展时间较晚，结算支出时间滞后</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是</w:t>
      </w:r>
      <w:r>
        <w:rPr>
          <w:rFonts w:ascii="仿宋" w:hAnsi="仿宋" w:eastAsia="仿宋" w:cs="仿宋"/>
          <w:i w:val="0"/>
          <w:iCs w:val="0"/>
          <w:caps w:val="0"/>
          <w:color w:val="auto"/>
          <w:spacing w:val="0"/>
          <w:sz w:val="32"/>
          <w:szCs w:val="32"/>
          <w:shd w:val="clear" w:color="auto" w:fill="FFFFFF"/>
        </w:rPr>
        <w:t>内控制度需进一步完善，随着资金管理改革的推进，我单位内部机构进行了相应的优化，但仍需进一步强化财务约束监督体制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资产管理方面缺少专人负责，对部分资产有效性未及时清理报废。</w:t>
      </w:r>
    </w:p>
    <w:p>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lang w:eastAsia="zh-CN"/>
        </w:rPr>
        <w:t>六</w:t>
      </w:r>
      <w:r>
        <w:rPr>
          <w:rFonts w:hint="eastAsia" w:ascii="黑体" w:hAnsi="黑体" w:eastAsia="黑体"/>
          <w:color w:val="auto"/>
          <w:spacing w:val="-2"/>
          <w:sz w:val="32"/>
          <w:szCs w:val="32"/>
        </w:rPr>
        <w:t>、改进措施和有关建议</w:t>
      </w:r>
    </w:p>
    <w:p>
      <w:pPr>
        <w:shd w:val="clear" w:color="auto"/>
        <w:spacing w:line="640" w:lineRule="exact"/>
        <w:ind w:firstLine="640"/>
        <w:rPr>
          <w:rFonts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val="en-US" w:eastAsia="zh-CN"/>
        </w:rPr>
        <w:t>1、</w:t>
      </w:r>
      <w:r>
        <w:rPr>
          <w:rFonts w:ascii="仿宋" w:hAnsi="仿宋" w:eastAsia="仿宋" w:cs="仿宋"/>
          <w:i w:val="0"/>
          <w:iCs w:val="0"/>
          <w:caps w:val="0"/>
          <w:color w:val="auto"/>
          <w:spacing w:val="0"/>
          <w:sz w:val="32"/>
          <w:szCs w:val="32"/>
          <w:shd w:val="clear" w:color="auto" w:fill="FFFFFF"/>
        </w:rPr>
        <w:t>加强各部门衔接，使预算绩效目标实施进度得到及时反馈，便于及时汇总监控。</w:t>
      </w:r>
    </w:p>
    <w:p>
      <w:pPr>
        <w:shd w:val="clear" w:color="auto"/>
        <w:spacing w:line="640" w:lineRule="exact"/>
        <w:ind w:firstLine="640"/>
        <w:rPr>
          <w:rFonts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2、</w:t>
      </w:r>
      <w:r>
        <w:rPr>
          <w:rFonts w:hint="eastAsia" w:ascii="仿宋" w:hAnsi="仿宋" w:eastAsia="仿宋" w:cs="仿宋"/>
          <w:i w:val="0"/>
          <w:iCs w:val="0"/>
          <w:caps w:val="0"/>
          <w:color w:val="auto"/>
          <w:spacing w:val="0"/>
          <w:sz w:val="32"/>
          <w:szCs w:val="32"/>
          <w:shd w:val="clear" w:color="auto" w:fill="FFFFFF"/>
          <w:lang w:eastAsia="zh-CN"/>
        </w:rPr>
        <w:t>完善内控制度，加强对资金使用的监督管理以及资金使用的事前可行性研究，</w:t>
      </w:r>
      <w:r>
        <w:rPr>
          <w:rFonts w:ascii="仿宋" w:hAnsi="仿宋" w:eastAsia="仿宋" w:cs="仿宋"/>
          <w:i w:val="0"/>
          <w:iCs w:val="0"/>
          <w:caps w:val="0"/>
          <w:color w:val="auto"/>
          <w:spacing w:val="0"/>
          <w:sz w:val="32"/>
          <w:szCs w:val="32"/>
          <w:shd w:val="clear" w:color="auto" w:fill="FFFFFF"/>
        </w:rPr>
        <w:t>为资金管理及绩效评价工作开展创造好的条件。</w:t>
      </w:r>
    </w:p>
    <w:p>
      <w:pPr>
        <w:ind w:firstLine="640" w:firstLineChars="200"/>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19DD2"/>
    <w:multiLevelType w:val="singleLevel"/>
    <w:tmpl w:val="F1919DD2"/>
    <w:lvl w:ilvl="0" w:tentative="0">
      <w:start w:val="1"/>
      <w:numFmt w:val="decimal"/>
      <w:suff w:val="nothing"/>
      <w:lvlText w:val="（%1）"/>
      <w:lvlJc w:val="left"/>
    </w:lvl>
  </w:abstractNum>
  <w:abstractNum w:abstractNumId="1">
    <w:nsid w:val="337971D7"/>
    <w:multiLevelType w:val="multilevel"/>
    <w:tmpl w:val="337971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268663"/>
    <w:multiLevelType w:val="singleLevel"/>
    <w:tmpl w:val="63268663"/>
    <w:lvl w:ilvl="0" w:tentative="0">
      <w:start w:val="2"/>
      <w:numFmt w:val="chineseCount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000000"/>
    <w:rsid w:val="0D010F12"/>
    <w:rsid w:val="22014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unhideWhenUsed/>
    <w:qFormat/>
    <w:uiPriority w:val="99"/>
    <w:pPr>
      <w:spacing w:after="120"/>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Calibri" w:hAnsi="Calibri"/>
      <w:color w:val="2B2B2B"/>
      <w:kern w:val="0"/>
      <w:sz w:val="24"/>
    </w:rPr>
  </w:style>
  <w:style w:type="paragraph" w:styleId="8">
    <w:name w:val="Body Text First Indent"/>
    <w:basedOn w:val="3"/>
    <w:unhideWhenUsed/>
    <w:qFormat/>
    <w:uiPriority w:val="99"/>
    <w:pPr>
      <w:ind w:firstLine="0" w:firstLineChars="0"/>
      <w:jc w:val="left"/>
    </w:pPr>
    <w:rPr>
      <w:rFonts w:ascii="Times New Roman" w:hAnsi="Times New Roman"/>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19554</Words>
  <Characters>24999</Characters>
  <Lines>64</Lines>
  <Paragraphs>18</Paragraphs>
  <TotalTime>2</TotalTime>
  <ScaleCrop>false</ScaleCrop>
  <LinksUpToDate>false</LinksUpToDate>
  <CharactersWithSpaces>25485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cry1416141497</cp:lastModifiedBy>
  <cp:lastPrinted>2022-08-29T16:54:00Z</cp:lastPrinted>
  <dcterms:modified xsi:type="dcterms:W3CDTF">2022-09-19T02:31:40Z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BECE9C25592D47C3976E60FFC79E0A6A</vt:lpwstr>
  </property>
</Properties>
</file>