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1D5F">
      <w:pPr>
        <w:shd w:val="clear"/>
        <w:jc w:val="center"/>
        <w:rPr>
          <w:rFonts w:hint="eastAsia" w:ascii="黑体" w:hAnsi="黑体" w:eastAsia="黑体" w:cs="黑体"/>
          <w:b/>
          <w:color w:val="auto"/>
          <w:sz w:val="48"/>
          <w:szCs w:val="48"/>
          <w:shd w:val="clear"/>
        </w:rPr>
      </w:pP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</w:rPr>
        <w:t>关于</w:t>
      </w: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  <w:lang w:eastAsia="zh-CN"/>
        </w:rPr>
        <w:t>2024年</w:t>
      </w: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</w:rPr>
        <w:t>财政预算执行情况和</w:t>
      </w:r>
    </w:p>
    <w:p w14:paraId="51A4CBA3">
      <w:pPr>
        <w:shd w:val="clear"/>
        <w:jc w:val="center"/>
        <w:rPr>
          <w:rFonts w:ascii="仿宋" w:hAnsi="仿宋" w:eastAsia="仿宋" w:cs="黑体"/>
          <w:color w:val="auto"/>
          <w:sz w:val="32"/>
          <w:szCs w:val="32"/>
          <w:shd w:val="clear"/>
        </w:rPr>
      </w:pP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  <w:lang w:eastAsia="zh-CN"/>
        </w:rPr>
        <w:t>2025年</w:t>
      </w: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</w:rPr>
        <w:t>财政预算的报告</w:t>
      </w:r>
      <w:r>
        <w:rPr>
          <w:rFonts w:hint="eastAsia" w:ascii="黑体" w:hAnsi="黑体" w:eastAsia="黑体" w:cs="黑体"/>
          <w:b/>
          <w:color w:val="auto"/>
          <w:sz w:val="48"/>
          <w:szCs w:val="48"/>
          <w:shd w:val="clear"/>
        </w:rPr>
        <w:br w:type="textWrapping"/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溆浦县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  <w:t>葛竹坪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镇第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  <w:t>五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届人民代表大会第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  <w:t>六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次会议（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val="en-US" w:eastAsia="zh-CN"/>
        </w:rPr>
        <w:t>1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月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val="en-US" w:eastAsia="zh-CN"/>
        </w:rPr>
        <w:t>22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/>
        </w:rPr>
        <w:t>日）审议通过</w:t>
      </w:r>
    </w:p>
    <w:p w14:paraId="0C3F0BEA">
      <w:pPr>
        <w:shd w:val="clear"/>
        <w:jc w:val="center"/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黑体"/>
          <w:color w:val="auto"/>
          <w:sz w:val="32"/>
          <w:szCs w:val="32"/>
          <w:shd w:val="clear"/>
          <w:lang w:eastAsia="zh-CN"/>
        </w:rPr>
        <w:t>谌孙光</w:t>
      </w:r>
    </w:p>
    <w:p w14:paraId="3C1F7396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各位代表：</w:t>
      </w:r>
    </w:p>
    <w:p w14:paraId="402ABC35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我受镇人民政府的委托，向大会作《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葛竹坪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instrText xml:space="preserve"> HYPERLINK "http://www.wm114.cn/0v/7/index.html" </w:instrTex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预算执行情况和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财政预算的报告》，请各位代表予以审议，并请列席人员提出意见。</w:t>
      </w:r>
    </w:p>
    <w:p w14:paraId="674320B8">
      <w:pPr>
        <w:shd w:val="clear"/>
        <w:ind w:firstLine="645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shd w:val="clear"/>
        </w:rPr>
        <w:t>一、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shd w:val="clear"/>
        </w:rPr>
        <w:t>财政预算收支总体执行情况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　　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，我镇财政工作按照县财政局、镇党委、政府的总体工作部署，在镇人大的依法监督下，镇属各部门的密切配合下，全体财政干部紧紧围绕年初制定的工作目标，积极组织财政收入，不断优化支出结构，深化各项财政改革，落实各项财政政策，强化财政管理，推进财政职能转变，不断提高财政资金使用效益，完成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的各项财政收支任务。推动了全镇经济社会全面协调和可持续发展，现将预算执行情况报告如下：</w:t>
      </w:r>
    </w:p>
    <w:p w14:paraId="376B2D0C">
      <w:pPr>
        <w:shd w:val="clear"/>
        <w:ind w:firstLine="645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财政预算收入年初预算数为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791.80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财政决算收入数为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1698.88万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元，其中一般公共预算拨款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1683.94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万元、政府性基金收入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14.94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万元。财政决算收入全部为上级财政拨款收入。</w:t>
      </w:r>
    </w:p>
    <w:p w14:paraId="46292CC4">
      <w:pPr>
        <w:shd w:val="clear"/>
        <w:spacing w:line="585" w:lineRule="atLeast"/>
        <w:ind w:firstLine="645"/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财政预算支出年初预算数为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791.80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财政决算支出数为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1698.88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  <w:r>
        <w:rPr>
          <w:rFonts w:hint="eastAsia" w:ascii="仿宋" w:hAnsi="仿宋" w:eastAsia="仿宋"/>
          <w:color w:val="auto"/>
          <w:sz w:val="32"/>
          <w:szCs w:val="32"/>
          <w:shd w:val="clear"/>
        </w:rPr>
        <w:t>其中：基本支出</w:t>
      </w:r>
      <w:r>
        <w:rPr>
          <w:rFonts w:hint="eastAsia" w:ascii="仿宋" w:hAnsi="仿宋" w:eastAsia="仿宋"/>
          <w:color w:val="auto"/>
          <w:sz w:val="32"/>
          <w:szCs w:val="32"/>
          <w:shd w:val="clear"/>
          <w:lang w:val="en-US" w:eastAsia="zh-CN"/>
        </w:rPr>
        <w:t>1113.73</w:t>
      </w:r>
      <w:r>
        <w:rPr>
          <w:rFonts w:hint="eastAsia" w:ascii="仿宋" w:hAnsi="仿宋" w:eastAsia="仿宋"/>
          <w:color w:val="auto"/>
          <w:sz w:val="32"/>
          <w:szCs w:val="32"/>
          <w:shd w:val="clear"/>
        </w:rPr>
        <w:t>万元，项目支出</w:t>
      </w:r>
      <w:r>
        <w:rPr>
          <w:rFonts w:hint="eastAsia" w:ascii="仿宋" w:hAnsi="仿宋" w:eastAsia="仿宋"/>
          <w:color w:val="auto"/>
          <w:sz w:val="32"/>
          <w:szCs w:val="32"/>
          <w:shd w:val="clear"/>
          <w:lang w:val="en-US" w:eastAsia="zh-CN"/>
        </w:rPr>
        <w:t>585.15</w:t>
      </w:r>
      <w:r>
        <w:rPr>
          <w:rFonts w:hint="eastAsia" w:ascii="仿宋" w:hAnsi="仿宋" w:eastAsia="仿宋"/>
          <w:color w:val="auto"/>
          <w:sz w:val="32"/>
          <w:szCs w:val="32"/>
          <w:shd w:val="clear"/>
        </w:rPr>
        <w:t>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。</w:t>
      </w:r>
    </w:p>
    <w:p w14:paraId="55A04E31">
      <w:pPr>
        <w:shd w:val="clear"/>
        <w:ind w:firstLine="645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财政预算支出按功能分类执行情况</w:t>
      </w:r>
    </w:p>
    <w:p w14:paraId="03470EC6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1、一般公共服务支出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765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6E637434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2、公共安全支出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33.76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0635A59A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、文化旅游体育和传媒支出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3D67B38B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 xml:space="preserve">、社会保障支出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95.73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0DD33A1E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31.62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2E60F5FE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72.9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0F76AB0D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45.93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23E4AF77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、农林水支出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589.91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。</w:t>
      </w:r>
    </w:p>
    <w:p w14:paraId="64ACA16B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31.64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4FAD017B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33A663D2">
      <w:pPr>
        <w:widowControl/>
        <w:shd w:val="clear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、灾害防治及应急管理支出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3.99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774A1FCE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三公经费支出执行情况</w:t>
      </w:r>
    </w:p>
    <w:p w14:paraId="11A6D7B4">
      <w:pPr>
        <w:shd w:val="clear"/>
        <w:spacing w:line="585" w:lineRule="atLeast"/>
        <w:ind w:firstLine="645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“三公”经费年初财政预算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7.1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万，其中：公务接待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1.71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万，公务用车购置及运行维护费用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5.39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万。具体执行情况：</w:t>
      </w:r>
    </w:p>
    <w:p w14:paraId="3CED7631">
      <w:pPr>
        <w:shd w:val="clear"/>
        <w:spacing w:line="585" w:lineRule="atLeas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1、公务接待费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val="en-US" w:eastAsia="zh-CN"/>
        </w:rPr>
        <w:t>0.59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eastAsia="zh-CN"/>
        </w:rPr>
        <w:t>小于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202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年财政预算。</w:t>
      </w:r>
    </w:p>
    <w:p w14:paraId="60C81A8D">
      <w:pPr>
        <w:widowControl/>
        <w:shd w:val="clear"/>
        <w:spacing w:line="585" w:lineRule="atLeast"/>
        <w:ind w:firstLine="645"/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2、公车购置及运行维护费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val="en-US" w:eastAsia="zh-CN"/>
        </w:rPr>
        <w:t>2.79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万元，全部资金用于公车运行维护。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eastAsia="zh-CN"/>
        </w:rPr>
        <w:t>小于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202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" w:hAnsi="仿宋" w:eastAsia="仿宋"/>
          <w:color w:val="auto"/>
          <w:kern w:val="0"/>
          <w:sz w:val="32"/>
          <w:szCs w:val="32"/>
          <w:shd w:val="clear"/>
        </w:rPr>
        <w:t>年财政预算。</w:t>
      </w:r>
    </w:p>
    <w:p w14:paraId="1BE16E9C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，全镇实现财政收入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1698.88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万元，财政支出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1698.88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万元，财政预算执行情况良好。回顾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我镇财政工作，主要呈现以下特点：</w:t>
      </w:r>
    </w:p>
    <w:p w14:paraId="1FBA37E9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一）严格支出管理，规范审批流程。一是认真执行预算资金管理制度，规范预算编制。二是强化财政审核，落实预算项目执行情况监督检查。三是加强支出进度管理，编制支出计划，加快资金拨付，切实保障重点支出。四是较好地执行中央“八项规定”，“三公”经费得到控制。</w:t>
      </w:r>
    </w:p>
    <w:p w14:paraId="24840D74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二）深化财政预算一体化管理。一是进一步规范项目建设资金和乡村振兴资金的支付管理，在项目建设资金支付环节，实行镇政府和财政共同审核把关确保镇财政资金的规范、安全、合理、有效使用。二是切实做好“村账乡代理”工作，通过加强对“村账乡代理”工作的组织指导和来务培训，依托乡镇财政信息网络的资源优势，增设村级财务账套，实现了村级财务管理的规范化、信息化和网络化。</w:t>
      </w:r>
    </w:p>
    <w:p w14:paraId="1079D4C8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（三）提高服务水平，落实惠民政策。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全镇通过乡镇财税网络系统的“一卡通”惠农政策补贴平台发放耕地地力保护补贴、农村特困基本生活费、村干部基本报酬、正常离任村干生活补贴、村主干养老保险补贴、危房改造补助等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69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项，共计金额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1580.43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耕地地力保护补贴269.19万元、村干部报酬161.22万元、稻谷目标价格补贴157.53万元、农村低保金110.24万元、参战参试退役人员生活补助86.13万元、农村部分计划生育家庭奖励扶助68.54万元、60周岁以上农村籍退役士兵生活补助60.66万元、义务教育家庭经济困难学生生活补助57.29万元、重度残疾人护理补贴51.7万元、农村特困基本生活费51.7万元、离任村干部补贴42.34万元、公益性岗位补贴41.5万元、临时救助金38.44万元、就业一次性交通补助29.94万元、自然灾害生活救助资金28.02万元、农机具购置补贴26.87万元、高龄津贴24.72万元、就学补助23.1万元、一次性生活补助18.6万元、计划生育家庭特别扶助18.31万元、(扶贫)农村低保金16.31万元、农村特困照料护理费16.3万元、(扶贫)公益性岗位补贴13.5万元、生态护林员补助12.5万元、(扶贫)重度残疾人护理补贴11.77万元、残疾优抚对象抚恤金11.63万元、带病回乡退伍军人生活补助11.34万元、生猪调出大县奖励资金9.4万元、受污染耕地严格管控区种植结构调整补贴8.75万元、大豆玉米带状复合种植补贴7.32万元、困难残疾人生活补贴7.06万元、孤儿生活补助6.79万元、移民直补资金6.24万元、(扶贫)困难残疾人生活补贴6.02万元、(扶贫)生态护林员补助5.75万元、义务兵家庭优待金补贴5.2万元、家庭经济困难幼儿入园补助金5.05万元、优抚对象医疗补助4.71万元、危房改造补助3.9万元、在乡复员军人生活补助3.76万元、重点优抚对象丧葬费补助3.76万元、上一轮退耕还生态林森林抚育补助3.6万元、农村特困丧葬费3.46万元、事实无人抚养儿童基本生活补贴3.34万元、三孩育儿补贴3万元、强制免疫劳务补助2.4万元、自主就业退役士兵一次性经济补助2.25万元、村主干养老保险补贴1.8万元、城市低保金1.55万元、耕地地力保护补贴（结余）1.52万元、扶贫、振兴产业补贴1.26万元、计划生育家庭特别扶助对象节日慰问1.24万元、计生手术并发症治疗及特困家庭救助1.15万元、退役军人和其他优抚对象特殊困难援助1.13万元、大学生应征入伍奖励1万元、进藏进疆义务兵一次性奖励资金1万元、两癌妇女救助资金1万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其他补贴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6.62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万元等。</w:t>
      </w:r>
    </w:p>
    <w:p w14:paraId="65BB44A0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（四）加强项目资金监管，确保资金使用绩效。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全镇项目建设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个，资金使用</w:t>
      </w:r>
      <w:r>
        <w:rPr>
          <w:rFonts w:hint="eastAsia" w:ascii="仿宋" w:hAnsi="仿宋" w:eastAsia="仿宋"/>
          <w:color w:val="auto"/>
          <w:sz w:val="32"/>
          <w:szCs w:val="32"/>
          <w:shd w:val="clear"/>
          <w:lang w:val="en-US" w:eastAsia="zh-CN"/>
        </w:rPr>
        <w:t>585.15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为了规范项目建设资金的使用，保证资金的安全与效益，财政所建立专账，对项目的立项、建设、竣工验收、资金拨付坚持事前、事中、事后全程参与监管，发现问题及时报告、纠正，确保“两个安全”资金安全和干部安全。</w:t>
      </w:r>
    </w:p>
    <w:p w14:paraId="2BE0866E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各位代表，在肯定成绩的同时，我们更应清醒地认识到我镇财政工作仍面临着不少矛盾、问题和困难。突出表现在收支矛盾大。由于我镇经济竞争力差，没有固定的财政收入来源，过份依赖于上级财政的转移支付等补助收入，这对我镇预算内的基础设施建设、经济建设等支出以及债务化解、村级（社区）集体经济的培养、灾后重建、村部和社区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改造升级等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是一个巨大的压力。有压力、就有动力；有困难，就有办法；有矛盾，就有发展；有挑战，就有机遇。随着我县“十四五”规划及“三高四新”发展战略的实施，做为我县第二大镇，这将为我镇带来重大发展机遇和政策利好，将促使我镇产业结构进一步优化，经济增长势头也将进一步加快，我镇财政也将迎来一个难得的发展机遇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，已经过去，在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我们将紧紧围绕财政增收节支各个环节，夯实财政管理基础，严控支出，提高监督效能，提高财政信息化水平，号召全体干部勤学习抓创新，讲服务重效率，适应经济发展新常态，圆满完成全年任务，确保预算执行情况良好。</w:t>
      </w:r>
    </w:p>
    <w:p w14:paraId="691046A8">
      <w:pPr>
        <w:shd w:val="clear"/>
        <w:ind w:firstLine="803" w:firstLineChars="250"/>
        <w:rPr>
          <w:rFonts w:hint="eastAsia" w:ascii="仿宋" w:hAnsi="仿宋" w:eastAsia="仿宋" w:cs="仿宋"/>
          <w:b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shd w:val="clear"/>
        </w:rPr>
        <w:t>二、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shd w:val="clear"/>
        </w:rPr>
        <w:t>财政预算</w:t>
      </w:r>
    </w:p>
    <w:p w14:paraId="44E6B617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，按照镇党委政府的总体部署，我镇财政工作将结合新《预算法》和县有关预算管理的要求，围绕建立现代财政制度目标，规范财政管理，提高财政收入质量，优化财政支出结构，盘活财政资金，加大社会治理，基层建设，民生保障等方面投入；健全厉行节约长效机制，从严控制一般非生产性支出，提高财政支出公共性；深化镇级财政改革，加强项目建设资金监管，实施项目绩效目标管理，进一步推进财政信息公开，建立全面规范、公开透明的现代预算制度。坚持“量入为出、量力而行”，确保收支平衡；强化预算执行，坚持勤俭节约，发挥财政在我镇经济发展中的引导作用。具体预算如下：</w:t>
      </w:r>
    </w:p>
    <w:p w14:paraId="185BC024">
      <w:pPr>
        <w:shd w:val="clear"/>
        <w:ind w:firstLine="800" w:firstLineChars="25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</w:p>
    <w:p w14:paraId="5864B71B">
      <w:pPr>
        <w:shd w:val="clear"/>
        <w:rPr>
          <w:rFonts w:hint="default" w:ascii="仿宋" w:hAnsi="仿宋" w:eastAsia="仿宋" w:cs="仿宋"/>
          <w:color w:val="auto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 xml:space="preserve">    （一）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财政预算收入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shd w:val="clear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财政收入预算为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703.91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万元，比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预算收入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791.98万元减少87.99万元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主要原因是本年度预算人员为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54人，较上年度64人减少10人，相关经费减少。</w:t>
      </w:r>
    </w:p>
    <w:p w14:paraId="27030DD7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财政预算支出</w:t>
      </w:r>
    </w:p>
    <w:p w14:paraId="6D67096B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财政预算支出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703.91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万元。按功能分类具体情况如下：</w:t>
      </w:r>
    </w:p>
    <w:p w14:paraId="14E3227B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1、一般公共服务支出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576.88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6B3031BE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2、社会保障和就业支出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67.69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41FF01B5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3、卫生健康支出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29.73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765FE045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、住房保障支出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29.61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万元。</w:t>
      </w:r>
    </w:p>
    <w:p w14:paraId="6A172FF3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其他预算待县级下拨给我镇再行调整。</w:t>
      </w:r>
    </w:p>
    <w:p w14:paraId="617C1E60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“三公”经费预算情况</w:t>
      </w:r>
    </w:p>
    <w:p w14:paraId="5B716E22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2025年“三公”经费财政预算1.5万元，较上年 7.1 万减少5.6万元，原因是2024年7月政府公务用车报废，故2025年预算无公务车购置及运行维护费。其中：公务接待费1.5万元。</w:t>
      </w:r>
    </w:p>
    <w:p w14:paraId="100744D1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各位代表，面对经济发展的新常态，财政工作任务艰巨，但使命光荣，让我们在镇党委、镇政府的坚强领导下，在镇人大的依法监督和大力支持下，认真落实本次会议决议，以全新思维应对新常态，以良好生态孕育好形象，以扎实作风推动我镇财政事业新发展，坚定信心，迎接挑战，齐心协力，顽强拼搏，努力完成各项工作任务，为我镇的经济又好又快发展作出新的更大的贡献！谢谢大家！</w:t>
      </w:r>
    </w:p>
    <w:p w14:paraId="201F828A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</w:p>
    <w:p w14:paraId="2CE23842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F0C2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33AD"/>
    <w:rsid w:val="078A1035"/>
    <w:rsid w:val="1BCD62B6"/>
    <w:rsid w:val="2D4970FD"/>
    <w:rsid w:val="540D7A91"/>
    <w:rsid w:val="67410D28"/>
    <w:rsid w:val="674533AD"/>
    <w:rsid w:val="70E56E1C"/>
    <w:rsid w:val="730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3285</Words>
  <Characters>3736</Characters>
  <Lines>0</Lines>
  <Paragraphs>0</Paragraphs>
  <TotalTime>315</TotalTime>
  <ScaleCrop>false</ScaleCrop>
  <LinksUpToDate>false</LinksUpToDate>
  <CharactersWithSpaces>3749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2025-07-15T01:00:00Z</dcterms:created>
  <dc:creator>张儒锋</dc:creator>
  <cp:lastModifiedBy>敷衍</cp:lastModifiedBy>
  <cp:lastPrinted>2025-07-16T07:28:00Z</cp:lastPrinted>
  <dcterms:modified xsi:type="dcterms:W3CDTF">2026-07-07T03:15:13Z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38D5ED1DD31448D6A7099FC57D01207D_13</vt:lpwstr>
  </property>
  <property fmtid="{D5CDD505-2E9C-101B-9397-08002B2CF9AE}" pid="4" name="KSOTemplateDocerSaveRecord">
    <vt:lpwstr>eyJoZGlkIjoiNDc4MWVmYWJkZTllNTNiZWFiODgyNWFlMTkxMjZhM2MiLCJ1c2VySWQiOiI5NTkxMTI2OTEifQ==</vt:lpwstr>
  </property>
</Properties>
</file>