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A62E3">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7B6B936C">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1112C993">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6FCB4D99">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298F6F13">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34CBDE5B">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787C2B08">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4AF045CF">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4327033D">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葛竹坪镇2024年工作情况汇报</w:t>
      </w:r>
    </w:p>
    <w:p w14:paraId="224C58E0">
      <w:pPr>
        <w:keepNext w:val="0"/>
        <w:keepLines w:val="0"/>
        <w:pageBreakBefore w:val="0"/>
        <w:widowControl w:val="0"/>
        <w:kinsoku/>
        <w:wordWrap/>
        <w:overflowPunct/>
        <w:topLinePunct w:val="0"/>
        <w:autoSpaceDE/>
        <w:autoSpaceDN/>
        <w:bidi w:val="0"/>
        <w:adjustRightInd/>
        <w:snapToGrid/>
        <w:spacing w:before="188" w:beforeLines="60" w:line="520" w:lineRule="exact"/>
        <w:ind w:left="0" w:leftChars="0" w:firstLine="0" w:firstLineChars="0"/>
        <w:jc w:val="center"/>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中共葛竹坪镇委员会</w:t>
      </w:r>
    </w:p>
    <w:p w14:paraId="3950322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楷体_GB2312" w:hAnsi="楷体_GB2312" w:eastAsia="楷体_GB2312" w:cs="楷体_GB2312"/>
          <w:b/>
          <w:bCs/>
          <w:color w:val="000000" w:themeColor="text1"/>
          <w:spacing w:val="17"/>
          <w:sz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17"/>
          <w:sz w:val="32"/>
          <w:szCs w:val="32"/>
          <w:lang w:val="en-US" w:eastAsia="zh-CN"/>
          <w14:textFill>
            <w14:solidFill>
              <w14:schemeClr w14:val="tx1"/>
            </w14:solidFill>
          </w14:textFill>
        </w:rPr>
        <w:t>葛竹坪镇人民政府</w:t>
      </w:r>
    </w:p>
    <w:p w14:paraId="04E4C22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（2025年1月10日）</w:t>
      </w:r>
    </w:p>
    <w:p w14:paraId="1FAFEFAF">
      <w:pPr>
        <w:pStyle w:val="17"/>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楷体_GB2312" w:hAnsi="楷体_GB2312" w:eastAsia="楷体_GB2312" w:cs="楷体_GB2312"/>
          <w:b/>
          <w:bCs w:val="0"/>
          <w:color w:val="000000" w:themeColor="text1"/>
          <w:spacing w:val="4"/>
          <w:kern w:val="2"/>
          <w:sz w:val="32"/>
          <w:szCs w:val="32"/>
          <w:lang w:val="en-US" w:eastAsia="zh-CN" w:bidi="ar-SA"/>
          <w14:textFill>
            <w14:solidFill>
              <w14:schemeClr w14:val="tx1"/>
            </w14:solidFill>
          </w14:textFill>
        </w:rPr>
      </w:pPr>
    </w:p>
    <w:p w14:paraId="6835D47F">
      <w:pPr>
        <w:pStyle w:val="17"/>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楷体_GB2312" w:hAnsi="楷体_GB2312" w:eastAsia="楷体_GB2312" w:cs="楷体_GB2312"/>
          <w:b/>
          <w:bCs w:val="0"/>
          <w:color w:val="000000" w:themeColor="text1"/>
          <w:spacing w:val="4"/>
          <w:kern w:val="2"/>
          <w:sz w:val="32"/>
          <w:szCs w:val="32"/>
          <w:lang w:val="en-US" w:eastAsia="zh-CN" w:bidi="ar-SA"/>
          <w14:textFill>
            <w14:solidFill>
              <w14:schemeClr w14:val="tx1"/>
            </w14:solidFill>
          </w14:textFill>
        </w:rPr>
      </w:pPr>
      <w:r>
        <w:rPr>
          <w:rFonts w:hint="eastAsia" w:ascii="楷体_GB2312" w:hAnsi="楷体_GB2312" w:eastAsia="楷体_GB2312" w:cs="楷体_GB2312"/>
          <w:b/>
          <w:bCs w:val="0"/>
          <w:color w:val="000000" w:themeColor="text1"/>
          <w:spacing w:val="4"/>
          <w:kern w:val="2"/>
          <w:sz w:val="32"/>
          <w:szCs w:val="32"/>
          <w:lang w:val="en-US" w:eastAsia="zh-CN" w:bidi="ar-SA"/>
          <w14:textFill>
            <w14:solidFill>
              <w14:schemeClr w14:val="tx1"/>
            </w14:solidFill>
          </w14:textFill>
        </w:rPr>
        <w:t>郑湘书记：</w:t>
      </w:r>
    </w:p>
    <w:p w14:paraId="22E1B870">
      <w:pPr>
        <w:pStyle w:val="6"/>
        <w:keepNext w:val="0"/>
        <w:keepLines w:val="0"/>
        <w:pageBreakBefore w:val="0"/>
        <w:kinsoku/>
        <w:wordWrap/>
        <w:overflowPunct/>
        <w:topLinePunct w:val="0"/>
        <w:autoSpaceDE/>
        <w:autoSpaceDN/>
        <w:bidi w:val="0"/>
        <w:adjustRightInd/>
        <w:snapToGrid/>
        <w:spacing w:after="0" w:afterLines="0" w:line="580" w:lineRule="exac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pacing w:val="4"/>
          <w:kern w:val="2"/>
          <w:sz w:val="32"/>
          <w:szCs w:val="32"/>
          <w:lang w:val="en-US" w:eastAsia="zh-CN" w:bidi="ar-SA"/>
          <w14:textFill>
            <w14:solidFill>
              <w14:schemeClr w14:val="tx1"/>
            </w14:solidFill>
          </w14:textFill>
        </w:rPr>
        <w:t xml:space="preserve">    非常感谢您一直以来对葛竹坪镇的关心和厚爱！</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2024年，</w:t>
      </w:r>
      <w:r>
        <w:rPr>
          <w:rFonts w:hint="eastAsia" w:ascii="仿宋_GB2312" w:hAnsi="仿宋_GB2312" w:eastAsia="仿宋_GB2312" w:cs="仿宋_GB2312"/>
          <w:b w:val="0"/>
          <w:bCs/>
          <w:color w:val="000000" w:themeColor="text1"/>
          <w:spacing w:val="4"/>
          <w:kern w:val="2"/>
          <w:sz w:val="32"/>
          <w:szCs w:val="32"/>
          <w:lang w:val="en-US" w:eastAsia="zh-CN" w:bidi="ar-SA"/>
          <w14:textFill>
            <w14:solidFill>
              <w14:schemeClr w14:val="tx1"/>
            </w14:solidFill>
          </w14:textFill>
        </w:rPr>
        <w:t>在县委、县政府的正确领导下，</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我们始终</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坚持以习近平新时代中国特色社会主义思想为指导，全面贯彻落实党的</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二十大和</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二十</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届三中全会</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精神</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坚定信心、保持定力、奋发作为，</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较好地完成了全年发展目</w:t>
      </w:r>
      <w:r>
        <w:rPr>
          <w:rFonts w:hint="eastAsia" w:ascii="仿宋_GB2312" w:hAnsi="仿宋_GB2312" w:eastAsia="仿宋_GB2312" w:cs="仿宋_GB2312"/>
          <w:b w:val="0"/>
          <w:bCs/>
          <w:color w:val="000000" w:themeColor="text1"/>
          <w:spacing w:val="4"/>
          <w:kern w:val="2"/>
          <w:sz w:val="32"/>
          <w:szCs w:val="32"/>
          <w:lang w:val="en-US" w:eastAsia="zh-CN" w:bidi="ar-SA"/>
          <w14:textFill>
            <w14:solidFill>
              <w14:schemeClr w14:val="tx1"/>
            </w14:solidFill>
          </w14:textFill>
        </w:rPr>
        <w:t>标任务。山背村顺利通过市级和美村庄验收，学生安全工作、农村人居环境整治提升工作在全县工作会议上作典型发言，消防安全“敲门行动”做法被央广网、潇湘晨报、怀化日报等媒体推介，森林防灭火应急演练、防汛演练被怀化新闻联播报道。现将工作情况汇报如下：</w:t>
      </w:r>
    </w:p>
    <w:p w14:paraId="787A3157">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FF0000"/>
          <w:kern w:val="2"/>
          <w:sz w:val="32"/>
          <w:szCs w:val="32"/>
          <w:lang w:val="en-US" w:eastAsia="zh-CN" w:bidi="ar-SA"/>
        </w:rPr>
      </w:pPr>
      <w:r>
        <w:rPr>
          <w:rFonts w:hint="eastAsia" w:ascii="黑体" w:hAnsi="黑体" w:eastAsia="黑体"/>
          <w:sz w:val="32"/>
          <w:szCs w:val="32"/>
        </w:rPr>
        <w:t>一、</w:t>
      </w:r>
      <w:r>
        <w:rPr>
          <w:rFonts w:hint="eastAsia" w:ascii="黑体" w:hAnsi="黑体" w:eastAsia="黑体"/>
          <w:sz w:val="32"/>
          <w:szCs w:val="32"/>
          <w:lang w:val="en-US" w:eastAsia="zh-CN"/>
        </w:rPr>
        <w:t>2024年</w:t>
      </w:r>
      <w:r>
        <w:rPr>
          <w:rFonts w:hint="eastAsia" w:ascii="黑体" w:hAnsi="黑体" w:eastAsia="黑体"/>
          <w:sz w:val="32"/>
          <w:szCs w:val="32"/>
        </w:rPr>
        <w:t>工作</w:t>
      </w:r>
      <w:r>
        <w:rPr>
          <w:rFonts w:hint="eastAsia" w:ascii="黑体" w:hAnsi="黑体" w:eastAsia="黑体"/>
          <w:sz w:val="32"/>
          <w:szCs w:val="32"/>
          <w:lang w:val="en-US" w:eastAsia="zh-CN"/>
        </w:rPr>
        <w:t>完成情况</w:t>
      </w:r>
    </w:p>
    <w:p w14:paraId="1E0491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（一）抓党建引领，不断筑牢战斗堡垒</w:t>
      </w:r>
    </w:p>
    <w:p w14:paraId="5E80AE0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1.以赶考的姿态扛主责。</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坚持把党的政治建设摆在首位，全年专题研究党建工作12次，组织开展党委理论学习中心组学习16次，上专题党课4次，开展主题党日活动12次，开展谈心谈话30余次，推动全镇党建工作提质增效。认真落实村民代表联系服务群众“三长制”工作要求，推进村民代表联系服务群众工作，全年上门走访4.9万余人次，收集解决问题204个，调解矛盾纠纷88起。</w:t>
      </w:r>
    </w:p>
    <w:p w14:paraId="08B3D2A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    2.以鲜明的导向强队伍。</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不断提高发展党员质效</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新发展党员9名，预备党员转正11人，培养入党积极分子21名，为党组织注入了新鲜血液。着眼村“两委”换届，从严把关后备力量的政治素养、年龄、学历等基本条件，共摸排出村党组织书记后备力量22名，平均年龄38岁，大专及以上学历18人，后备力量的年龄、学历和能力实现了“一降两升”。持续推动为基层减负赋能工作落实见效，切实提高工作效率，让干部脱去束缚，轻装上阵，今年来会议数量同比下降26%，发文数量同比下降24%。</w:t>
      </w:r>
    </w:p>
    <w:p w14:paraId="109783E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3.以务实的举措筑堡垒。</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定期专题研究党风廉政工作，落实“一岗双责”要求，认真落实中央《关于推动党纪学习</w:t>
      </w:r>
      <w:bookmarkStart w:id="0" w:name="_GoBack"/>
      <w:bookmarkEnd w:id="0"/>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常态化长效化的意见》，建立经常性和集中性相结合的纪律教育机制。今年共立案6起，已办结3件、移送审理2件，1人受党内警告处分，2人受党内严重警告处分。坚决落实“第一议题”制度，全力打好意识形态工作主动战，重点围绕基层党建、乡村振兴、文明创建、安全生产等工作推介报道100余篇，回复12345市民服务热线10余条。</w:t>
      </w:r>
    </w:p>
    <w:p w14:paraId="53BCCD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（二）抓经济发展，着力推进乡村振兴</w:t>
      </w:r>
    </w:p>
    <w:p w14:paraId="5556F86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1.着力推进产业发展。</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大力开展“招商引资年”活动，紧紧围绕文旅、石材、山银花三大产业，加大招商引资力度。天星村山银花标准化加工厂已建成运营；旗形村新建百亩粑叶套种油茶、黄柏基地以及配套的冷库；里木墩村兔肉养殖基地及加工产业项目一期建设已完成，将逐步实现月出栏肉兔1500只以上。</w:t>
      </w:r>
    </w:p>
    <w:p w14:paraId="7E1B002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2.完善基础设施建设。</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积极争取项目资金，新建双江、新桥、岚水江、天星等村防洪堤700多米，硬化楠木冲、里木墩等村村组公路2公里，油化步家垅村主公路500米，维修加固岚水江、步家垅、鹿山、金石、天星、山背等村灌溉渠道3.8公里。着力推进饮水工程建设与改造，新建里木墩村蓄水池一座，累计为各村解决饮用水管1.5万余米。新建各村公路安全防护栏28.44公里，为群众出行系上“安全带”。集镇新建公厕一座，并对存在安全隐患的旗形村永胜桥护栏进行了改造，获得群众好评。</w:t>
      </w:r>
    </w:p>
    <w:p w14:paraId="6FAF0E2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3.持续优化营商环境。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扎实推进“送解优”行动，主要领导带头累计走访辖区内企业70余次，</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共计推送各类政策法规50余条，为企业解决</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土地租赁等</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问题</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、调解矛盾纠纷10余</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次，现场提供各类政策咨询30余条。</w:t>
      </w:r>
    </w:p>
    <w:p w14:paraId="5A1098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（三）抓乡风文明，持续改善人居环境</w:t>
      </w:r>
    </w:p>
    <w:p w14:paraId="2A36B9E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1.抓实人居环境整治。</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加大投入力度，更换配备入户垃圾桶1200余个。积极开展“最美庭院”“美家美妇”“庭院小菜园”“畜禽圈养”“文明户”“卫生户”等系列微评比活动，</w:t>
      </w:r>
      <w:r>
        <w:rPr>
          <w:rFonts w:hint="eastAsia" w:ascii="仿宋_GB2312" w:hAnsi="仿宋_GB2312" w:eastAsia="仿宋_GB2312" w:cs="仿宋_GB2312"/>
          <w:b w:val="0"/>
          <w:bCs w:val="0"/>
          <w:color w:val="auto"/>
          <w:sz w:val="32"/>
          <w:szCs w:val="32"/>
          <w:lang w:val="en-US" w:eastAsia="zh-CN"/>
        </w:rPr>
        <w:t>做到学有标杆、干有榜样</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。结合“三长制”，引导群众积极参与农村人居环境整治工作，形成“党群共治、户户参与”的常态化治理模式。山背村顺利通过市级和美乡村创建验收。</w:t>
      </w:r>
    </w:p>
    <w:p w14:paraId="391760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2.严守生态保护红线。</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全面落实河长制、林长制，扎实开展水质提升百日攻坚行动，常态化溪河巡查、环保督察等100余次，督促整改焚烧秸秆、河道“四乱”等问题10余起，拆除岚水江村侵占河道建筑物1处、双江村破坏生态红线建筑物1处。大力推进绿化美化工程，利用植树节契机，在辖区公路两侧种植桂花树800余株、桃树600余株、鹰抓风600余株，以实际行动为生态文明建设增绿添彩。</w:t>
      </w:r>
    </w:p>
    <w:p w14:paraId="1EA011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（四）抓民生改善，切实增进群众福祉</w:t>
      </w:r>
    </w:p>
    <w:p w14:paraId="1251953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1.持续巩固脱贫攻坚成果。</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深入开展巩固拓展脱贫攻坚成果同乡村振兴有效衔接突出问题排查整改专项行动，全面走访1201户脱贫户和监测户，做好结对联系帮扶。组织开展多轮业务培训，有效提升镇、村两级帮扶干部能力水平。巩固拓展脱贫攻坚成果同乡村振兴有效衔接工作在县里获评为“好”等次。</w:t>
      </w:r>
    </w:p>
    <w:p w14:paraId="326E0DB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2.切实提升教育医疗水平。</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争取项目资金，对山背村、天星村卫生室进行了改造，方便群众就医。累计为辖区内1113名适龄妇女提供宫颈癌、乳腺癌免费筛查。加大农村居民医保宣传、征收力度，全镇特殊人群、建档立卡脱贫户全部参保。牢固树立“抓教育就是抓发展”的理念，扎实开展“护学岗”工作，持续对校园周边环境进行综合整治，为学生安全保驾护航。镇中学、小学教学质量不断提升，初升高考试和会考成绩均排名全县前列。学生安全工作在全县作典型发言。</w:t>
      </w:r>
    </w:p>
    <w:p w14:paraId="4D87839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lef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3.不断强化社会保障工作。</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切实关心关爱困难群众，全年走访慰问分散供养特困户、孤儿和事实无人抚养儿童、困难党员、受灾群众等200余人次，发放物资和资金7万余元。发放退役军人优待金112余万元，申报退役军人医疗救助金1.5余万元。进行残疾人无障碍房屋改造21户、统筹项目改造18户。新增改造标准化山背村农村互助养老服务站、金石村儿童之家，不断推进农村养老服务和关心下一代工作</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1CFEC6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（五）抓工作落实，全力确保安全稳定</w:t>
      </w:r>
    </w:p>
    <w:p w14:paraId="42670010">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2"/>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1.着力抓好防汛和森林防火。</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积极应对多轮强降雨，加强群众避险转移，累计转移群众114户237人，其中鹿山村郑家院子群众成功转移避险案例被中国网、湖南应急等媒体宣传。积极做好灾后恢复重建工作，先后维修加固水渠、农村道路等1.5公里，清理道路塌方30余处。扎实开展森林防灭火宣传、巡查、值守、演练等工作，今年来未发生一起森林火灾。森林防灭火应急演练被怀化新闻联播报道。</w:t>
      </w:r>
    </w:p>
    <w:p w14:paraId="06B0E499">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2"/>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2.着力抓好安全防范工作。</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党政领导坚持带队开展安全生产检查，共发现一般安全隐患300个，重大安全隐患25个，均及时督促整改到位。全年立案处罚2起，处置非法营运2起，劝导“一盔一带”等交通违法违规行为257起，处理违法超员、非法载人6起，打击无证驾驶15起</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同时加强宣传教育，共组织观看安全生产专题片4次，发放宣传资料6000余份，悬挂宣传标语200余条。消防安全“敲门行动”被央广网、潇湘晨报、怀化日报等媒体推介。</w:t>
      </w:r>
    </w:p>
    <w:p w14:paraId="346C743F">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2"/>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3.着力抓好平安建设工作。</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坚持把综治维稳工作摆在突出位置，共调处各类矛盾30多起。对辖区内的39名外国媳妇进行全面走访，针对各类风险隐患，制定具体应对措施，把风险等级降到最低。</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深化平安创建，常态化开展扫黑除恶专项斗争，</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在辖区内全面推广“溆浦经验”。切实</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打好新一轮禁毒人民战争</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，禁毒工作获县禁毒委通报表扬。“反性侵、反欺凌”未成年人保护普法宣传做法被湖南法治报刊发推介。</w:t>
      </w:r>
    </w:p>
    <w:p w14:paraId="635B4B90">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2"/>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同时，武装、卫生健康、老干、团委、统计、妇联等各项工作都稳步推进，取得明显成效。</w:t>
      </w:r>
    </w:p>
    <w:p w14:paraId="6E8B02A0">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二、主要成效及亮点</w:t>
      </w:r>
    </w:p>
    <w:p w14:paraId="70166E5D">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（一）坚持人民至上，守护群众安全。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积极应对多轮强降雨，加强群众避险转移，累计转移群众114户237人，其中鹿山村郑家院子群众成功转移避险案例被中国网、湖南应急等媒体宣传。消防安全“敲门行动”被央广网、潇湘晨报、怀化日报等媒体推介。扎实开展森林防灭火宣传、巡查、值守、演练等工作，今年来未发生一起森林火灾。森林防灭火应急演练被怀化市新闻联播报道。</w:t>
      </w:r>
    </w:p>
    <w:p w14:paraId="56C4F143">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（二）建设美丽乡村，</w:t>
      </w:r>
      <w:r>
        <w:rPr>
          <w:rFonts w:hint="eastAsia" w:ascii="仿宋_GB2312" w:hAnsi="仿宋_GB2312" w:cs="仿宋_GB2312"/>
          <w:b/>
          <w:bCs/>
          <w:color w:val="000000" w:themeColor="text1"/>
          <w:kern w:val="2"/>
          <w:sz w:val="32"/>
          <w:szCs w:val="32"/>
          <w:lang w:val="en-US" w:eastAsia="zh-CN" w:bidi="ar-SA"/>
          <w14:textFill>
            <w14:solidFill>
              <w14:schemeClr w14:val="tx1"/>
            </w14:solidFill>
          </w14:textFill>
        </w:rPr>
        <w:t>绘好生态底色</w:t>
      </w:r>
    </w:p>
    <w:p w14:paraId="17FBEFA1">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大力推进绿化工程，利用植树节契机，在辖区公路两侧种植了桂花树800余株、桃树600余株、鹰抓风600余株，以实际行动为生态文明建设增绿添彩。结合“三长制”工作引导群众积极参与农村人居环境整治工作，形成“党群共治、户户参与”的常态化治理模式。每周开展集中清爽行动，营造了人人讲卫生、户户爱整洁的浓厚氛围。山背村通过市级和美乡村验收。</w:t>
      </w:r>
    </w:p>
    <w:p w14:paraId="21348F9E">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三、存在的问题</w:t>
      </w:r>
    </w:p>
    <w:p w14:paraId="042E43B4">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一是</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在2024年城乡居民医保综合参保率与全县平均水平相较还有差距，要进一步加大宣传力度，扎实推进城乡居民医保收缴工作。</w:t>
      </w:r>
    </w:p>
    <w:p w14:paraId="021DC9D1">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cs="仿宋_GB2312"/>
          <w:b/>
          <w:bCs/>
          <w:color w:val="000000" w:themeColor="text1"/>
          <w:kern w:val="2"/>
          <w:sz w:val="32"/>
          <w:szCs w:val="32"/>
          <w:lang w:val="en-US" w:eastAsia="zh-CN" w:bidi="ar-SA"/>
          <w14:textFill>
            <w14:solidFill>
              <w14:schemeClr w14:val="tx1"/>
            </w14:solidFill>
          </w14:textFill>
        </w:rPr>
        <w:t>二</w:t>
      </w:r>
      <w:r>
        <w:rPr>
          <w:rFonts w:hint="default" w:ascii="仿宋_GB2312" w:hAnsi="仿宋_GB2312" w:eastAsia="仿宋_GB2312" w:cs="仿宋_GB2312"/>
          <w:b/>
          <w:bCs/>
          <w:color w:val="000000" w:themeColor="text1"/>
          <w:kern w:val="2"/>
          <w:sz w:val="32"/>
          <w:szCs w:val="32"/>
          <w:lang w:val="en-US" w:eastAsia="zh-CN" w:bidi="ar-SA"/>
          <w14:textFill>
            <w14:solidFill>
              <w14:schemeClr w14:val="tx1"/>
            </w14:solidFill>
          </w14:textFill>
        </w:rPr>
        <w:t>是</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产业发展</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成效还不够突出</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。我镇</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虽然发展了山银花</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猕猴桃</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等特色产业，但都未形成规模和品牌效应，带动群众增收致富的效果还不明显。</w:t>
      </w:r>
    </w:p>
    <w:p w14:paraId="31F429FC">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cs="仿宋_GB2312"/>
          <w:b/>
          <w:bCs/>
          <w:color w:val="000000" w:themeColor="text1"/>
          <w:kern w:val="2"/>
          <w:sz w:val="32"/>
          <w:szCs w:val="32"/>
          <w:lang w:val="en-US" w:eastAsia="zh-CN" w:bidi="ar-SA"/>
          <w14:textFill>
            <w14:solidFill>
              <w14:schemeClr w14:val="tx1"/>
            </w14:solidFill>
          </w14:textFill>
        </w:rPr>
        <w:t>三</w:t>
      </w:r>
      <w:r>
        <w:rPr>
          <w:rFonts w:hint="default" w:ascii="仿宋_GB2312" w:hAnsi="仿宋_GB2312" w:eastAsia="仿宋_GB2312" w:cs="仿宋_GB2312"/>
          <w:b/>
          <w:bCs/>
          <w:color w:val="000000" w:themeColor="text1"/>
          <w:kern w:val="2"/>
          <w:sz w:val="32"/>
          <w:szCs w:val="32"/>
          <w:lang w:val="en-US" w:eastAsia="zh-CN" w:bidi="ar-SA"/>
          <w14:textFill>
            <w14:solidFill>
              <w14:schemeClr w14:val="tx1"/>
            </w14:solidFill>
          </w14:textFill>
        </w:rPr>
        <w:t>是</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村干部队伍</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整体</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素质</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还有待提升</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，班子配备不强，年轻干部占比依然不高，现有村班子队伍乏朝气和活力，缺少开拓进取精神。</w:t>
      </w:r>
    </w:p>
    <w:p w14:paraId="03CEFA94">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四、2025年工作目标</w:t>
      </w:r>
    </w:p>
    <w:p w14:paraId="62062493">
      <w:pPr>
        <w:keepNext w:val="0"/>
        <w:keepLines w:val="0"/>
        <w:pageBreakBefore w:val="0"/>
        <w:kinsoku/>
        <w:wordWrap/>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2025年</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是实施“十四五”规划</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最后</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一年。</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葛竹坪镇将始终</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坚持以习近平新时代中国特色社会主义思想为指导，全面贯彻党的二十大和二十届</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中全会精神，</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坚决落实县委、县政府决策部署，全力以赴，抓好落实，确保取得新的工作成效</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auto"/>
          <w:sz w:val="32"/>
          <w:szCs w:val="32"/>
          <w:lang w:val="zh-CN"/>
        </w:rPr>
        <w:t>重点抓好以下工作：</w:t>
      </w:r>
    </w:p>
    <w:p w14:paraId="149AFBC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1.抓党建，强基础。</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深入学习贯彻党的二十大精神，与全县重大战略、重点工作紧密结合起来，以理论学习的实际成效全力推动葛竹坪镇经济社会高质量跨越发展。持续加强对村“两委”干部教育培训，改进工作作风，发挥好村级财务监管体系作用，强化对村干部的教育、管理和监督。强化党建与各项工作深度融合，切实履行抓基层党建主体责任，落实意识形态责任制，党风廉政建设责任制，落实“一岗双责”职责，强化对权力运行的监督和制约，充分发挥纪检作用，健全完善监督体系。</w:t>
      </w:r>
    </w:p>
    <w:p w14:paraId="50CA3DC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2.抓经济，促发展。</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继续围绕文旅、石材、山银花等重点，加快产业发展。积极推进山背索道建成运营，丰富辖区内旅游业态，壮大文旅产业。主动争取石材产业园落地，逐步建成集开采、加工、推广、销售为一体的产业整体布局。围绕龙潭镇山银花集散市场，不断提升我镇山银花种植和加工水平，让山银花真正成为乡村振兴道路上的“致富花”。</w:t>
      </w:r>
    </w:p>
    <w:p w14:paraId="561597AD">
      <w:pPr>
        <w:pStyle w:val="6"/>
        <w:keepNext w:val="0"/>
        <w:keepLines w:val="0"/>
        <w:pageBreakBefore w:val="0"/>
        <w:numPr>
          <w:ilvl w:val="0"/>
          <w:numId w:val="0"/>
        </w:numPr>
        <w:kinsoku/>
        <w:wordWrap/>
        <w:overflowPunct/>
        <w:topLinePunct w:val="0"/>
        <w:autoSpaceDE/>
        <w:autoSpaceDN/>
        <w:bidi w:val="0"/>
        <w:adjustRightInd/>
        <w:snapToGrid/>
        <w:spacing w:after="0" w:afterLines="0" w:line="560" w:lineRule="exact"/>
        <w:ind w:right="0" w:rightChars="0" w:firstLine="643"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3.抓安全，保稳定。</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常态化开展安全生产大排查大整治，抓好问题整改，推动安全生产形势稳定向好。坚持推广好“溆浦经验”做法，深化“三二一”矛盾纠纷化解机制，多元化解社会矛盾纠纷。保持严打高压态势预防违法犯罪行为，常态化开展扫黑除恶专项斗争，确保镇域社会和谐稳定。</w:t>
      </w:r>
    </w:p>
    <w:p w14:paraId="4130D642">
      <w:pPr>
        <w:pStyle w:val="6"/>
        <w:keepNext w:val="0"/>
        <w:keepLines w:val="0"/>
        <w:pageBreakBefore w:val="0"/>
        <w:kinsoku/>
        <w:wordWrap/>
        <w:overflowPunct/>
        <w:topLinePunct w:val="0"/>
        <w:autoSpaceDE/>
        <w:autoSpaceDN/>
        <w:bidi w:val="0"/>
        <w:adjustRightInd/>
        <w:snapToGrid/>
        <w:spacing w:after="0" w:afterLines="0" w:line="560" w:lineRule="exact"/>
        <w:ind w:left="0" w:leftChars="0" w:right="0" w:firstLine="656"/>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4.抓民生，增福祉。</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抓好重点群体就业引导服务工作，切实做好就业保障。全面落实低保、特困和临时救助等兜底保障政策，确保困难群众生活。积极争取民生项目建设，不断完善基础设施。大力推广全民健康生活方式，着力提升卫生健康工作水平，让群众更有获得感和幸福感。</w:t>
      </w:r>
    </w:p>
    <w:p w14:paraId="3806B3DC">
      <w:pPr>
        <w:pStyle w:val="6"/>
        <w:keepNext w:val="0"/>
        <w:keepLines w:val="0"/>
        <w:pageBreakBefore w:val="0"/>
        <w:kinsoku/>
        <w:wordWrap/>
        <w:overflowPunct/>
        <w:topLinePunct w:val="0"/>
        <w:autoSpaceDE/>
        <w:autoSpaceDN/>
        <w:bidi w:val="0"/>
        <w:adjustRightInd/>
        <w:snapToGrid/>
        <w:spacing w:after="0" w:afterLines="0" w:line="560" w:lineRule="exact"/>
        <w:ind w:left="0" w:leftChars="0" w:right="0" w:firstLine="656"/>
        <w:textAlignment w:val="auto"/>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5.抓环境，美乡村。</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持续巩固省级卫生乡镇、市级和美乡镇创建成果，</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深入推进人居环境整治提升行动，统筹做好改厕工作</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持续开展美丽乡村建设，实现镇村面貌和群众满意度</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不断</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提升。</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认真</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落实河长制、林长制及生态环境保护</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工作要求</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持续改善水质、空气质量，为老百姓营造良好的生活工作环境</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sectPr>
      <w:footerReference r:id="rId3" w:type="default"/>
      <w:pgSz w:w="11906" w:h="16838"/>
      <w:pgMar w:top="1701" w:right="1502" w:bottom="1531" w:left="1502"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915C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8CB99">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F8CB99">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932EC"/>
    <w:rsid w:val="0BB27EF8"/>
    <w:rsid w:val="151158D9"/>
    <w:rsid w:val="18495DE4"/>
    <w:rsid w:val="1C956CAB"/>
    <w:rsid w:val="1D005902"/>
    <w:rsid w:val="2AB9412D"/>
    <w:rsid w:val="2ABA04DD"/>
    <w:rsid w:val="2FC932EC"/>
    <w:rsid w:val="3D9D20A7"/>
    <w:rsid w:val="3E053730"/>
    <w:rsid w:val="494F2CA2"/>
    <w:rsid w:val="56162FDC"/>
    <w:rsid w:val="5A6D1AED"/>
    <w:rsid w:val="628F149A"/>
    <w:rsid w:val="63CE0609"/>
    <w:rsid w:val="6C7A1DCE"/>
    <w:rsid w:val="71CE0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qFormat/>
    <w:uiPriority w:val="99"/>
    <w:pPr>
      <w:ind w:firstLine="720" w:firstLineChars="200"/>
    </w:pPr>
    <w:rPr>
      <w:rFonts w:eastAsia="仿宋_GB2312"/>
      <w:sz w:val="36"/>
      <w:szCs w:val="36"/>
    </w:rPr>
  </w:style>
  <w:style w:type="paragraph" w:styleId="4">
    <w:name w:val="Normal Indent"/>
    <w:basedOn w:val="1"/>
    <w:next w:val="5"/>
    <w:qFormat/>
    <w:uiPriority w:val="0"/>
    <w:pPr>
      <w:ind w:firstLine="420" w:firstLineChars="200"/>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Body Text"/>
    <w:basedOn w:val="1"/>
    <w:next w:val="7"/>
    <w:qFormat/>
    <w:uiPriority w:val="0"/>
    <w:pPr>
      <w:spacing w:after="120" w:afterLines="0" w:afterAutospacing="0"/>
    </w:pPr>
  </w:style>
  <w:style w:type="paragraph" w:styleId="7">
    <w:name w:val="Body Text First Indent"/>
    <w:basedOn w:val="6"/>
    <w:qFormat/>
    <w:uiPriority w:val="0"/>
    <w:pPr>
      <w:ind w:firstLine="0" w:firstLineChars="0"/>
      <w:jc w:val="left"/>
    </w:pPr>
    <w:rPr>
      <w:rFonts w:ascii="Times New Roman" w:hAnsi="Times New Roman"/>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大标题"/>
    <w:basedOn w:val="1"/>
    <w:qFormat/>
    <w:uiPriority w:val="0"/>
    <w:pPr>
      <w:spacing w:line="700" w:lineRule="exact"/>
      <w:ind w:firstLine="0" w:firstLineChars="0"/>
      <w:jc w:val="center"/>
    </w:pPr>
    <w:rPr>
      <w:rFonts w:eastAsia="方正小标宋简体"/>
      <w:sz w:val="44"/>
    </w:rPr>
  </w:style>
  <w:style w:type="paragraph" w:customStyle="1" w:styleId="12">
    <w:name w:val="一级标题"/>
    <w:basedOn w:val="1"/>
    <w:qFormat/>
    <w:uiPriority w:val="0"/>
    <w:pPr>
      <w:spacing w:line="240" w:lineRule="auto"/>
      <w:jc w:val="left"/>
    </w:pPr>
    <w:rPr>
      <w:rFonts w:eastAsia="黑体"/>
    </w:rPr>
  </w:style>
  <w:style w:type="paragraph" w:customStyle="1" w:styleId="13">
    <w:name w:val="文内小标"/>
    <w:basedOn w:val="1"/>
    <w:link w:val="14"/>
    <w:qFormat/>
    <w:uiPriority w:val="0"/>
    <w:pPr>
      <w:jc w:val="left"/>
    </w:pPr>
    <w:rPr>
      <w:rFonts w:ascii="Times New Roman" w:hAnsi="Times New Roman" w:eastAsia="楷体" w:cstheme="minorBidi"/>
      <w:b/>
      <w:szCs w:val="22"/>
    </w:rPr>
  </w:style>
  <w:style w:type="character" w:customStyle="1" w:styleId="14">
    <w:name w:val="文内小标 Char"/>
    <w:link w:val="13"/>
    <w:qFormat/>
    <w:uiPriority w:val="0"/>
    <w:rPr>
      <w:rFonts w:ascii="Times New Roman" w:hAnsi="Times New Roman" w:eastAsia="楷体" w:cstheme="minorBidi"/>
      <w:b/>
      <w:szCs w:val="22"/>
    </w:rPr>
  </w:style>
  <w:style w:type="paragraph" w:customStyle="1" w:styleId="15">
    <w:name w:val="三级标题"/>
    <w:basedOn w:val="1"/>
    <w:qFormat/>
    <w:uiPriority w:val="0"/>
    <w:pPr>
      <w:jc w:val="left"/>
    </w:pPr>
    <w:rPr>
      <w:rFonts w:eastAsia="黑体"/>
    </w:rPr>
  </w:style>
  <w:style w:type="paragraph" w:customStyle="1" w:styleId="16">
    <w:name w:val="二级标题"/>
    <w:basedOn w:val="1"/>
    <w:qFormat/>
    <w:uiPriority w:val="0"/>
    <w:pPr>
      <w:jc w:val="left"/>
    </w:pPr>
    <w:rPr>
      <w:b/>
    </w:rPr>
  </w:style>
  <w:style w:type="paragraph" w:customStyle="1" w:styleId="17">
    <w:name w:val="_Style 0"/>
    <w:autoRedefine/>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4245</Words>
  <Characters>4386</Characters>
  <Lines>0</Lines>
  <Paragraphs>0</Paragraphs>
  <TotalTime>4</TotalTime>
  <ScaleCrop>false</ScaleCrop>
  <LinksUpToDate>false</LinksUpToDate>
  <CharactersWithSpaces>4406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2025-01-10T04:17:00Z</dcterms:created>
  <dc:creator>Aiden</dc:creator>
  <cp:lastModifiedBy>敷衍</cp:lastModifiedBy>
  <dcterms:modified xsi:type="dcterms:W3CDTF">2026-07-06T08:14:54Z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3EAB546C245E43B0944814327383502F_13</vt:lpwstr>
  </property>
  <property fmtid="{D5CDD505-2E9C-101B-9397-08002B2CF9AE}" pid="4" name="KSOTemplateDocerSaveRecord">
    <vt:lpwstr>eyJoZGlkIjoiNDc4MWVmYWJkZTllNTNiZWFiODgyNWFlMTkxMjZhM2MiLCJ1c2VySWQiOiI5NTkxMTI2OTEifQ==</vt:lpwstr>
  </property>
</Properties>
</file>