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val="en-US" w:eastAsia="zh-CN"/>
        </w:rPr>
      </w:pPr>
      <w:r>
        <w:rPr>
          <w:rFonts w:hint="eastAsia"/>
          <w:sz w:val="84"/>
          <w:szCs w:val="84"/>
          <w:lang w:val="en-US" w:eastAsia="zh-CN"/>
        </w:rPr>
        <w:t>溆浦县沿溪乡人民政府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w:t>
      </w:r>
      <w:r>
        <w:rPr>
          <w:rFonts w:hint="eastAsia"/>
          <w:b/>
          <w:sz w:val="28"/>
          <w:szCs w:val="28"/>
          <w:lang w:val="en-US" w:eastAsia="zh-CN"/>
        </w:rPr>
        <w:t>沿溪乡人民政府</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沿溪乡人民政府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党委工作职责：（1）保证党的路线、方针、政策的坚决贯彻执行。（2）保证监督职能。（3）教育和管理职能。（4）服从和服务于经济建设的职能。（5）负责抓好本乡 党建工作、群团工作、精神文明建设工作、新闻宣传工作。（6）完成县委、县政府交给的其他工作任务。</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jc w:val="left"/>
        <w:rPr>
          <w:rFonts w:asciiTheme="minorEastAsia" w:hAnsiTheme="minorEastAsia"/>
          <w:sz w:val="32"/>
          <w:szCs w:val="32"/>
        </w:rPr>
      </w:pPr>
      <w:r>
        <w:rPr>
          <w:rFonts w:hint="eastAsia" w:ascii="黑体" w:hAnsi="黑体" w:eastAsia="黑体"/>
          <w:sz w:val="32"/>
          <w:szCs w:val="32"/>
          <w:lang w:val="en-US" w:eastAsia="zh-CN"/>
        </w:rPr>
        <w:t xml:space="preserve">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jc w:val="left"/>
        <w:rPr>
          <w:rFonts w:hint="eastAsia" w:asciiTheme="minorEastAsia" w:hAnsiTheme="minorEastAsia"/>
          <w:sz w:val="32"/>
          <w:szCs w:val="32"/>
        </w:rPr>
      </w:pPr>
      <w:r>
        <w:rPr>
          <w:rFonts w:hint="eastAsia" w:asciiTheme="minorEastAsia" w:hAnsiTheme="minorEastAsia"/>
          <w:bCs/>
          <w:kern w:val="0"/>
          <w:sz w:val="32"/>
          <w:szCs w:val="32"/>
        </w:rPr>
        <w:t>（一）</w:t>
      </w:r>
      <w:r>
        <w:rPr>
          <w:rFonts w:hint="eastAsia" w:asciiTheme="minorEastAsia" w:hAnsiTheme="minorEastAsia"/>
          <w:sz w:val="32"/>
          <w:szCs w:val="32"/>
        </w:rPr>
        <w:t>内设机构设置。</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本单位下设机构分别是党政办、组织办、民政办、综治办、经济发展和经营管理办公室、扶贫办、计生办、财政所、司法所、派出所、林业站、安监站、国土所。</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sz w:val="32"/>
          <w:szCs w:val="32"/>
        </w:rPr>
        <w:t>溆浦县沿溪乡人民政府单位</w:t>
      </w:r>
      <w:r>
        <w:rPr>
          <w:rFonts w:hint="eastAsia" w:asciiTheme="minorEastAsia" w:hAnsiTheme="minorEastAsia"/>
          <w:sz w:val="32"/>
          <w:szCs w:val="32"/>
          <w:highlight w:val="none"/>
          <w:lang w:val="en-US" w:eastAsia="zh-CN"/>
        </w:rPr>
        <w:t>2021</w:t>
      </w:r>
      <w:r>
        <w:rPr>
          <w:rFonts w:hint="eastAsia" w:asciiTheme="minorEastAsia" w:hAnsiTheme="minorEastAsia"/>
          <w:sz w:val="32"/>
          <w:szCs w:val="32"/>
        </w:rPr>
        <w:t>年部门决算汇总公开单位构成包括：溆浦县沿溪乡人民政府及财政所。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5000" w:type="pct"/>
        <w:tblInd w:w="0" w:type="dxa"/>
        <w:tblLayout w:type="autofit"/>
        <w:tblCellMar>
          <w:top w:w="0" w:type="dxa"/>
          <w:left w:w="108" w:type="dxa"/>
          <w:bottom w:w="0" w:type="dxa"/>
          <w:right w:w="108" w:type="dxa"/>
        </w:tblCellMar>
      </w:tblPr>
      <w:tblGrid>
        <w:gridCol w:w="3914"/>
        <w:gridCol w:w="819"/>
        <w:gridCol w:w="505"/>
        <w:gridCol w:w="700"/>
        <w:gridCol w:w="232"/>
        <w:gridCol w:w="3490"/>
        <w:gridCol w:w="848"/>
        <w:gridCol w:w="1471"/>
        <w:gridCol w:w="661"/>
        <w:gridCol w:w="1534"/>
      </w:tblGrid>
      <w:tr>
        <w:tblPrEx>
          <w:tblCellMar>
            <w:top w:w="0" w:type="dxa"/>
            <w:left w:w="108" w:type="dxa"/>
            <w:bottom w:w="0" w:type="dxa"/>
            <w:right w:w="108" w:type="dxa"/>
          </w:tblCellMar>
        </w:tblPrEx>
        <w:trPr>
          <w:trHeight w:val="360" w:hRule="atLeast"/>
        </w:trPr>
        <w:tc>
          <w:tcPr>
            <w:tcW w:w="5000" w:type="pct"/>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1848" w:type="pct"/>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24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9"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36" w:hRule="atLeast"/>
        </w:trPr>
        <w:tc>
          <w:tcPr>
            <w:tcW w:w="1848" w:type="pct"/>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24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2"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9" w:type="pct"/>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26" w:hRule="atLeast"/>
        </w:trPr>
        <w:tc>
          <w:tcPr>
            <w:tcW w:w="2095"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290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42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90"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24"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90"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1226.29　</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533.85</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lang w:val="en-US" w:eastAsia="zh-CN" w:bidi="ar-SA"/>
              </w:rPr>
            </w:pPr>
            <w:r>
              <w:rPr>
                <w:rFonts w:hint="eastAsia" w:ascii="宋体" w:hAnsi="宋体" w:eastAsia="宋体" w:cs="宋体"/>
                <w:kern w:val="0"/>
                <w:sz w:val="22"/>
              </w:rPr>
              <w:t>三、国防支出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szCs w:val="22"/>
                <w:lang w:val="en-US" w:eastAsia="zh-CN" w:bidi="ar-SA"/>
              </w:rPr>
            </w:pPr>
            <w:r>
              <w:rPr>
                <w:rFonts w:hint="eastAsia" w:ascii="宋体" w:hAnsi="宋体" w:eastAsia="宋体" w:cs="宋体"/>
                <w:kern w:val="0"/>
                <w:sz w:val="22"/>
              </w:rPr>
              <w:t>四、公共安全支出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79.12</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39.17</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21</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75.15</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22</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431.18</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14.07</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31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c>
          <w:tcPr>
            <w:tcW w:w="1313"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290"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42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1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290" w:type="pct"/>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26" w:hRule="atLeast"/>
        </w:trPr>
        <w:tc>
          <w:tcPr>
            <w:tcW w:w="138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42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c>
          <w:tcPr>
            <w:tcW w:w="1313"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29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290"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r>
      <w:tr>
        <w:tblPrEx>
          <w:tblCellMar>
            <w:top w:w="0" w:type="dxa"/>
            <w:left w:w="108" w:type="dxa"/>
            <w:bottom w:w="0" w:type="dxa"/>
            <w:right w:w="108" w:type="dxa"/>
          </w:tblCellMar>
        </w:tblPrEx>
        <w:trPr>
          <w:trHeight w:val="336" w:hRule="atLeast"/>
        </w:trPr>
        <w:tc>
          <w:tcPr>
            <w:tcW w:w="5000" w:type="pct"/>
            <w:gridSpan w:val="10"/>
            <w:tcBorders>
              <w:top w:val="nil"/>
              <w:left w:val="nil"/>
              <w:bottom w:val="nil"/>
              <w:right w:val="nil"/>
            </w:tcBorders>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1"/>
                <w:szCs w:val="21"/>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192" w:type="dxa"/>
        <w:tblInd w:w="0" w:type="dxa"/>
        <w:tblLayout w:type="fixed"/>
        <w:tblCellMar>
          <w:top w:w="0" w:type="dxa"/>
          <w:left w:w="0" w:type="dxa"/>
          <w:bottom w:w="0" w:type="dxa"/>
          <w:right w:w="0" w:type="dxa"/>
        </w:tblCellMar>
      </w:tblPr>
      <w:tblGrid>
        <w:gridCol w:w="401"/>
        <w:gridCol w:w="399"/>
        <w:gridCol w:w="2797"/>
        <w:gridCol w:w="1140"/>
        <w:gridCol w:w="1545"/>
        <w:gridCol w:w="1710"/>
        <w:gridCol w:w="1770"/>
        <w:gridCol w:w="1785"/>
        <w:gridCol w:w="1770"/>
        <w:gridCol w:w="1875"/>
      </w:tblGrid>
      <w:tr>
        <w:tblPrEx>
          <w:tblCellMar>
            <w:top w:w="0" w:type="dxa"/>
            <w:left w:w="0" w:type="dxa"/>
            <w:bottom w:w="0" w:type="dxa"/>
            <w:right w:w="0" w:type="dxa"/>
          </w:tblCellMar>
        </w:tblPrEx>
        <w:trPr>
          <w:trHeight w:val="435" w:hRule="atLeast"/>
        </w:trPr>
        <w:tc>
          <w:tcPr>
            <w:tcW w:w="1519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7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9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79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79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5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1,241.29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1,241.29</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533.85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533.85</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人大事务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496.90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496.90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380.03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380.03</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17.61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99.26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99.26</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统计信息事务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2010507</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31.28</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31.28</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27.28</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27.28</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国防支出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20306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国防动员</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2030601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18.04</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18.04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18.04</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17.14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17.14</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0.90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79.12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79.12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36.60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36.60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36.60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36.60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24.03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24.03</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16.03</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9.47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9.47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8.21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39.17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39.17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0.20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0.20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2.53</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0.41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0.41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计划生育事务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12.02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12.02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24.42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24.42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24.42</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75.15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75.15</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23.30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23.30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22.30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22.30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45.85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45.85</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45.85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45.85</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431.18</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431.18</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2130142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43.61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43.61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43.61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43.61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121.91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121.91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85.80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85.80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33.11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33.11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246.66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246.66</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246.66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246.66</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其他农林水支出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20.11</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11.07</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2249999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2296003</w:t>
            </w:r>
          </w:p>
        </w:tc>
        <w:tc>
          <w:tcPr>
            <w:tcW w:w="2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1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7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19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22"/>
        <w:gridCol w:w="2558"/>
        <w:gridCol w:w="1665"/>
        <w:gridCol w:w="1365"/>
        <w:gridCol w:w="1410"/>
        <w:gridCol w:w="1380"/>
        <w:gridCol w:w="1695"/>
        <w:gridCol w:w="1846"/>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8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8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8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1,241.29</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961.14</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280.15</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533.85</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510.97</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496.90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479.29</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380.03</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380.03</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17.61</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99.26</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99.26</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2010507</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31.28</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27.28</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27.28</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27.28</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国防支出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20306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国防动员</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2030601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18.04</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18.04</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17.14</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79.12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79.12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36.60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24.03</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9.47</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9.47</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8.21</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39.17</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39.17</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0.20</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0.41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0.41</w:t>
            </w:r>
          </w:p>
        </w:tc>
        <w:tc>
          <w:tcPr>
            <w:tcW w:w="14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24.42</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75.15</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23.30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45.85</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45.85</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431.18</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293.27</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137.91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2130142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43.61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43.61</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43.61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43.61</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121.91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118.91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85.80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85.80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246.66</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246.66</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246.66</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246.66</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其他农林水支出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2139999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11.07</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2249999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2296003</w:t>
            </w:r>
          </w:p>
        </w:tc>
        <w:tc>
          <w:tcPr>
            <w:tcW w:w="255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6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676"/>
        <w:gridCol w:w="540"/>
        <w:gridCol w:w="1241"/>
        <w:gridCol w:w="160"/>
        <w:gridCol w:w="3542"/>
        <w:gridCol w:w="133"/>
        <w:gridCol w:w="636"/>
        <w:gridCol w:w="1237"/>
        <w:gridCol w:w="1392"/>
        <w:gridCol w:w="1392"/>
        <w:gridCol w:w="1572"/>
      </w:tblGrid>
      <w:tr>
        <w:tblPrEx>
          <w:tblCellMar>
            <w:top w:w="0" w:type="dxa"/>
            <w:left w:w="108" w:type="dxa"/>
            <w:bottom w:w="0" w:type="dxa"/>
            <w:right w:w="108" w:type="dxa"/>
          </w:tblCellMar>
        </w:tblPrEx>
        <w:trPr>
          <w:trHeight w:val="285" w:hRule="atLeast"/>
        </w:trPr>
        <w:tc>
          <w:tcPr>
            <w:tcW w:w="367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4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0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769"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23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300" w:hRule="atLeast"/>
        </w:trPr>
        <w:tc>
          <w:tcPr>
            <w:tcW w:w="36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67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5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6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852"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1,226.29</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533.85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533.85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18.04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79.12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79.12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39.17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75.15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70.15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431.18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431.18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23</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24</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14.07</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83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25</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1,226.29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4" w:hRule="atLeast"/>
        </w:trPr>
        <w:tc>
          <w:tcPr>
            <w:tcW w:w="3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1,241.29</w:t>
            </w:r>
          </w:p>
        </w:tc>
        <w:tc>
          <w:tcPr>
            <w:tcW w:w="383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3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1,241.29</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1,226.29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1,226.29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961.14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265.15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533.85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510.97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496.90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479.29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99.26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99.26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国防动员</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79.12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特困人员救助供养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39.17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39.17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431.18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2130142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85.80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246.66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246.66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215"/>
        <w:gridCol w:w="3135"/>
        <w:gridCol w:w="1140"/>
        <w:gridCol w:w="1260"/>
        <w:gridCol w:w="2190"/>
        <w:gridCol w:w="1275"/>
        <w:gridCol w:w="1185"/>
        <w:gridCol w:w="3210"/>
        <w:gridCol w:w="1004"/>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496.28</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173.96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228.17</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114.90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61.02</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28.50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20.11</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6.29</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290.91</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246.66</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25.68</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4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7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787.18</w:t>
            </w:r>
          </w:p>
        </w:tc>
        <w:tc>
          <w:tcPr>
            <w:tcW w:w="91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173.96</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953"/>
        <w:gridCol w:w="1710"/>
        <w:gridCol w:w="1800"/>
        <w:gridCol w:w="1980"/>
        <w:gridCol w:w="1877"/>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73"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71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85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95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710" w:type="dxa"/>
            <w:vMerge w:val="continue"/>
            <w:vAlign w:val="center"/>
          </w:tcPr>
          <w:p>
            <w:pPr>
              <w:widowControl/>
              <w:jc w:val="left"/>
              <w:rPr>
                <w:rFonts w:ascii="Times New Roman" w:hAnsi="Times New Roman" w:eastAsia="仿宋_GB2312" w:cs="Times New Roman"/>
                <w:b/>
                <w:kern w:val="0"/>
                <w:szCs w:val="21"/>
              </w:rPr>
            </w:pPr>
          </w:p>
        </w:tc>
        <w:tc>
          <w:tcPr>
            <w:tcW w:w="1800" w:type="dxa"/>
            <w:vMerge w:val="continue"/>
            <w:vAlign w:val="center"/>
          </w:tcPr>
          <w:p>
            <w:pPr>
              <w:widowControl/>
              <w:jc w:val="left"/>
              <w:rPr>
                <w:rFonts w:ascii="Times New Roman" w:hAnsi="Times New Roman" w:eastAsia="仿宋_GB2312" w:cs="Times New Roman"/>
                <w:b/>
                <w:kern w:val="0"/>
                <w:szCs w:val="21"/>
              </w:rPr>
            </w:pPr>
          </w:p>
        </w:tc>
        <w:tc>
          <w:tcPr>
            <w:tcW w:w="198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7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53" w:type="dxa"/>
            <w:vMerge w:val="continue"/>
            <w:vAlign w:val="center"/>
          </w:tcPr>
          <w:p>
            <w:pPr>
              <w:widowControl/>
              <w:jc w:val="left"/>
              <w:rPr>
                <w:rFonts w:ascii="Times New Roman" w:hAnsi="Times New Roman" w:eastAsia="仿宋_GB2312" w:cs="Times New Roman"/>
                <w:kern w:val="0"/>
                <w:szCs w:val="21"/>
              </w:rPr>
            </w:pPr>
          </w:p>
        </w:tc>
        <w:tc>
          <w:tcPr>
            <w:tcW w:w="1710" w:type="dxa"/>
            <w:vMerge w:val="continue"/>
            <w:vAlign w:val="center"/>
          </w:tcPr>
          <w:p>
            <w:pPr>
              <w:widowControl/>
              <w:jc w:val="left"/>
              <w:rPr>
                <w:rFonts w:ascii="Times New Roman" w:hAnsi="Times New Roman" w:eastAsia="仿宋_GB2312" w:cs="Times New Roman"/>
                <w:kern w:val="0"/>
                <w:szCs w:val="21"/>
              </w:rPr>
            </w:pPr>
          </w:p>
        </w:tc>
        <w:tc>
          <w:tcPr>
            <w:tcW w:w="1800" w:type="dxa"/>
            <w:vMerge w:val="continue"/>
            <w:vAlign w:val="center"/>
          </w:tcPr>
          <w:p>
            <w:pPr>
              <w:widowControl/>
              <w:jc w:val="left"/>
              <w:rPr>
                <w:rFonts w:ascii="Times New Roman" w:hAnsi="Times New Roman" w:eastAsia="仿宋_GB2312" w:cs="Times New Roman"/>
                <w:kern w:val="0"/>
                <w:szCs w:val="21"/>
              </w:rPr>
            </w:pPr>
          </w:p>
        </w:tc>
        <w:tc>
          <w:tcPr>
            <w:tcW w:w="1980" w:type="dxa"/>
            <w:vMerge w:val="continue"/>
            <w:vAlign w:val="center"/>
          </w:tcPr>
          <w:p>
            <w:pPr>
              <w:widowControl/>
              <w:jc w:val="left"/>
              <w:rPr>
                <w:rFonts w:ascii="Times New Roman" w:hAnsi="Times New Roman" w:eastAsia="仿宋_GB2312" w:cs="Times New Roman"/>
                <w:kern w:val="0"/>
                <w:szCs w:val="21"/>
              </w:rPr>
            </w:pPr>
          </w:p>
        </w:tc>
        <w:tc>
          <w:tcPr>
            <w:tcW w:w="187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53" w:type="dxa"/>
            <w:vMerge w:val="continue"/>
            <w:vAlign w:val="center"/>
          </w:tcPr>
          <w:p>
            <w:pPr>
              <w:widowControl/>
              <w:jc w:val="left"/>
              <w:rPr>
                <w:rFonts w:ascii="Times New Roman" w:hAnsi="Times New Roman" w:eastAsia="仿宋_GB2312" w:cs="Times New Roman"/>
                <w:kern w:val="0"/>
                <w:szCs w:val="21"/>
              </w:rPr>
            </w:pPr>
          </w:p>
        </w:tc>
        <w:tc>
          <w:tcPr>
            <w:tcW w:w="1710" w:type="dxa"/>
            <w:vMerge w:val="continue"/>
            <w:vAlign w:val="center"/>
          </w:tcPr>
          <w:p>
            <w:pPr>
              <w:widowControl/>
              <w:jc w:val="left"/>
              <w:rPr>
                <w:rFonts w:ascii="Times New Roman" w:hAnsi="Times New Roman" w:eastAsia="仿宋_GB2312" w:cs="Times New Roman"/>
                <w:kern w:val="0"/>
                <w:szCs w:val="21"/>
              </w:rPr>
            </w:pPr>
          </w:p>
        </w:tc>
        <w:tc>
          <w:tcPr>
            <w:tcW w:w="1800" w:type="dxa"/>
            <w:vMerge w:val="continue"/>
            <w:vAlign w:val="center"/>
          </w:tcPr>
          <w:p>
            <w:pPr>
              <w:widowControl/>
              <w:jc w:val="left"/>
              <w:rPr>
                <w:rFonts w:ascii="Times New Roman" w:hAnsi="Times New Roman" w:eastAsia="仿宋_GB2312" w:cs="Times New Roman"/>
                <w:kern w:val="0"/>
                <w:szCs w:val="21"/>
              </w:rPr>
            </w:pPr>
          </w:p>
        </w:tc>
        <w:tc>
          <w:tcPr>
            <w:tcW w:w="1980" w:type="dxa"/>
            <w:vMerge w:val="continue"/>
            <w:vAlign w:val="center"/>
          </w:tcPr>
          <w:p>
            <w:pPr>
              <w:widowControl/>
              <w:jc w:val="left"/>
              <w:rPr>
                <w:rFonts w:ascii="Times New Roman" w:hAnsi="Times New Roman" w:eastAsia="仿宋_GB2312" w:cs="Times New Roman"/>
                <w:kern w:val="0"/>
                <w:szCs w:val="21"/>
              </w:rPr>
            </w:pPr>
          </w:p>
        </w:tc>
        <w:tc>
          <w:tcPr>
            <w:tcW w:w="1877"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7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1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9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77"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73"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1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15.00</w:t>
            </w:r>
          </w:p>
        </w:tc>
        <w:tc>
          <w:tcPr>
            <w:tcW w:w="198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15.00</w:t>
            </w:r>
          </w:p>
        </w:tc>
        <w:tc>
          <w:tcPr>
            <w:tcW w:w="1877"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2296003</w:t>
            </w:r>
          </w:p>
        </w:tc>
        <w:tc>
          <w:tcPr>
            <w:tcW w:w="1953"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710" w:type="dxa"/>
            <w:shd w:val="clear" w:color="auto" w:fill="auto"/>
            <w:vAlign w:val="center"/>
          </w:tcPr>
          <w:p>
            <w:pPr>
              <w:jc w:val="right"/>
              <w:rPr>
                <w:rFonts w:ascii="Times New Roman" w:hAnsi="Times New Roman" w:eastAsia="仿宋_GB2312" w:cs="Times New Roman"/>
                <w:kern w:val="0"/>
                <w:szCs w:val="21"/>
              </w:rPr>
            </w:pPr>
          </w:p>
        </w:tc>
        <w:tc>
          <w:tcPr>
            <w:tcW w:w="18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98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877"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2021年度收、支总计1241.29万元。与上年相比，减少315.25万元，减少</w:t>
      </w:r>
      <w:r>
        <w:rPr>
          <w:rFonts w:hint="eastAsia" w:asciiTheme="minorEastAsia" w:hAnsiTheme="minorEastAsia" w:eastAsiaTheme="minorEastAsia"/>
          <w:sz w:val="32"/>
          <w:szCs w:val="32"/>
          <w:lang w:val="en-US" w:eastAsia="zh-CN"/>
        </w:rPr>
        <w:t>20.25%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项目建设资金投入的减少。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2021年度收入合计1241.29万元，其中：财政拨款收入1241.29万元，占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2021年度支出合计1241.29万元，其中：基本支出961.14万元，占</w:t>
      </w:r>
      <w:r>
        <w:rPr>
          <w:rFonts w:hint="eastAsia" w:asciiTheme="minorEastAsia" w:hAnsiTheme="minorEastAsia" w:eastAsiaTheme="minorEastAsia"/>
          <w:sz w:val="32"/>
          <w:szCs w:val="32"/>
          <w:lang w:val="en-US" w:eastAsia="zh-CN"/>
        </w:rPr>
        <w:t>77.43</w:t>
      </w:r>
      <w:r>
        <w:rPr>
          <w:rFonts w:hint="eastAsia" w:asciiTheme="minorEastAsia" w:hAnsiTheme="minorEastAsia" w:eastAsiaTheme="minorEastAsia"/>
          <w:sz w:val="32"/>
          <w:szCs w:val="32"/>
        </w:rPr>
        <w:t>%；项目支出280.15万元，占</w:t>
      </w:r>
      <w:r>
        <w:rPr>
          <w:rFonts w:hint="eastAsia" w:asciiTheme="minorEastAsia" w:hAnsiTheme="minorEastAsia" w:eastAsiaTheme="minorEastAsia"/>
          <w:sz w:val="32"/>
          <w:szCs w:val="32"/>
          <w:lang w:val="en-US" w:eastAsia="zh-CN"/>
        </w:rPr>
        <w:t>22.57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 xml:space="preserve">    2021年度财政拨款收、支总计1241.29万元，与上年相比，减少315.25万元，减少</w:t>
      </w:r>
      <w:r>
        <w:rPr>
          <w:rFonts w:hint="eastAsia" w:asciiTheme="minorEastAsia" w:hAnsiTheme="minorEastAsia" w:eastAsiaTheme="minorEastAsia"/>
          <w:sz w:val="32"/>
          <w:szCs w:val="32"/>
          <w:lang w:val="en-US" w:eastAsia="zh-CN"/>
        </w:rPr>
        <w:t>20.25%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项目建设资金投入的减少。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1226.29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98.79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324.82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20.94%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项目建设资金投入的减少。</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1226.29</w:t>
      </w:r>
      <w:r>
        <w:rPr>
          <w:rFonts w:hint="eastAsia" w:asciiTheme="minorEastAsia" w:hAnsiTheme="minorEastAsia" w:eastAsiaTheme="minorEastAsia"/>
          <w:sz w:val="32"/>
          <w:szCs w:val="32"/>
        </w:rPr>
        <w:t>万元，主要用于以下方面：一般公共服务</w:t>
      </w:r>
      <w:r>
        <w:rPr>
          <w:rFonts w:hint="eastAsia" w:asciiTheme="minorEastAsia" w:hAnsiTheme="minorEastAsia" w:eastAsiaTheme="minorEastAsia"/>
          <w:sz w:val="32"/>
          <w:szCs w:val="32"/>
          <w:lang w:val="en-US" w:eastAsia="zh-CN"/>
        </w:rPr>
        <w:t>533.85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43.53</w:t>
      </w:r>
      <w:r>
        <w:rPr>
          <w:rFonts w:hint="eastAsia" w:asciiTheme="minorEastAsia" w:hAnsiTheme="minorEastAsia" w:eastAsiaTheme="minorEastAsia"/>
          <w:sz w:val="32"/>
          <w:szCs w:val="32"/>
        </w:rPr>
        <w:t>%；国防支出2.6</w:t>
      </w:r>
      <w:r>
        <w:rPr>
          <w:rFonts w:hint="eastAsia" w:asciiTheme="minorEastAsia" w:hAnsiTheme="minorEastAsia" w:eastAsiaTheme="minorEastAsia"/>
          <w:sz w:val="32"/>
          <w:szCs w:val="32"/>
          <w:lang w:val="en-US" w:eastAsia="zh-CN"/>
        </w:rPr>
        <w:t>万元，占0.21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公共安全支出18.04</w:t>
      </w:r>
      <w:r>
        <w:rPr>
          <w:rFonts w:hint="eastAsia" w:asciiTheme="minorEastAsia" w:hAnsiTheme="minorEastAsia" w:eastAsiaTheme="minorEastAsia"/>
          <w:sz w:val="32"/>
          <w:szCs w:val="32"/>
          <w:lang w:val="en-US" w:eastAsia="zh-CN"/>
        </w:rPr>
        <w:t>万元，占1.47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文化旅游体育与传媒支出13</w:t>
      </w:r>
      <w:r>
        <w:rPr>
          <w:rFonts w:hint="eastAsia" w:asciiTheme="minorEastAsia" w:hAnsiTheme="minorEastAsia" w:eastAsiaTheme="minorEastAsia"/>
          <w:sz w:val="32"/>
          <w:szCs w:val="32"/>
          <w:lang w:val="en-US" w:eastAsia="zh-CN"/>
        </w:rPr>
        <w:t>万元，占1.06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社会保障和就业支出79.12</w:t>
      </w:r>
      <w:r>
        <w:rPr>
          <w:rFonts w:hint="eastAsia" w:asciiTheme="minorEastAsia" w:hAnsiTheme="minorEastAsia" w:eastAsiaTheme="minorEastAsia"/>
          <w:sz w:val="32"/>
          <w:szCs w:val="32"/>
          <w:lang w:val="en-US" w:eastAsia="zh-CN"/>
        </w:rPr>
        <w:t>万元，占6.45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卫生健康支出39.17</w:t>
      </w:r>
      <w:r>
        <w:rPr>
          <w:rFonts w:hint="eastAsia" w:asciiTheme="minorEastAsia" w:hAnsiTheme="minorEastAsia" w:eastAsiaTheme="minorEastAsia"/>
          <w:sz w:val="32"/>
          <w:szCs w:val="32"/>
          <w:lang w:val="en-US" w:eastAsia="zh-CN"/>
        </w:rPr>
        <w:t>万元，占3.19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节能环保支出</w:t>
      </w:r>
      <w:r>
        <w:rPr>
          <w:rFonts w:hint="eastAsia" w:asciiTheme="minorEastAsia" w:hAnsiTheme="minorEastAsia" w:eastAsiaTheme="minorEastAsia"/>
          <w:sz w:val="32"/>
          <w:szCs w:val="32"/>
          <w:lang w:val="en-US" w:eastAsia="zh-CN"/>
        </w:rPr>
        <w:t>5万元，占0.41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城乡社区支出7</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.15</w:t>
      </w:r>
      <w:r>
        <w:rPr>
          <w:rFonts w:hint="eastAsia" w:asciiTheme="minorEastAsia" w:hAnsiTheme="minorEastAsia" w:eastAsiaTheme="minorEastAsia"/>
          <w:sz w:val="32"/>
          <w:szCs w:val="32"/>
          <w:lang w:val="en-US" w:eastAsia="zh-CN"/>
        </w:rPr>
        <w:t>万元，占5.72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农林水支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rPr>
        <w:t>431.18</w:t>
      </w:r>
      <w:r>
        <w:rPr>
          <w:rFonts w:hint="eastAsia" w:asciiTheme="minorEastAsia" w:hAnsiTheme="minorEastAsia" w:eastAsiaTheme="minorEastAsia"/>
          <w:sz w:val="32"/>
          <w:szCs w:val="32"/>
          <w:lang w:val="en-US" w:eastAsia="zh-CN"/>
        </w:rPr>
        <w:t>万元，占35.16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住房保障支出20.11</w:t>
      </w:r>
      <w:r>
        <w:rPr>
          <w:rFonts w:hint="eastAsia" w:asciiTheme="minorEastAsia" w:hAnsiTheme="minorEastAsia" w:eastAsiaTheme="minorEastAsia"/>
          <w:sz w:val="32"/>
          <w:szCs w:val="32"/>
          <w:lang w:val="en-US" w:eastAsia="zh-CN"/>
        </w:rPr>
        <w:t>万元，占1.64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灾害防治及应急管理支出14.07</w:t>
      </w:r>
      <w:r>
        <w:rPr>
          <w:rFonts w:hint="eastAsia" w:asciiTheme="minorEastAsia" w:hAnsiTheme="minorEastAsia" w:eastAsiaTheme="minorEastAsia"/>
          <w:sz w:val="32"/>
          <w:szCs w:val="32"/>
          <w:lang w:val="en-US" w:eastAsia="zh-CN"/>
        </w:rPr>
        <w:t>万元，占1.15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w:t>
      </w:r>
      <w:r>
        <w:rPr>
          <w:rFonts w:hint="eastAsia" w:asciiTheme="minorEastAsia" w:hAnsiTheme="minorEastAsia" w:eastAsiaTheme="minorEastAsia"/>
          <w:sz w:val="32"/>
          <w:szCs w:val="32"/>
          <w:lang w:val="en-US" w:eastAsia="zh-CN"/>
        </w:rPr>
        <w:t>1226.29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1226.29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  一般行政管理事务（项）年初预算为1.27万元，支出决算为1.27万元，完成年初预算的100%，决算数等于年初预算数；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  行政运行（项）年初预算为380.03万元，支出决算为380.03万元，完成年初预算的100%，决算数等于年初预算数；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3、一般公共服务支出（类）政府办公厅（室）及相关机构事务(款）  一般行政管理事务（项）年初预算为17.61万元，支出决算为17.61万元，完成年初预算的100%，决算数等于年初预算数；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4、一般公共服务支出（类）政府办公厅（室）及相关机构事务(款）  其他政府办公厅（室）及相关机构事务支出（项）年初预算为99.26万元，支出决算为99.26万元，完成年初预算的100%，决算数等于年初预算数；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5、一般公共服务支出（类）统计信息事务(款）  专项普查活动（项）年初预算为2万元，支出决算为2万元，完成年初预算的100%，决算数等于年初预算数；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6、一般公共服务支出（类）财政事务(款）  行政运行（项）年初预算为27.28万元，支出决算为27.28万元，完成年初预算的100%，决算数等于年初预算数；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7、一般公共服务支出（类）财政事务(款）  一般行政管理事务（项）年初预算为4万元，支出决算为4万元，完成年初预算的100%，决算数等于年初预算数；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8、一般公共服务支出（类）纪检监察事务(款）  行政运行（项）年初预算为2.4万元，支出决算为2.4万元，完成年初预算的100%，决算数等于年初预算数；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9、国防支出（类）国防动员(款）  兵役征集（项）年初预算为2.6万元，支出决算为2.6万元，完成年初预算的100%，决算数等于年初预算数；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10、公共安全支出（类）公安(款）  一般行政管理事务（项）年初预算为17.14万元，支出决算为17.14万元，完成年初预算的100%，决算数等于年初预算数；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11、公共安全支出（类）公安(款）  其他公安支出（项）年初预算为0.9万元，支出决算为0.9万元，完成年初预算的100%，决算数等于年初预算数；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12、文化旅游体育与传媒支出（类）文化和旅游(款）  其他文化和旅游支出（项）年初预算为5万元，支出决算为5万元，完成年初预算的100%，决算数等于年初预算数；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13、文化旅游体育与传媒支出（类）其他文化旅游体育与传媒支出(款）  其他文化旅游体育与传媒支出（项）年初预算为8万元，支出决算为8万元，完成年初预算的100%，决算数等于年初预算数；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14、社会保障和就业支出（类）行政事业单位养老支出(款）  机关事业单位基本养老保险缴费支出（项）年初预算为36.6万元，支出决算为36.6万元，完成年初预算的100%，决算数等于年初预算数；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15、社会保障和就业支出（类）抚恤(款）  死亡抚恤（项）年初预算为16.03万元，支出决算为16.03万元，完成年初预算的100%，决算数等于年初预算数；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16、社会保障和就业支出（类）抚恤(款）  其他优抚支出（项）年初预算为8万元，支出决算为8万元，完成年初预算的100%，决算数等于年初预算数；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17、社会保障和就业支出（类）社会福利(款）  儿童福利（项）年初预算为4万元，支出决算为4万元，完成年初预算的100%，决算数等于年初预算数；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18、社会保障和就业支出（类）社会福利(款）  老年福利（项）年初预算为5.47万元，支出决算为5.47万元，完成年初预算的100%，决算数等于年初预算数；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19、社会保障和就业支出（类）特困人员救助供养(款）  农村特困人员救助供养支出（项）年初预算为8.21万元，支出决算为8.21万元，完成年初预算的100%，决算数等于年初预算数；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20、社会保障和就业支出（类）财政对基本养老保险基金的补助(款）  财政对其他基本养老保险基金的补助（项）年初预算为0.8万元，支出决算为0.8万元，完成年初预算的100%，决算数等于年初预算数；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21、卫生健康支出（类）卫生健康管理事务(款）  行政运行（项）年初预算为0.2万元，支出决算为0.2万元，完成年初预算的100%，决算数等于年初预算数；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22、卫生健康支出（类）公共卫生(款）  精神卫生机构（项）年初预算为2.12万元，支出决算为2.12万元，完成年初预算的100%，决算数等于年初预算数；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23、卫生健康支出（类）公共卫生(款）  基本公共卫生服务（项）年初预算为0.41万元，支出决算为0.41万元，完成年初预算的100%，决算数等于年初预算数；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24、卫生健康支出（类）计划生育事务(款）  计划生育机构（项）年初预算为12.02万元，支出决算为12.02万元，完成年初预算的100%，决算数等于年初预算数；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25、卫生健康支出（类）行政事业单位医疗(款）  行政单位医疗（项）年初预算为24.42万元，支出决算为24.42万元，完成年初预算的100%，决算数等于年初预算数；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26、节能环保支出（类）自然生态保护(款）  农村环境保护（项）年初预算为5万元，支出决算为5万元，完成年初预算的100%，决算数等于年初预算数；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27、城乡社区支出（类）城乡社区管理事务(款）  其他城乡社区管理事务支出（项）年初预算为1万元，支出决算为1万元，完成年初预算的100%，决算数等于年初预算数；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28、城乡社区支出（类）城乡社区公共设施(款）  小城镇基础设施建设（项）年初预算为22.3万元，支出决算为22.3万元，完成年初预算的100%，决算数等于年初预算数；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29、城乡社区支出（类）城乡社区公共设施(款）  其他城乡社区公共设施支出（项）年初预算为1万元，支出决算为1万元，完成年初预算的100%，决算数等于年初预算数；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30、城乡社区支出（类）城乡社区环境卫生(款）  城乡社区环境卫生（项）年初预算为45.85万元，支出决算为45.85万元，完成年初预算的100%，决算数等于年初预算数；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31、农林水支出（类）农业农村(款）农村社会事业（项）年初预算为9万元，支出决算为9万元，完成年初预算的100%，决算数等于年初预算数；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32、农林水支出（类）农业农村(款）农村道路建设（项）年初预算为1万元，支出决算为1万元，完成年初预算的100%，决算数等于年初预算数；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33、农林水支出（类）林业和草原(款）行政运行（项）年初预算为43.61万元，支出决算为43.61万元，完成年初预算的100%，决算数等于年初预算数；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34、农林水支出（类）水利(款）水利工程运行与维护（项）年初预算为4万元，支出决算为4万元，完成年初预算的100%，决算数等于年初预算数；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35、农林水支出（类）扶贫(款）行政运行（项）年初预算为3万元，支出决算为3万元，完成年初预算的100%，决算数等于年初预算数；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36、农林水支出（类）扶贫(款）农村基础设施建设（项）年初预算为85.8万元，支出决算为85.8万元，完成年初预算的100%，决算数等于年初预算数；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37、农林水支出（类）扶贫(款）其他扶贫支出（项）年初预算为33.11万元，支出决算为33.11万元，完成年初预算的100%，决算数等于年初预算数；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38、农林水支出（类）农村综合改革(款）对村民委员会和村党支部的补助（项）年初预算为246.66万元，支出决算为246.66万元，完成年初预算的100%，决算数等于年初预算数；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39、农林水支出（类）其他农林水支出(款）  其他农林水支出（项）年初预算为5万元，支出决算为5万元，完成年初预算的100%，决算数等于年初预算数；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40、住房保障支出（类）住房改革支出(款）  住房公积金（项）年初预算为20.11万元，支出决算为20.11万元，完成年初预算的100%，决算数等于年初预算数；</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41、灾害防治及应急管理支出（类）自然灾害防治(款）  地质灾害防治（项）年初预算为11.07万元，支出决算为11.07万元，完成年初预算的100%，决算数等于年初预算数；</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42、灾害防治及应急管理支出（类）其他灾害防治及应急管理支出(款）  其他灾害防治及应急管理支出（项）年初预算为3万元，支出决算为3万元，完成年初预算的100%，决算数等于年初预算数</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961.14</w:t>
      </w:r>
      <w:r>
        <w:rPr>
          <w:rFonts w:hint="eastAsia" w:asciiTheme="minorEastAsia" w:hAnsiTheme="minorEastAsia" w:eastAsiaTheme="minorEastAsia"/>
          <w:sz w:val="32"/>
          <w:szCs w:val="32"/>
        </w:rPr>
        <w:t>万元，其中：人员经费</w:t>
      </w:r>
      <w:r>
        <w:rPr>
          <w:rFonts w:hint="eastAsia" w:ascii="宋体" w:hAnsi="宋体" w:eastAsia="宋体" w:cs="宋体"/>
          <w:color w:val="000000"/>
          <w:kern w:val="0"/>
          <w:sz w:val="32"/>
          <w:szCs w:val="22"/>
          <w:lang w:val="en-US" w:eastAsia="zh-CN"/>
        </w:rPr>
        <w:t>787.18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81.90</w:t>
      </w:r>
      <w:r>
        <w:rPr>
          <w:rFonts w:hint="eastAsia" w:asciiTheme="minorEastAsia" w:hAnsiTheme="minorEastAsia" w:eastAsiaTheme="minorEastAsia"/>
          <w:sz w:val="32"/>
          <w:szCs w:val="32"/>
        </w:rPr>
        <w:t>%,主要包括基本工资228.17万元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津贴补贴114.9万元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奖金30万元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伙食补助费25万元</w:t>
      </w:r>
      <w:r>
        <w:rPr>
          <w:rFonts w:hint="eastAsia" w:asciiTheme="minorEastAsia" w:hAnsiTheme="minorEastAsia" w:eastAsiaTheme="minorEastAsia"/>
          <w:sz w:val="32"/>
          <w:szCs w:val="32"/>
          <w:lang w:eastAsia="zh-CN"/>
        </w:rPr>
        <w:t>、机关事业单位基本养老保险缴费</w:t>
      </w:r>
      <w:r>
        <w:rPr>
          <w:rFonts w:hint="eastAsia" w:asciiTheme="minorEastAsia" w:hAnsiTheme="minorEastAsia" w:eastAsiaTheme="minorEastAsia"/>
          <w:sz w:val="32"/>
          <w:szCs w:val="32"/>
          <w:lang w:val="en-US" w:eastAsia="zh-CN"/>
        </w:rPr>
        <w:t>0.8万元、职工基本医疗保险缴费61.02万元、</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住房公积金20.11万元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其他工资福利支出</w:t>
      </w:r>
      <w:r>
        <w:rPr>
          <w:rFonts w:hint="eastAsia" w:asciiTheme="minorEastAsia" w:hAnsiTheme="minorEastAsia" w:eastAsiaTheme="minorEastAsia"/>
          <w:sz w:val="32"/>
          <w:szCs w:val="32"/>
          <w:lang w:val="en-US" w:eastAsia="zh-CN"/>
        </w:rPr>
        <w:t>6.29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抚恤金16.03万元</w:t>
      </w:r>
      <w:r>
        <w:rPr>
          <w:rFonts w:hint="eastAsia" w:asciiTheme="minorEastAsia" w:hAnsiTheme="minorEastAsia" w:eastAsiaTheme="minorEastAsia"/>
          <w:sz w:val="32"/>
          <w:szCs w:val="32"/>
          <w:lang w:eastAsia="zh-CN"/>
        </w:rPr>
        <w:t>、生活补助246.66万元、</w:t>
      </w:r>
      <w:r>
        <w:rPr>
          <w:rFonts w:hint="eastAsia" w:asciiTheme="minorEastAsia" w:hAnsiTheme="minorEastAsia" w:eastAsiaTheme="minorEastAsia"/>
          <w:sz w:val="32"/>
          <w:szCs w:val="32"/>
        </w:rPr>
        <w:t>救济费25.68万元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医疗费补助2.53万元</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173.96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18.10</w:t>
      </w:r>
      <w:r>
        <w:rPr>
          <w:rFonts w:hint="eastAsia" w:asciiTheme="minorEastAsia" w:hAnsiTheme="minorEastAsia" w:eastAsiaTheme="minorEastAsia"/>
          <w:sz w:val="32"/>
          <w:szCs w:val="32"/>
        </w:rPr>
        <w:t>%，主要包括办公费19万元、印刷费8.4万元、水费0.5万元、电费2万元、邮电费2.2万元、取暖费3万元、差旅费28.5万元、维修（护）费</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会议费1万元、培训费2万元、公务接待费3.5万元、专用材料费</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万元、劳务费5万元、工会经费3</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万元、福利费</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万元、公务用车运行维护费3.2万元、其他交通费用</w:t>
      </w:r>
      <w:r>
        <w:rPr>
          <w:rFonts w:hint="eastAsia" w:asciiTheme="minorEastAsia" w:hAnsiTheme="minorEastAsia" w:eastAsiaTheme="minorEastAsia"/>
          <w:sz w:val="32"/>
          <w:szCs w:val="32"/>
          <w:lang w:val="en-US" w:eastAsia="zh-CN"/>
        </w:rPr>
        <w:t>7.86</w:t>
      </w:r>
      <w:r>
        <w:rPr>
          <w:rFonts w:hint="eastAsia" w:asciiTheme="minorEastAsia" w:hAnsiTheme="minorEastAsia" w:eastAsiaTheme="minorEastAsia"/>
          <w:sz w:val="32"/>
          <w:szCs w:val="32"/>
        </w:rPr>
        <w:t>万元、其他商品和服务支出32.8万元。</w:t>
      </w:r>
    </w:p>
    <w:p>
      <w:pPr>
        <w:pStyle w:val="9"/>
        <w:ind w:firstLine="640" w:firstLineChars="200"/>
        <w:rPr>
          <w:rFonts w:asciiTheme="minorEastAsia" w:hAnsiTheme="minorEastAsia" w:eastAsiaTheme="minorEastAsia"/>
          <w:i/>
          <w:color w:val="FF0000"/>
          <w:sz w:val="32"/>
          <w:szCs w:val="32"/>
        </w:rPr>
      </w:pP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，与上年一致。</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，与上年一致。</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公务用车购置费</w:t>
      </w:r>
      <w:r>
        <w:rPr>
          <w:rFonts w:hint="eastAsia" w:asciiTheme="minorEastAsia" w:hAnsiTheme="minorEastAsia" w:eastAsiaTheme="minorEastAsia"/>
          <w:sz w:val="32"/>
          <w:szCs w:val="32"/>
        </w:rPr>
        <w:t>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，与上年一致。</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w:t>
      </w:r>
      <w:bookmarkStart w:id="3" w:name="_GoBack"/>
      <w:bookmarkEnd w:id="3"/>
      <w:r>
        <w:rPr>
          <w:rFonts w:hint="eastAsia" w:asciiTheme="minorEastAsia" w:hAnsiTheme="minorEastAsia" w:eastAsiaTheme="minorEastAsia"/>
          <w:sz w:val="32"/>
          <w:szCs w:val="32"/>
          <w:lang w:eastAsia="zh-CN"/>
        </w:rPr>
        <w:t>上年一致。</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52.24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47.76</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全年共接待来访团组</w:t>
      </w:r>
      <w:r>
        <w:rPr>
          <w:rFonts w:hint="eastAsia" w:asciiTheme="minorEastAsia" w:hAnsiTheme="minorEastAsia" w:eastAsiaTheme="minorEastAsia"/>
          <w:sz w:val="32"/>
          <w:szCs w:val="32"/>
          <w:highlight w:val="none"/>
          <w:lang w:val="en-US" w:eastAsia="zh-CN"/>
        </w:rPr>
        <w:t>105</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931</w:t>
      </w:r>
      <w:r>
        <w:rPr>
          <w:rFonts w:hint="eastAsia" w:asciiTheme="minorEastAsia" w:hAnsiTheme="minorEastAsia" w:eastAsiaTheme="minorEastAsia"/>
          <w:sz w:val="32"/>
          <w:szCs w:val="32"/>
          <w:highlight w:val="none"/>
        </w:rPr>
        <w:t>人次，主要是</w:t>
      </w:r>
      <w:r>
        <w:rPr>
          <w:rFonts w:hint="eastAsia" w:ascii="宋体" w:hAnsi="宋体" w:eastAsia="宋体"/>
          <w:sz w:val="32"/>
          <w:szCs w:val="32"/>
          <w:highlight w:val="none"/>
        </w:rPr>
        <w:t>主要是</w:t>
      </w:r>
      <w:r>
        <w:rPr>
          <w:rFonts w:hint="eastAsia" w:ascii="宋体" w:hAnsi="宋体" w:eastAsia="宋体"/>
          <w:sz w:val="32"/>
          <w:szCs w:val="32"/>
          <w:highlight w:val="none"/>
          <w:lang w:eastAsia="zh-CN"/>
        </w:rPr>
        <w:t>安排乡村振兴工作</w:t>
      </w:r>
      <w:r>
        <w:rPr>
          <w:rFonts w:hint="eastAsia" w:ascii="宋体" w:hAnsi="宋体" w:eastAsia="宋体"/>
          <w:sz w:val="32"/>
          <w:szCs w:val="32"/>
          <w:highlight w:val="none"/>
        </w:rPr>
        <w:t>走访、项目验收</w:t>
      </w:r>
      <w:r>
        <w:rPr>
          <w:rFonts w:hint="eastAsia" w:ascii="宋体" w:hAnsi="宋体" w:eastAsia="宋体"/>
          <w:sz w:val="32"/>
          <w:szCs w:val="32"/>
          <w:highlight w:val="none"/>
          <w:lang w:eastAsia="zh-CN"/>
        </w:rPr>
        <w:t>，</w:t>
      </w:r>
      <w:r>
        <w:rPr>
          <w:rFonts w:hint="eastAsia" w:ascii="宋体" w:hAnsi="宋体" w:eastAsia="宋体"/>
          <w:sz w:val="32"/>
          <w:szCs w:val="32"/>
          <w:highlight w:val="none"/>
          <w:lang w:val="en-US" w:eastAsia="zh-CN"/>
        </w:rPr>
        <w:t>农村人居环境检查，城乡基础设施现场核验，</w:t>
      </w:r>
      <w:r>
        <w:rPr>
          <w:rFonts w:hint="eastAsia" w:ascii="宋体" w:hAnsi="宋体" w:eastAsia="宋体"/>
          <w:sz w:val="32"/>
          <w:szCs w:val="32"/>
          <w:highlight w:val="none"/>
        </w:rPr>
        <w:t>参与党建、选举等会议发生的接待支出</w:t>
      </w:r>
      <w:r>
        <w:rPr>
          <w:rFonts w:hint="eastAsia" w:asciiTheme="minorEastAsia" w:hAnsiTheme="minorEastAsia" w:eastAsiaTheme="minorEastAsia"/>
          <w:sz w:val="32"/>
          <w:szCs w:val="32"/>
          <w:highlight w:val="none"/>
        </w:rPr>
        <w:t>。</w:t>
      </w:r>
    </w:p>
    <w:p>
      <w:pPr>
        <w:ind w:firstLine="800" w:firstLineChars="250"/>
        <w:rPr>
          <w:rFonts w:cs="黑体" w:asciiTheme="minorEastAsia" w:hAnsiTheme="minorEastAsia"/>
          <w:color w:val="000000"/>
          <w:kern w:val="0"/>
          <w:sz w:val="32"/>
          <w:szCs w:val="32"/>
          <w:highlight w:val="none"/>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lang w:eastAsia="zh-CN"/>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3.2</w:t>
      </w:r>
      <w:r>
        <w:rPr>
          <w:rFonts w:hint="eastAsia" w:asciiTheme="minorEastAsia" w:hAnsiTheme="minorEastAsia"/>
          <w:sz w:val="32"/>
          <w:szCs w:val="32"/>
        </w:rPr>
        <w:t>万元，</w:t>
      </w:r>
      <w:r>
        <w:rPr>
          <w:rFonts w:hint="eastAsia" w:asciiTheme="minorEastAsia" w:hAnsiTheme="minorEastAsia"/>
          <w:sz w:val="32"/>
          <w:szCs w:val="32"/>
          <w:highlight w:val="none"/>
        </w:rPr>
        <w:t>主要是</w:t>
      </w:r>
      <w:r>
        <w:rPr>
          <w:rFonts w:hint="eastAsia" w:ascii="宋体" w:hAnsi="宋体"/>
          <w:sz w:val="32"/>
          <w:szCs w:val="32"/>
          <w:highlight w:val="none"/>
        </w:rPr>
        <w:t>用于公务用车维修费、油料费等支出</w:t>
      </w:r>
      <w:r>
        <w:rPr>
          <w:rFonts w:hint="eastAsia" w:asciiTheme="minorEastAsia" w:hAnsiTheme="minorEastAsia"/>
          <w:sz w:val="32"/>
          <w:szCs w:val="32"/>
          <w:highlight w:val="none"/>
        </w:rPr>
        <w:t>，截止202</w:t>
      </w:r>
      <w:r>
        <w:rPr>
          <w:rFonts w:hint="eastAsia" w:asciiTheme="minorEastAsia" w:hAnsiTheme="minorEastAsia"/>
          <w:sz w:val="32"/>
          <w:szCs w:val="32"/>
          <w:highlight w:val="none"/>
          <w:lang w:val="en-US" w:eastAsia="zh-CN"/>
        </w:rPr>
        <w:t>1</w:t>
      </w:r>
      <w:r>
        <w:rPr>
          <w:rFonts w:hint="eastAsia" w:asciiTheme="minorEastAsia" w:hAnsiTheme="minorEastAsia"/>
          <w:sz w:val="32"/>
          <w:szCs w:val="32"/>
          <w:highlight w:val="none"/>
        </w:rPr>
        <w:t>年12月31日，我单位开支财政拨款的公务用车保有量为</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辆。</w:t>
      </w:r>
    </w:p>
    <w:p>
      <w:pPr>
        <w:ind w:firstLine="800" w:firstLineChars="250"/>
        <w:rPr>
          <w:rFonts w:cs="黑体" w:asciiTheme="minorEastAsia" w:hAnsiTheme="minorEastAsia"/>
          <w:color w:val="000000"/>
          <w:kern w:val="0"/>
          <w:sz w:val="32"/>
          <w:szCs w:val="32"/>
        </w:rPr>
      </w:pP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1、城乡社区支出（类）国有土地使用权出让收入安排的支出（款）农村基础设施建设支出（项）。</w:t>
      </w:r>
    </w:p>
    <w:p>
      <w:pPr>
        <w:pStyle w:val="9"/>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%，决算数等于年初预算数</w:t>
      </w:r>
      <w:r>
        <w:rPr>
          <w:rFonts w:hint="eastAsia" w:asciiTheme="minorEastAsia" w:hAnsiTheme="minorEastAsia" w:eastAsiaTheme="minorEastAsia"/>
          <w:sz w:val="32"/>
          <w:szCs w:val="32"/>
          <w:highlight w:val="none"/>
          <w:lang w:eastAsia="zh-CN"/>
        </w:rPr>
        <w:t>；</w:t>
      </w:r>
    </w:p>
    <w:p>
      <w:pPr>
        <w:pStyle w:val="9"/>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2、其他支出</w:t>
      </w:r>
      <w:r>
        <w:rPr>
          <w:rFonts w:hint="eastAsia" w:asciiTheme="minorEastAsia" w:hAnsiTheme="minorEastAsia" w:eastAsiaTheme="minorEastAsia"/>
          <w:sz w:val="32"/>
          <w:szCs w:val="32"/>
          <w:highlight w:val="none"/>
        </w:rPr>
        <w:t>（类）彩票公益金安排的支出（款）用于体育事业的彩票公益金支出（项）</w:t>
      </w:r>
      <w:r>
        <w:rPr>
          <w:rFonts w:hint="eastAsia" w:asciiTheme="minorEastAsia" w:hAnsiTheme="minorEastAsia" w:eastAsiaTheme="minorEastAsia"/>
          <w:sz w:val="32"/>
          <w:szCs w:val="32"/>
          <w:highlight w:val="none"/>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10</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%，决算数等于年初预算数</w:t>
      </w:r>
      <w:r>
        <w:rPr>
          <w:rFonts w:hint="eastAsia" w:asciiTheme="minorEastAsia" w:hAnsiTheme="minorEastAsia" w:eastAsiaTheme="minorEastAsia"/>
          <w:sz w:val="32"/>
          <w:szCs w:val="32"/>
          <w:highlight w:val="none"/>
          <w:lang w:eastAsia="zh-CN"/>
        </w:rPr>
        <w:t>；</w:t>
      </w:r>
    </w:p>
    <w:p>
      <w:pPr>
        <w:pStyle w:val="9"/>
        <w:rPr>
          <w:rFonts w:hAnsi="黑体"/>
          <w:b/>
          <w:sz w:val="32"/>
          <w:szCs w:val="32"/>
          <w:highlight w:val="none"/>
        </w:rPr>
      </w:pPr>
      <w:r>
        <w:rPr>
          <w:rFonts w:hint="eastAsia" w:hAnsi="黑体"/>
          <w:b/>
          <w:sz w:val="32"/>
          <w:szCs w:val="32"/>
          <w:highlight w:val="none"/>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本部门2021年度机关运行</w:t>
      </w:r>
      <w:r>
        <w:rPr>
          <w:rFonts w:hint="eastAsia" w:asciiTheme="minorEastAsia" w:hAnsiTheme="minorEastAsia" w:eastAsiaTheme="minorEastAsia"/>
          <w:sz w:val="32"/>
          <w:szCs w:val="32"/>
        </w:rPr>
        <w:t>经费支出173.96万元，比上年决算数增加</w:t>
      </w:r>
      <w:r>
        <w:rPr>
          <w:rFonts w:hint="eastAsia" w:asciiTheme="minorEastAsia" w:hAnsiTheme="minorEastAsia" w:eastAsiaTheme="minorEastAsia"/>
          <w:sz w:val="32"/>
          <w:szCs w:val="32"/>
          <w:lang w:val="en-US" w:eastAsia="zh-CN"/>
        </w:rPr>
        <w:t>41.18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31.01</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单位人员增加，各项基本支出较往年增多</w:t>
      </w:r>
      <w:r>
        <w:rPr>
          <w:rFonts w:hint="eastAsia" w:asciiTheme="minorEastAsia" w:hAnsiTheme="minorEastAsia" w:eastAsiaTheme="minorEastAsia"/>
          <w:sz w:val="32"/>
          <w:szCs w:val="32"/>
        </w:rPr>
        <w:t>。</w:t>
      </w:r>
    </w:p>
    <w:p>
      <w:pPr>
        <w:pStyle w:val="9"/>
        <w:rPr>
          <w:rFonts w:hAnsi="黑体"/>
          <w:b/>
          <w:sz w:val="32"/>
          <w:szCs w:val="32"/>
          <w:highlight w:val="none"/>
        </w:rPr>
      </w:pPr>
      <w:r>
        <w:rPr>
          <w:rFonts w:hint="eastAsia" w:hAnsi="黑体"/>
          <w:b/>
          <w:sz w:val="32"/>
          <w:szCs w:val="32"/>
          <w:highlight w:val="none"/>
        </w:rPr>
        <w:t>十、一般性支出情况说明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highlight w:val="none"/>
        </w:rPr>
        <w:t>2021年本部门开支会议费</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rPr>
        <w:t>用于召开</w:t>
      </w:r>
      <w:r>
        <w:rPr>
          <w:rFonts w:hint="eastAsia" w:asciiTheme="minorEastAsia" w:hAnsiTheme="minorEastAsia" w:eastAsiaTheme="minorEastAsia"/>
          <w:sz w:val="32"/>
          <w:szCs w:val="32"/>
          <w:lang w:eastAsia="zh-CN"/>
        </w:rPr>
        <w:t>衔接乡村振兴僭脱贫攻坚回头看问题整改会议，</w:t>
      </w:r>
      <w:r>
        <w:rPr>
          <w:rFonts w:hint="eastAsia" w:asciiTheme="minorEastAsia" w:hAnsiTheme="minorEastAsia" w:eastAsiaTheme="minorEastAsia"/>
          <w:sz w:val="32"/>
          <w:szCs w:val="32"/>
          <w:lang w:val="en-US" w:eastAsia="zh-CN"/>
        </w:rPr>
        <w:t>人居环境整改会议</w:t>
      </w:r>
      <w:r>
        <w:rPr>
          <w:rFonts w:hint="eastAsia" w:asciiTheme="minorEastAsia" w:hAnsiTheme="minorEastAsia" w:eastAsiaTheme="minorEastAsia"/>
          <w:sz w:val="32"/>
          <w:szCs w:val="32"/>
        </w:rPr>
        <w:t>，党建，安全生产等会议，参会人数</w:t>
      </w:r>
      <w:r>
        <w:rPr>
          <w:rFonts w:hint="eastAsia" w:asciiTheme="minorEastAsia" w:hAnsiTheme="minorEastAsia" w:eastAsiaTheme="minorEastAsia"/>
          <w:sz w:val="32"/>
          <w:szCs w:val="32"/>
          <w:lang w:val="en-US" w:eastAsia="zh-CN"/>
        </w:rPr>
        <w:t>980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用于开展抗旱救灾培训、森林防火培训、财务业务培训，防洪演练等各项培训，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9"/>
        <w:rPr>
          <w:rFonts w:hAnsi="黑体"/>
          <w:b/>
          <w:sz w:val="32"/>
          <w:szCs w:val="32"/>
          <w:highlight w:val="none"/>
        </w:rPr>
      </w:pPr>
      <w:r>
        <w:rPr>
          <w:rFonts w:hint="eastAsia" w:hAnsi="黑体"/>
          <w:b/>
          <w:sz w:val="32"/>
          <w:szCs w:val="32"/>
          <w:highlight w:val="none"/>
        </w:rPr>
        <w:t>十一、政府采购支出说明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本部门2021年度政府采购支出总额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万元，其中：政府采购货物支出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 xml:space="preserve"> 万元、政府采购工程支出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万元、政府采购服务支出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int="eastAsia" w:hAnsi="黑体"/>
          <w:b/>
          <w:sz w:val="32"/>
          <w:szCs w:val="32"/>
          <w:highlight w:val="none"/>
        </w:rPr>
      </w:pPr>
      <w:r>
        <w:rPr>
          <w:rFonts w:hint="eastAsia" w:hAnsi="黑体"/>
          <w:b/>
          <w:sz w:val="32"/>
          <w:szCs w:val="32"/>
          <w:highlight w:val="none"/>
        </w:rPr>
        <w:t>十三、2021年度预算绩效情况说明</w:t>
      </w:r>
    </w:p>
    <w:p>
      <w:pPr>
        <w:pStyle w:val="9"/>
        <w:ind w:firstLine="640" w:firstLineChars="200"/>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r>
        <w:rPr>
          <w:rFonts w:hint="eastAsia" w:cs="黑体" w:asciiTheme="minorEastAsia" w:hAnsiTheme="minorEastAsia"/>
          <w:color w:val="000000"/>
          <w:kern w:val="0"/>
          <w:sz w:val="32"/>
          <w:szCs w:val="32"/>
          <w:highlight w:val="none"/>
        </w:rPr>
        <w:t>。</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本单位</w:t>
      </w:r>
      <w:r>
        <w:rPr>
          <w:rFonts w:hint="eastAsia" w:cs="黑体" w:asciiTheme="minorEastAsia" w:hAnsiTheme="minorEastAsia"/>
          <w:color w:val="000000"/>
          <w:kern w:val="0"/>
          <w:sz w:val="32"/>
          <w:szCs w:val="32"/>
        </w:rPr>
        <w:t>开展整体支出绩效评价，涉及一般公共预算支出</w:t>
      </w:r>
      <w:r>
        <w:rPr>
          <w:rFonts w:hint="eastAsia" w:cs="黑体" w:asciiTheme="minorEastAsia" w:hAnsiTheme="minorEastAsia"/>
          <w:color w:val="000000"/>
          <w:kern w:val="0"/>
          <w:sz w:val="32"/>
          <w:szCs w:val="32"/>
          <w:lang w:val="en-US" w:eastAsia="zh-CN"/>
        </w:rPr>
        <w:t>1226.29</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15</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该单位</w:t>
      </w:r>
      <w:r>
        <w:rPr>
          <w:rFonts w:hint="eastAsia" w:cs="黑体" w:asciiTheme="minorEastAsia" w:hAnsiTheme="minorEastAsia"/>
          <w:color w:val="000000"/>
          <w:kern w:val="0"/>
          <w:sz w:val="32"/>
          <w:szCs w:val="32"/>
        </w:rPr>
        <w:t>积极履职，强化管理，较好的完成了年度工作目标。通过加强预算收支管理，不断建立健全内部管理制度，梳理内部管理流程，整体支出管理水平得到提升；各项绩效指标均达到了预期效果。</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left="638" w:leftChars="304" w:firstLine="0" w:firstLineChars="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2021年度一般公共预算中无项目支出，部门决算中无项目绩效自评结</w:t>
      </w:r>
    </w:p>
    <w:p>
      <w:pPr>
        <w:autoSpaceDE w:val="0"/>
        <w:autoSpaceDN w:val="0"/>
        <w:adjustRightInd w:val="0"/>
        <w:ind w:left="638" w:leftChars="304" w:firstLine="0" w:firstLineChars="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9"/>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color w:val="000000"/>
          <w:kern w:val="0"/>
          <w:sz w:val="32"/>
          <w:szCs w:val="32"/>
          <w:lang w:val="en-US" w:eastAsia="zh-CN"/>
        </w:rPr>
        <w:t xml:space="preserve">  </w:t>
      </w:r>
      <w:r>
        <w:rPr>
          <w:rFonts w:hint="eastAsia" w:asciiTheme="minorEastAsia" w:hAnsiTheme="minorEastAsia" w:eastAsiaTheme="minorEastAsia" w:cstheme="minorEastAsia"/>
          <w:color w:val="000000"/>
          <w:kern w:val="0"/>
          <w:sz w:val="32"/>
          <w:szCs w:val="32"/>
        </w:rPr>
        <w:t>2021年度一般公共预算中无项目支出，部门决算中无项目绩效自评结果。</w:t>
      </w: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2"/>
        </w:numPr>
        <w:ind w:firstLine="640" w:firstLineChars="200"/>
        <w:jc w:val="left"/>
        <w:rPr>
          <w:rFonts w:hint="eastAsia" w:ascii="宋体" w:hAnsi="宋体" w:eastAsia="宋体"/>
          <w:sz w:val="32"/>
          <w:szCs w:val="32"/>
        </w:rPr>
      </w:pPr>
      <w:r>
        <w:rPr>
          <w:rFonts w:hint="eastAsia" w:ascii="宋体" w:hAnsi="宋体" w:eastAsia="宋体"/>
          <w:sz w:val="32"/>
          <w:szCs w:val="32"/>
        </w:rPr>
        <w:t>财政拨款收入：指县财政当年拨付的资金。</w:t>
      </w:r>
    </w:p>
    <w:p>
      <w:pPr>
        <w:numPr>
          <w:ilvl w:val="0"/>
          <w:numId w:val="0"/>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hint="eastAsia" w:ascii="宋体" w:hAnsi="宋体" w:eastAsia="宋体"/>
          <w:sz w:val="32"/>
          <w:szCs w:val="32"/>
        </w:rPr>
        <w:t>基本支出：指部门为保障其机构正常运转、完成日常工作任务的年度基本支出，包括人员经费和公用经费两部分。</w:t>
      </w:r>
    </w:p>
    <w:p>
      <w:pPr>
        <w:ind w:firstLine="640" w:firstLineChars="200"/>
        <w:jc w:val="left"/>
        <w:rPr>
          <w:rFonts w:hint="eastAsia" w:ascii="宋体" w:hAnsi="宋体" w:eastAsia="宋体"/>
          <w:sz w:val="32"/>
          <w:szCs w:val="32"/>
        </w:rPr>
      </w:pPr>
      <w:r>
        <w:rPr>
          <w:rFonts w:hint="eastAsia" w:cs="黑体" w:asciiTheme="minorEastAsia" w:hAnsiTheme="minorEastAsia"/>
          <w:color w:val="000000"/>
          <w:kern w:val="0"/>
          <w:sz w:val="32"/>
          <w:szCs w:val="32"/>
        </w:rPr>
        <w:t>三、</w:t>
      </w:r>
      <w:r>
        <w:rPr>
          <w:rFonts w:hint="eastAsia" w:ascii="宋体" w:hAnsi="宋体" w:eastAsia="宋体"/>
          <w:sz w:val="32"/>
          <w:szCs w:val="32"/>
        </w:rPr>
        <w:t>“三公”经费</w:t>
      </w:r>
      <w:r>
        <w:rPr>
          <w:rFonts w:ascii="宋体" w:hAnsi="宋体" w:eastAsia="宋体"/>
          <w:sz w:val="32"/>
          <w:szCs w:val="32"/>
        </w:rPr>
        <w:t>:</w:t>
      </w:r>
      <w:r>
        <w:rPr>
          <w:rFonts w:hint="eastAsia" w:ascii="宋体" w:hAnsi="宋体" w:eastAsia="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ind w:firstLine="640" w:firstLineChars="200"/>
        <w:jc w:val="left"/>
        <w:rPr>
          <w:rFonts w:hint="eastAsia" w:ascii="宋体" w:hAnsi="宋体" w:eastAsia="宋体"/>
          <w:sz w:val="32"/>
          <w:szCs w:val="32"/>
          <w:lang w:val="en-US" w:eastAsia="zh-CN"/>
        </w:rPr>
      </w:pPr>
      <w:r>
        <w:rPr>
          <w:rFonts w:hint="eastAsia" w:ascii="宋体" w:hAnsi="宋体" w:eastAsia="宋体"/>
          <w:sz w:val="32"/>
          <w:szCs w:val="32"/>
          <w:lang w:val="en-US" w:eastAsia="zh-CN"/>
        </w:rPr>
        <w:t>四、</w:t>
      </w:r>
      <w:r>
        <w:rPr>
          <w:rFonts w:hint="eastAsia" w:ascii="宋体" w:hAnsi="宋体" w:eastAsia="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沿溪乡人民政府202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年度部门整体支出绩效评价报告</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一、部门概况</w:t>
      </w:r>
    </w:p>
    <w:p>
      <w:pPr>
        <w:shd w:val="clear" w:color="auto" w:fill="FFFFFF"/>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（一）部门基本情况</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沿溪乡</w:t>
      </w:r>
      <w:r>
        <w:rPr>
          <w:rFonts w:hint="eastAsia" w:ascii="仿宋_GB2312" w:hAnsi="仿宋_GB2312" w:eastAsia="仿宋_GB2312" w:cs="仿宋_GB2312"/>
          <w:kern w:val="0"/>
          <w:sz w:val="32"/>
          <w:szCs w:val="32"/>
        </w:rPr>
        <w:t>人民政府隶属溆浦县人民政府，行政单位，全额拨款单位。</w:t>
      </w:r>
      <w:r>
        <w:rPr>
          <w:rFonts w:hint="eastAsia" w:ascii="仿宋_GB2312" w:hAnsi="仿宋_GB2312" w:eastAsia="仿宋_GB2312" w:cs="仿宋_GB2312"/>
          <w:kern w:val="0"/>
          <w:sz w:val="32"/>
          <w:szCs w:val="32"/>
          <w:lang w:eastAsia="zh-CN"/>
        </w:rPr>
        <w:t>其中，乡政府</w:t>
      </w:r>
      <w:r>
        <w:rPr>
          <w:rFonts w:hint="eastAsia" w:ascii="仿宋_GB2312" w:hAnsi="仿宋_GB2312" w:eastAsia="仿宋_GB2312" w:cs="仿宋_GB2312"/>
          <w:kern w:val="0"/>
          <w:sz w:val="32"/>
          <w:szCs w:val="32"/>
        </w:rPr>
        <w:t>、乡事业单位、财政所、计生办，编制人员合计</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人，实际人数</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人。主要职能是</w:t>
      </w:r>
      <w:r>
        <w:rPr>
          <w:rFonts w:hint="eastAsia" w:ascii="仿宋_GB2312" w:hAnsi="仿宋_GB2312" w:eastAsia="仿宋_GB2312" w:cs="仿宋_GB2312"/>
          <w:kern w:val="0"/>
          <w:sz w:val="32"/>
          <w:szCs w:val="32"/>
          <w:lang w:eastAsia="zh-CN"/>
        </w:rPr>
        <w:t>：</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制定并组织实施村</w:t>
      </w:r>
      <w:r>
        <w:rPr>
          <w:rFonts w:hint="eastAsia" w:ascii="仿宋_GB2312" w:hAnsi="仿宋_GB2312" w:eastAsia="仿宋_GB2312" w:cs="仿宋_GB2312"/>
          <w:kern w:val="0"/>
          <w:sz w:val="32"/>
          <w:szCs w:val="32"/>
          <w:lang w:eastAsia="zh-CN"/>
        </w:rPr>
        <w:t>乡</w:t>
      </w:r>
      <w:r>
        <w:rPr>
          <w:rFonts w:hint="eastAsia" w:ascii="仿宋_GB2312" w:hAnsi="仿宋_GB2312" w:eastAsia="仿宋_GB2312" w:cs="仿宋_GB2312"/>
          <w:kern w:val="0"/>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按计划组织本级财政收入和地方税的征收，完成国家财政计划，不断培植税源，管好财政资金，增强财政实力。</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抓好精神文明建设，丰富群众文化生活，提倡移风易俗，反对封建迷信，树立社会主义新风尚。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完成上级政府交办的其它事项。</w:t>
      </w:r>
    </w:p>
    <w:p>
      <w:pPr>
        <w:shd w:val="clear" w:color="auto" w:fill="FFFFFF"/>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二</w:t>
      </w: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收支</w:t>
      </w:r>
      <w:r>
        <w:rPr>
          <w:rFonts w:hint="eastAsia" w:ascii="仿宋_GB2312" w:hAnsi="仿宋" w:eastAsia="仿宋_GB2312"/>
          <w:b/>
          <w:spacing w:val="-2"/>
          <w:sz w:val="32"/>
          <w:szCs w:val="32"/>
          <w:lang w:bidi="ar-SA"/>
        </w:rPr>
        <w:t>情况</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b/>
          <w:bCs/>
          <w:spacing w:val="-2"/>
          <w:sz w:val="32"/>
          <w:szCs w:val="32"/>
          <w:lang w:eastAsia="zh-CN"/>
        </w:rPr>
      </w:pPr>
      <w:r>
        <w:rPr>
          <w:rFonts w:hint="eastAsia" w:ascii="仿宋_GB2312" w:hAnsi="仿宋_GB2312" w:eastAsia="仿宋_GB2312" w:cs="仿宋_GB2312"/>
          <w:spacing w:val="-2"/>
          <w:sz w:val="32"/>
          <w:szCs w:val="32"/>
          <w:lang w:eastAsia="zh-CN"/>
        </w:rPr>
        <w:t>202</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lang w:eastAsia="zh-CN"/>
        </w:rPr>
        <w:t>年沿溪</w:t>
      </w:r>
      <w:r>
        <w:rPr>
          <w:rFonts w:hint="eastAsia" w:ascii="仿宋_GB2312" w:hAnsi="仿宋_GB2312" w:eastAsia="仿宋_GB2312" w:cs="仿宋_GB2312"/>
          <w:spacing w:val="-2"/>
          <w:sz w:val="32"/>
          <w:szCs w:val="32"/>
        </w:rPr>
        <w:t>乡</w:t>
      </w:r>
      <w:r>
        <w:rPr>
          <w:rFonts w:hint="eastAsia" w:ascii="仿宋_GB2312" w:hAnsi="仿宋_GB2312" w:eastAsia="仿宋_GB2312" w:cs="仿宋_GB2312"/>
          <w:spacing w:val="-2"/>
          <w:sz w:val="32"/>
          <w:szCs w:val="32"/>
          <w:lang w:eastAsia="zh-CN"/>
        </w:rPr>
        <w:t>收入为</w:t>
      </w:r>
      <w:r>
        <w:rPr>
          <w:rFonts w:hint="eastAsia" w:ascii="仿宋_GB2312" w:hAnsi="仿宋_GB2312" w:eastAsia="仿宋_GB2312" w:cs="仿宋_GB2312"/>
          <w:spacing w:val="-2"/>
          <w:sz w:val="32"/>
          <w:szCs w:val="32"/>
          <w:lang w:val="en-US" w:eastAsia="zh-CN"/>
        </w:rPr>
        <w:t>1241.29</w:t>
      </w:r>
      <w:r>
        <w:rPr>
          <w:rFonts w:hint="eastAsia" w:ascii="仿宋_GB2312" w:hAnsi="仿宋_GB2312" w:eastAsia="仿宋_GB2312" w:cs="仿宋_GB2312"/>
          <w:spacing w:val="-2"/>
          <w:sz w:val="32"/>
          <w:szCs w:val="32"/>
        </w:rPr>
        <w:t>万元，</w:t>
      </w:r>
      <w:r>
        <w:rPr>
          <w:rFonts w:hint="eastAsia" w:ascii="仿宋_GB2312" w:hAnsi="仿宋_GB2312" w:eastAsia="仿宋_GB2312" w:cs="仿宋_GB2312"/>
          <w:spacing w:val="-2"/>
          <w:sz w:val="32"/>
          <w:szCs w:val="32"/>
          <w:lang w:eastAsia="zh-CN"/>
        </w:rPr>
        <w:t>支出为</w:t>
      </w:r>
      <w:r>
        <w:rPr>
          <w:rFonts w:hint="eastAsia" w:ascii="仿宋_GB2312" w:hAnsi="仿宋_GB2312" w:eastAsia="仿宋_GB2312" w:cs="仿宋_GB2312"/>
          <w:spacing w:val="-2"/>
          <w:sz w:val="32"/>
          <w:szCs w:val="32"/>
          <w:lang w:val="en-US" w:eastAsia="zh-CN"/>
        </w:rPr>
        <w:t>1241.29万元，收支基本平衡。</w:t>
      </w:r>
    </w:p>
    <w:p>
      <w:pPr>
        <w:shd w:val="clear" w:color="auto" w:fill="FFFFFF"/>
        <w:spacing w:line="640" w:lineRule="exact"/>
        <w:ind w:firstLine="640"/>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二</w:t>
      </w:r>
      <w:r>
        <w:rPr>
          <w:rFonts w:hint="eastAsia" w:ascii="黑体" w:hAnsi="黑体" w:eastAsia="黑体" w:cs="黑体"/>
          <w:b w:val="0"/>
          <w:bCs w:val="0"/>
          <w:spacing w:val="-2"/>
          <w:sz w:val="32"/>
          <w:szCs w:val="32"/>
        </w:rPr>
        <w:t>、</w:t>
      </w:r>
      <w:r>
        <w:rPr>
          <w:rFonts w:hint="eastAsia" w:ascii="黑体" w:hAnsi="黑体" w:eastAsia="黑体"/>
          <w:spacing w:val="-2"/>
          <w:sz w:val="32"/>
          <w:szCs w:val="32"/>
        </w:rPr>
        <w:t>部门整体支出管理及使用情况</w:t>
      </w:r>
    </w:p>
    <w:p>
      <w:pPr>
        <w:shd w:val="clear" w:color="auto" w:fill="FFFFFF"/>
        <w:spacing w:line="640" w:lineRule="exact"/>
        <w:ind w:firstLine="643"/>
        <w:rPr>
          <w:rFonts w:hint="eastAsia" w:ascii="仿宋_GB2312" w:hAnsi="仿宋" w:eastAsia="仿宋_GB2312"/>
          <w:b/>
          <w:spacing w:val="-2"/>
          <w:sz w:val="32"/>
          <w:szCs w:val="32"/>
          <w:lang w:val="en-US" w:eastAsia="zh-CN" w:bidi="ar-SA"/>
        </w:rPr>
      </w:pPr>
      <w:r>
        <w:rPr>
          <w:rFonts w:hint="eastAsia" w:ascii="仿宋_GB2312" w:hAnsi="仿宋" w:eastAsia="仿宋_GB2312"/>
          <w:b/>
          <w:spacing w:val="-2"/>
          <w:sz w:val="32"/>
          <w:szCs w:val="32"/>
          <w:lang w:val="en-US" w:eastAsia="zh-CN" w:bidi="ar-SA"/>
        </w:rPr>
        <w:t>（一）基本支出</w:t>
      </w:r>
    </w:p>
    <w:p>
      <w:pPr>
        <w:keepNext w:val="0"/>
        <w:keepLines w:val="0"/>
        <w:pageBreakBefore w:val="0"/>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2021年基本支出</w:t>
      </w:r>
      <w:r>
        <w:rPr>
          <w:rFonts w:hint="eastAsia" w:ascii="仿宋_GB2312" w:hAnsi="仿宋_GB2312" w:eastAsia="仿宋_GB2312" w:cs="仿宋_GB2312"/>
          <w:color w:val="333333"/>
          <w:sz w:val="32"/>
          <w:szCs w:val="32"/>
          <w:shd w:val="clear" w:color="auto" w:fill="FFFFFF"/>
          <w:lang w:val="en-US" w:eastAsia="zh-CN"/>
        </w:rPr>
        <w:t>961.14</w:t>
      </w:r>
      <w:r>
        <w:rPr>
          <w:rFonts w:hint="eastAsia" w:ascii="仿宋_GB2312" w:hAnsi="仿宋_GB2312" w:eastAsia="仿宋_GB2312" w:cs="仿宋_GB2312"/>
          <w:color w:val="333333"/>
          <w:sz w:val="32"/>
          <w:szCs w:val="32"/>
          <w:shd w:val="clear" w:color="auto" w:fill="FFFFFF"/>
          <w:lang w:eastAsia="zh-CN"/>
        </w:rPr>
        <w:t>万</w:t>
      </w:r>
      <w:r>
        <w:rPr>
          <w:rFonts w:hint="eastAsia" w:ascii="仿宋_GB2312" w:hAnsi="仿宋_GB2312" w:eastAsia="仿宋_GB2312" w:cs="仿宋_GB2312"/>
          <w:color w:val="333333"/>
          <w:sz w:val="32"/>
          <w:szCs w:val="32"/>
          <w:lang w:val="en-US" w:eastAsia="zh-CN"/>
        </w:rPr>
        <w:t>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lang w:val="en-US" w:eastAsia="zh-CN"/>
        </w:rPr>
        <w:t>1、支出按经济分类:</w:t>
      </w:r>
      <w:r>
        <w:rPr>
          <w:rFonts w:hint="eastAsia" w:ascii="仿宋_GB2312" w:hAnsi="仿宋_GB2312" w:eastAsia="仿宋_GB2312" w:cs="仿宋_GB2312"/>
          <w:color w:val="333333"/>
          <w:sz w:val="32"/>
          <w:szCs w:val="32"/>
          <w:lang w:val="en-US" w:eastAsia="zh-CN"/>
        </w:rPr>
        <w:t>工</w:t>
      </w:r>
      <w:r>
        <w:rPr>
          <w:rFonts w:hint="eastAsia" w:ascii="仿宋_GB2312" w:hAnsi="仿宋_GB2312" w:eastAsia="仿宋_GB2312" w:cs="仿宋_GB2312"/>
          <w:color w:val="333333"/>
          <w:sz w:val="32"/>
          <w:szCs w:val="32"/>
        </w:rPr>
        <w:t>资福利支出</w:t>
      </w:r>
      <w:r>
        <w:rPr>
          <w:rFonts w:hint="eastAsia" w:ascii="仿宋_GB2312" w:hAnsi="仿宋_GB2312" w:eastAsia="仿宋_GB2312" w:cs="仿宋_GB2312"/>
          <w:color w:val="333333"/>
          <w:sz w:val="32"/>
          <w:szCs w:val="32"/>
          <w:lang w:val="en-US" w:eastAsia="zh-CN"/>
        </w:rPr>
        <w:t>496.28</w:t>
      </w:r>
      <w:r>
        <w:rPr>
          <w:rFonts w:hint="eastAsia" w:ascii="仿宋_GB2312" w:hAnsi="仿宋_GB2312" w:eastAsia="仿宋_GB2312" w:cs="仿宋_GB2312"/>
          <w:color w:val="333333"/>
          <w:sz w:val="32"/>
          <w:szCs w:val="32"/>
        </w:rPr>
        <w:t>万元、商品服务支出</w:t>
      </w:r>
      <w:r>
        <w:rPr>
          <w:rFonts w:hint="eastAsia" w:ascii="仿宋_GB2312" w:hAnsi="仿宋_GB2312" w:eastAsia="仿宋_GB2312" w:cs="仿宋_GB2312"/>
          <w:color w:val="333333"/>
          <w:sz w:val="32"/>
          <w:szCs w:val="32"/>
          <w:lang w:val="en-US" w:eastAsia="zh-CN"/>
        </w:rPr>
        <w:t>173.95</w:t>
      </w:r>
      <w:r>
        <w:rPr>
          <w:rFonts w:hint="eastAsia" w:ascii="仿宋_GB2312" w:hAnsi="仿宋_GB2312" w:eastAsia="仿宋_GB2312" w:cs="仿宋_GB2312"/>
          <w:color w:val="333333"/>
          <w:sz w:val="32"/>
          <w:szCs w:val="32"/>
        </w:rPr>
        <w:t>万元、对个人和家庭补助支出</w:t>
      </w:r>
      <w:r>
        <w:rPr>
          <w:rFonts w:hint="eastAsia" w:ascii="仿宋_GB2312" w:hAnsi="仿宋_GB2312" w:eastAsia="仿宋_GB2312" w:cs="仿宋_GB2312"/>
          <w:color w:val="333333"/>
          <w:sz w:val="32"/>
          <w:szCs w:val="32"/>
          <w:lang w:val="en-US" w:eastAsia="zh-CN"/>
        </w:rPr>
        <w:t>290.91</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b/>
          <w:color w:val="333333"/>
          <w:sz w:val="32"/>
          <w:szCs w:val="32"/>
        </w:rPr>
        <w:t>2、支出按功能分类：</w:t>
      </w:r>
      <w:r>
        <w:rPr>
          <w:rFonts w:hint="eastAsia" w:ascii="仿宋_GB2312" w:hAnsi="仿宋_GB2312" w:eastAsia="仿宋_GB2312" w:cs="仿宋_GB2312"/>
          <w:color w:val="333333"/>
          <w:sz w:val="32"/>
          <w:szCs w:val="32"/>
        </w:rPr>
        <w:t>1、一般公共服务支出</w:t>
      </w:r>
      <w:r>
        <w:rPr>
          <w:rFonts w:hint="eastAsia" w:ascii="仿宋_GB2312" w:hAnsi="仿宋_GB2312" w:eastAsia="仿宋_GB2312" w:cs="仿宋_GB2312"/>
          <w:color w:val="333333"/>
          <w:sz w:val="32"/>
          <w:szCs w:val="32"/>
          <w:lang w:val="en-US" w:eastAsia="zh-CN"/>
        </w:rPr>
        <w:t>533.85</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val="en-US" w:eastAsia="zh-CN"/>
        </w:rPr>
        <w:t>2、国防支出2.6万元；3、公共安全支出18.04万元；4、文化旅游与传媒支出13万元；5、</w:t>
      </w:r>
      <w:r>
        <w:rPr>
          <w:rFonts w:hint="eastAsia" w:ascii="仿宋_GB2312" w:hAnsi="仿宋_GB2312" w:eastAsia="仿宋_GB2312" w:cs="仿宋_GB2312"/>
          <w:color w:val="333333"/>
          <w:sz w:val="32"/>
          <w:szCs w:val="32"/>
        </w:rPr>
        <w:t>社会保障和就业支出</w:t>
      </w:r>
      <w:r>
        <w:rPr>
          <w:rFonts w:hint="eastAsia" w:ascii="仿宋_GB2312" w:hAnsi="仿宋_GB2312" w:eastAsia="仿宋_GB2312" w:cs="仿宋_GB2312"/>
          <w:color w:val="333333"/>
          <w:sz w:val="32"/>
          <w:szCs w:val="32"/>
          <w:lang w:val="en-US" w:eastAsia="zh-CN"/>
        </w:rPr>
        <w:t>79.12万元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6、卫生健康</w:t>
      </w:r>
      <w:r>
        <w:rPr>
          <w:rFonts w:hint="eastAsia" w:ascii="仿宋_GB2312" w:hAnsi="仿宋_GB2312" w:eastAsia="仿宋_GB2312" w:cs="仿宋_GB2312"/>
          <w:color w:val="333333"/>
          <w:sz w:val="32"/>
          <w:szCs w:val="32"/>
        </w:rPr>
        <w:t>支出</w:t>
      </w:r>
      <w:r>
        <w:rPr>
          <w:rFonts w:hint="eastAsia" w:ascii="仿宋_GB2312" w:hAnsi="仿宋_GB2312" w:eastAsia="仿宋_GB2312" w:cs="仿宋_GB2312"/>
          <w:color w:val="333333"/>
          <w:sz w:val="32"/>
          <w:szCs w:val="32"/>
          <w:lang w:val="en-US" w:eastAsia="zh-CN"/>
        </w:rPr>
        <w:t>39.17万元；7</w:t>
      </w:r>
      <w:r>
        <w:rPr>
          <w:rFonts w:hint="eastAsia" w:ascii="仿宋_GB2312" w:hAnsi="仿宋_GB2312" w:eastAsia="仿宋_GB2312" w:cs="仿宋_GB2312"/>
          <w:color w:val="333333"/>
          <w:sz w:val="32"/>
          <w:szCs w:val="32"/>
        </w:rPr>
        <w:t>、节能环保支出</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val="en-US" w:eastAsia="zh-CN"/>
        </w:rPr>
        <w:t>8、</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val="en-US" w:eastAsia="zh-CN"/>
        </w:rPr>
        <w:t>75.15</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、农林水支出</w:t>
      </w:r>
      <w:r>
        <w:rPr>
          <w:rFonts w:hint="eastAsia" w:ascii="仿宋_GB2312" w:hAnsi="仿宋_GB2312" w:eastAsia="仿宋_GB2312" w:cs="仿宋_GB2312"/>
          <w:color w:val="333333"/>
          <w:sz w:val="32"/>
          <w:szCs w:val="32"/>
          <w:lang w:val="en-US" w:eastAsia="zh-CN"/>
        </w:rPr>
        <w:t>431.18</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10、住房保障支出20.11万元；11、灾害防治及应急管理支出14.07万元；12、其他支出10万元。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lang w:val="en-US" w:eastAsia="zh-CN"/>
        </w:rPr>
        <w:t>3</w:t>
      </w:r>
      <w:r>
        <w:rPr>
          <w:rFonts w:hint="eastAsia" w:ascii="仿宋_GB2312" w:hAnsi="仿宋_GB2312" w:eastAsia="仿宋_GB2312" w:cs="仿宋_GB2312"/>
          <w:b/>
          <w:color w:val="333333"/>
          <w:sz w:val="32"/>
          <w:szCs w:val="32"/>
        </w:rPr>
        <w:t>、</w:t>
      </w:r>
      <w:r>
        <w:rPr>
          <w:rFonts w:hint="eastAsia" w:ascii="仿宋_GB2312" w:hAnsi="仿宋_GB2312" w:eastAsia="仿宋_GB2312" w:cs="仿宋_GB2312"/>
          <w:color w:val="333333"/>
          <w:sz w:val="32"/>
          <w:szCs w:val="32"/>
          <w:lang w:val="en-US" w:eastAsia="zh-CN"/>
        </w:rPr>
        <w:t>2021年</w:t>
      </w:r>
      <w:r>
        <w:rPr>
          <w:rFonts w:hint="eastAsia" w:ascii="仿宋_GB2312" w:hAnsi="仿宋_GB2312" w:eastAsia="仿宋_GB2312" w:cs="仿宋_GB2312"/>
          <w:color w:val="333333"/>
          <w:sz w:val="32"/>
          <w:szCs w:val="32"/>
        </w:rPr>
        <w:t>三公经费支出</w:t>
      </w:r>
      <w:r>
        <w:rPr>
          <w:rFonts w:hint="eastAsia" w:ascii="仿宋_GB2312" w:hAnsi="仿宋_GB2312" w:eastAsia="仿宋_GB2312" w:cs="仿宋_GB2312"/>
          <w:color w:val="333333"/>
          <w:sz w:val="32"/>
          <w:szCs w:val="32"/>
          <w:lang w:val="en-US" w:eastAsia="zh-CN"/>
        </w:rPr>
        <w:t>6.7</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其中公务接待费</w:t>
      </w:r>
      <w:r>
        <w:rPr>
          <w:rFonts w:hint="eastAsia" w:ascii="仿宋_GB2312" w:hAnsi="仿宋_GB2312" w:eastAsia="仿宋_GB2312" w:cs="仿宋_GB2312"/>
          <w:color w:val="333333"/>
          <w:sz w:val="32"/>
          <w:szCs w:val="32"/>
          <w:lang w:val="en-US" w:eastAsia="zh-CN"/>
        </w:rPr>
        <w:t>3.5</w:t>
      </w:r>
      <w:r>
        <w:rPr>
          <w:rFonts w:hint="eastAsia" w:ascii="仿宋_GB2312" w:hAnsi="仿宋_GB2312" w:eastAsia="仿宋_GB2312" w:cs="仿宋_GB2312"/>
          <w:color w:val="333333"/>
          <w:sz w:val="32"/>
          <w:szCs w:val="32"/>
        </w:rPr>
        <w:t>万元、公车运行费</w:t>
      </w:r>
      <w:r>
        <w:rPr>
          <w:rFonts w:hint="eastAsia" w:ascii="仿宋_GB2312" w:hAnsi="仿宋_GB2312" w:eastAsia="仿宋_GB2312" w:cs="仿宋_GB2312"/>
          <w:color w:val="333333"/>
          <w:sz w:val="32"/>
          <w:szCs w:val="32"/>
          <w:lang w:val="en-US" w:eastAsia="zh-CN"/>
        </w:rPr>
        <w:t>3.2</w:t>
      </w:r>
      <w:r>
        <w:rPr>
          <w:rFonts w:hint="eastAsia" w:ascii="仿宋_GB2312" w:hAnsi="仿宋_GB2312" w:eastAsia="仿宋_GB2312" w:cs="仿宋_GB2312"/>
          <w:color w:val="333333"/>
          <w:sz w:val="32"/>
          <w:szCs w:val="32"/>
        </w:rPr>
        <w:t>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我</w:t>
      </w:r>
      <w:r>
        <w:rPr>
          <w:rFonts w:hint="eastAsia" w:ascii="仿宋_GB2312" w:hAnsi="仿宋_GB2312" w:eastAsia="仿宋_GB2312" w:cs="仿宋_GB2312"/>
          <w:color w:val="333333"/>
          <w:sz w:val="32"/>
          <w:szCs w:val="32"/>
          <w:lang w:val="en-US" w:eastAsia="zh-CN"/>
        </w:rPr>
        <w:t>乡</w:t>
      </w:r>
      <w:r>
        <w:rPr>
          <w:rFonts w:hint="eastAsia" w:ascii="仿宋_GB2312" w:hAnsi="仿宋_GB2312" w:eastAsia="仿宋_GB2312" w:cs="仿宋_GB2312"/>
          <w:color w:val="333333"/>
          <w:sz w:val="32"/>
          <w:szCs w:val="32"/>
        </w:rPr>
        <w:t>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“三公”经费较好地控制在范围之内。</w:t>
      </w:r>
    </w:p>
    <w:p>
      <w:pPr>
        <w:shd w:val="clear" w:color="auto" w:fill="FFFFFF"/>
        <w:spacing w:line="640" w:lineRule="exact"/>
        <w:ind w:firstLine="643"/>
        <w:rPr>
          <w:rFonts w:hint="eastAsia" w:ascii="仿宋_GB2312" w:hAnsi="楷体" w:eastAsia="仿宋_GB2312"/>
          <w:b/>
          <w:spacing w:val="-2"/>
          <w:sz w:val="32"/>
          <w:szCs w:val="21"/>
          <w:highlight w:val="none"/>
        </w:rPr>
      </w:pPr>
      <w:r>
        <w:rPr>
          <w:rFonts w:hint="eastAsia" w:ascii="仿宋_GB2312" w:hAnsi="楷体" w:eastAsia="仿宋_GB2312"/>
          <w:b/>
          <w:spacing w:val="-2"/>
          <w:sz w:val="32"/>
          <w:szCs w:val="32"/>
          <w:highlight w:val="none"/>
        </w:rPr>
        <w:t>（二）专项支出</w:t>
      </w:r>
    </w:p>
    <w:p>
      <w:pPr>
        <w:shd w:val="clear" w:color="auto" w:fill="FFFFFF"/>
        <w:spacing w:line="640" w:lineRule="exact"/>
        <w:ind w:firstLine="640"/>
        <w:rPr>
          <w:rFonts w:hint="default" w:ascii="仿宋_GB2312" w:hAnsi="仿宋" w:eastAsia="仿宋_GB2312"/>
          <w:spacing w:val="-2"/>
          <w:sz w:val="32"/>
          <w:szCs w:val="21"/>
          <w:highlight w:val="none"/>
          <w:lang w:val="en-US" w:eastAsia="zh-CN"/>
        </w:rPr>
      </w:pPr>
      <w:r>
        <w:rPr>
          <w:rFonts w:hint="eastAsia" w:ascii="仿宋_GB2312" w:hAnsi="仿宋_GB2312" w:eastAsia="仿宋_GB2312" w:cs="仿宋_GB2312"/>
          <w:color w:val="333333"/>
          <w:sz w:val="32"/>
          <w:szCs w:val="32"/>
          <w:lang w:val="en-US" w:eastAsia="zh-CN"/>
        </w:rPr>
        <w:t>1.</w:t>
      </w:r>
      <w:r>
        <w:rPr>
          <w:rFonts w:hint="eastAsia" w:ascii="仿宋_GB2312" w:hAnsi="仿宋" w:eastAsia="仿宋_GB2312"/>
          <w:spacing w:val="-2"/>
          <w:sz w:val="32"/>
          <w:szCs w:val="32"/>
          <w:highlight w:val="none"/>
          <w:lang w:val="en-US" w:eastAsia="zh-CN"/>
        </w:rPr>
        <w:t>2021年专项资金收入280.15万元，做到全部按文件内容及上级要求用于专项建设。</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outlineLvl w:val="9"/>
        <w:rPr>
          <w:rFonts w:hint="eastAsia" w:ascii="仿宋_GB2312" w:hAnsi="仿宋" w:eastAsia="仿宋_GB2312"/>
          <w:spacing w:val="-2"/>
          <w:sz w:val="32"/>
          <w:szCs w:val="32"/>
          <w:highlight w:val="none"/>
        </w:rPr>
      </w:pPr>
      <w:r>
        <w:rPr>
          <w:rFonts w:hint="eastAsia" w:ascii="仿宋_GB2312" w:hAnsi="仿宋_GB2312" w:eastAsia="仿宋_GB2312" w:cs="仿宋_GB2312"/>
          <w:color w:val="333333"/>
          <w:sz w:val="32"/>
          <w:szCs w:val="32"/>
          <w:lang w:val="en-US" w:eastAsia="zh-CN"/>
        </w:rPr>
        <w:t>2.</w:t>
      </w:r>
      <w:r>
        <w:rPr>
          <w:rFonts w:hint="eastAsia" w:ascii="仿宋_GB2312" w:hAnsi="仿宋" w:eastAsia="仿宋_GB2312"/>
          <w:spacing w:val="-2"/>
          <w:sz w:val="32"/>
          <w:szCs w:val="32"/>
          <w:highlight w:val="none"/>
          <w:lang w:val="en-US" w:eastAsia="zh-CN"/>
        </w:rPr>
        <w:t>2021年</w:t>
      </w:r>
      <w:r>
        <w:rPr>
          <w:rFonts w:hint="eastAsia" w:ascii="仿宋_GB2312" w:hAnsi="仿宋_GB2312" w:eastAsia="仿宋_GB2312" w:cs="仿宋_GB2312"/>
          <w:color w:val="333333"/>
          <w:sz w:val="32"/>
          <w:szCs w:val="32"/>
          <w:highlight w:val="none"/>
          <w:lang w:val="en-US" w:eastAsia="zh-CN"/>
        </w:rPr>
        <w:t>项目支出</w:t>
      </w:r>
      <w:r>
        <w:rPr>
          <w:rFonts w:hint="eastAsia" w:ascii="仿宋_GB2312" w:hAnsi="仿宋" w:eastAsia="仿宋_GB2312"/>
          <w:spacing w:val="-2"/>
          <w:sz w:val="32"/>
          <w:szCs w:val="32"/>
          <w:highlight w:val="none"/>
          <w:lang w:val="en-US" w:eastAsia="zh-CN"/>
        </w:rPr>
        <w:t>280.15</w:t>
      </w:r>
      <w:r>
        <w:rPr>
          <w:rFonts w:hint="eastAsia" w:ascii="仿宋_GB2312" w:hAnsi="仿宋_GB2312" w:eastAsia="仿宋_GB2312" w:cs="仿宋_GB2312"/>
          <w:color w:val="333333"/>
          <w:sz w:val="32"/>
          <w:szCs w:val="32"/>
          <w:highlight w:val="none"/>
          <w:lang w:val="en-US" w:eastAsia="zh-CN"/>
        </w:rPr>
        <w:t>万元，其中商品和服务支出40.02万元；基础设施建设支出240.13万元。</w:t>
      </w:r>
    </w:p>
    <w:p>
      <w:pPr>
        <w:numPr>
          <w:ilvl w:val="0"/>
          <w:numId w:val="0"/>
        </w:numPr>
        <w:shd w:val="clear" w:color="auto" w:fill="FFFFFF"/>
        <w:spacing w:line="640" w:lineRule="exact"/>
        <w:ind w:firstLine="640" w:firstLineChars="200"/>
        <w:rPr>
          <w:rFonts w:hint="eastAsia" w:ascii="仿宋_GB2312" w:hAnsi="仿宋" w:eastAsia="仿宋_GB2312"/>
          <w:spacing w:val="-2"/>
          <w:sz w:val="32"/>
          <w:szCs w:val="32"/>
          <w:highlight w:val="none"/>
          <w:lang w:val="en-US" w:eastAsia="zh-CN"/>
        </w:rPr>
      </w:pPr>
      <w:r>
        <w:rPr>
          <w:rFonts w:hint="eastAsia" w:ascii="仿宋_GB2312" w:hAnsi="仿宋_GB2312" w:eastAsia="仿宋_GB2312" w:cs="仿宋_GB2312"/>
          <w:color w:val="333333"/>
          <w:sz w:val="32"/>
          <w:szCs w:val="32"/>
          <w:lang w:val="en-US" w:eastAsia="zh-CN"/>
        </w:rPr>
        <w:t>3.</w:t>
      </w:r>
      <w:r>
        <w:rPr>
          <w:rFonts w:hint="eastAsia" w:ascii="仿宋_GB2312" w:hAnsi="仿宋" w:eastAsia="仿宋_GB2312"/>
          <w:spacing w:val="-2"/>
          <w:sz w:val="32"/>
          <w:szCs w:val="32"/>
          <w:highlight w:val="none"/>
          <w:lang w:val="en-US" w:eastAsia="zh-CN"/>
        </w:rPr>
        <w:t>我乡为严格把控专项资金流入及使用，对项目资金实行专人专账管理。确保资金的“三不一同”，即“不乱用，不借用，不挪用”，“资金与项目内容同步”。</w:t>
      </w:r>
    </w:p>
    <w:p>
      <w:pPr>
        <w:numPr>
          <w:ilvl w:val="0"/>
          <w:numId w:val="3"/>
        </w:numPr>
        <w:shd w:val="clear" w:color="auto" w:fill="FFFFFF"/>
        <w:spacing w:line="640" w:lineRule="exact"/>
        <w:ind w:firstLine="640"/>
        <w:rPr>
          <w:rFonts w:hint="default" w:ascii="黑体" w:hAnsi="黑体" w:eastAsia="黑体"/>
          <w:spacing w:val="-2"/>
          <w:sz w:val="32"/>
          <w:szCs w:val="32"/>
          <w:highlight w:val="none"/>
          <w:lang w:val="en-US" w:eastAsia="zh-CN"/>
        </w:rPr>
      </w:pPr>
      <w:r>
        <w:rPr>
          <w:rFonts w:hint="eastAsia" w:ascii="黑体" w:hAnsi="黑体" w:eastAsia="黑体"/>
          <w:spacing w:val="-2"/>
          <w:sz w:val="32"/>
          <w:szCs w:val="32"/>
          <w:highlight w:val="none"/>
        </w:rPr>
        <w:t>部门专项组织实施情况</w:t>
      </w:r>
    </w:p>
    <w:p>
      <w:pPr>
        <w:numPr>
          <w:ilvl w:val="0"/>
          <w:numId w:val="0"/>
        </w:numPr>
        <w:shd w:val="clear" w:color="auto" w:fill="FFFFFF"/>
        <w:spacing w:line="640" w:lineRule="exact"/>
        <w:ind w:left="624" w:leftChars="0"/>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专项资金实行专人专账管理。</w:t>
      </w:r>
    </w:p>
    <w:p>
      <w:pPr>
        <w:numPr>
          <w:ilvl w:val="0"/>
          <w:numId w:val="4"/>
        </w:numPr>
        <w:shd w:val="clear" w:color="auto" w:fill="FFFFFF"/>
        <w:spacing w:line="640" w:lineRule="exact"/>
        <w:ind w:left="624" w:leftChars="0" w:firstLine="0" w:firstLineChars="0"/>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专人管理：设立专项资金管理小组，专项资金严格按照审批流程进行报账。</w:t>
      </w:r>
    </w:p>
    <w:p>
      <w:pPr>
        <w:numPr>
          <w:ilvl w:val="0"/>
          <w:numId w:val="4"/>
        </w:numPr>
        <w:shd w:val="clear" w:color="auto" w:fill="FFFFFF"/>
        <w:spacing w:line="640" w:lineRule="exact"/>
        <w:ind w:left="624" w:leftChars="0" w:firstLine="0" w:firstLineChars="0"/>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专账管理：专项资金设立专门账套，核算资金的流入流出。实行序时日记账，定期与银行对账，确保资金使用无误。</w:t>
      </w:r>
    </w:p>
    <w:p>
      <w:pPr>
        <w:keepNext w:val="0"/>
        <w:keepLines w:val="0"/>
        <w:pageBreakBefore w:val="0"/>
        <w:kinsoku/>
        <w:overflowPunct/>
        <w:topLinePunct w:val="0"/>
        <w:autoSpaceDE/>
        <w:autoSpaceDN/>
        <w:bidi w:val="0"/>
        <w:adjustRightInd/>
        <w:snapToGrid/>
        <w:spacing w:line="580" w:lineRule="exact"/>
        <w:outlineLvl w:val="9"/>
        <w:rPr>
          <w:rFonts w:hint="eastAsia" w:ascii="仿宋_GB2312" w:hAnsi="仿宋_GB2312" w:eastAsia="仿宋_GB2312" w:cs="仿宋_GB2312"/>
          <w:color w:val="333333"/>
          <w:sz w:val="32"/>
          <w:szCs w:val="32"/>
          <w:lang w:val="en-US" w:eastAsia="zh-CN"/>
        </w:rPr>
      </w:pP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lang w:eastAsia="zh-CN"/>
        </w:rPr>
        <w:t>、资产管理情况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有固定资产250.59万元，包括房屋、车辆、空调，打印机、办公桌椅、文件柜等。对于我乡的固定资产分类造册、实行分类别分部门落实到人，从而确保固定资产不流失。2021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pPr>
        <w:keepNext w:val="0"/>
        <w:keepLines w:val="0"/>
        <w:pageBreakBefore w:val="0"/>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sz w:val="32"/>
          <w:szCs w:val="32"/>
        </w:rPr>
      </w:pPr>
    </w:p>
    <w:p>
      <w:pPr>
        <w:keepNext w:val="0"/>
        <w:keepLines w:val="0"/>
        <w:pageBreakBefore w:val="0"/>
        <w:numPr>
          <w:ilvl w:val="0"/>
          <w:numId w:val="0"/>
        </w:numPr>
        <w:shd w:val="clear" w:color="auto" w:fill="FFFFFF"/>
        <w:kinsoku/>
        <w:overflowPunct/>
        <w:topLinePunct w:val="0"/>
        <w:autoSpaceDE/>
        <w:autoSpaceDN/>
        <w:bidi w:val="0"/>
        <w:adjustRightInd/>
        <w:snapToGrid/>
        <w:spacing w:line="580" w:lineRule="exact"/>
        <w:ind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五、</w:t>
      </w:r>
      <w:r>
        <w:rPr>
          <w:rFonts w:hint="eastAsia" w:ascii="黑体" w:hAnsi="黑体" w:eastAsia="黑体" w:cs="黑体"/>
          <w:b w:val="0"/>
          <w:bCs w:val="0"/>
          <w:spacing w:val="-2"/>
          <w:sz w:val="32"/>
          <w:szCs w:val="32"/>
          <w:lang w:eastAsia="zh-CN"/>
        </w:rPr>
        <w:t>部门整体支出绩效情况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我乡积极履职，强化管理，较好的完成了年度工作目标。通过加强预算收支管理，不断建立健全内部管理制度，梳理内部管理流程，整体支出管理水平得到提升；各项绩效指标均达到了预期效果。根据部门整体支出绩效评价指标体系，我乡2021年度部门整体支出绩效自评97分。部门整体支出绩效情况详见附件1。</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六、当前工作存在的问题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1.因业务水平有限，年初预算的编制支出类别上理解不够，比如基本支出和项目支出，在日常业务操作时容易出错。</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2.预决算项目支出编制需进一步明确、精细化。同时项目执行率需进一步提高。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keepNext w:val="0"/>
        <w:keepLines w:val="0"/>
        <w:pageBreakBefore w:val="0"/>
        <w:numPr>
          <w:ilvl w:val="0"/>
          <w:numId w:val="0"/>
        </w:numPr>
        <w:kinsoku/>
        <w:overflowPunct/>
        <w:topLinePunct w:val="0"/>
        <w:autoSpaceDE/>
        <w:autoSpaceDN/>
        <w:bidi w:val="0"/>
        <w:adjustRightInd/>
        <w:snapToGrid/>
        <w:spacing w:line="580" w:lineRule="exact"/>
        <w:ind w:leftChars="200"/>
        <w:outlineLvl w:val="9"/>
        <w:rPr>
          <w:rFonts w:hint="eastAsia" w:ascii="黑体" w:hAnsi="黑体" w:eastAsia="黑体" w:cs="黑体"/>
          <w:b w:val="0"/>
          <w:bCs w:val="0"/>
          <w:color w:val="auto"/>
          <w:sz w:val="32"/>
          <w:szCs w:val="32"/>
          <w:lang w:val="en-US" w:eastAsia="zh-CN"/>
        </w:rPr>
      </w:pPr>
    </w:p>
    <w:p>
      <w:pPr>
        <w:shd w:val="clear" w:color="auto" w:fill="FFFFFF"/>
        <w:spacing w:line="640" w:lineRule="exact"/>
        <w:ind w:firstLine="632" w:firstLineChars="20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lang w:eastAsia="zh-CN"/>
        </w:rPr>
        <w:t>七、</w:t>
      </w:r>
      <w:r>
        <w:rPr>
          <w:rFonts w:hint="eastAsia" w:ascii="黑体" w:hAnsi="黑体" w:eastAsia="黑体" w:cs="黑体"/>
          <w:b w:val="0"/>
          <w:bCs w:val="0"/>
          <w:spacing w:val="-2"/>
          <w:sz w:val="32"/>
          <w:szCs w:val="32"/>
        </w:rPr>
        <w:t>改进措施和建议</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1、细化预算编制工作，认真做好预算的编制。进一步加强内设机构的预算管理意识，严格按照预算编制的相关制度和要求进行预算编制。</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4、对相关人员加强培训，特别是针对《预算法》、《行政事业单位会计制度》等学习培训，规范部门预算收支核算，切实提高部门预算收支管理水平。</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沿溪乡人民政府</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2022年06月22日</w:t>
      </w:r>
    </w:p>
    <w:p>
      <w:pPr>
        <w:ind w:firstLine="640" w:firstLineChars="200"/>
        <w:jc w:val="center"/>
        <w:rPr>
          <w:rFonts w:hint="eastAsia" w:cs="黑体" w:asciiTheme="minorEastAsia" w:hAnsiTheme="minorEastAsia"/>
          <w:b/>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7BD3F"/>
    <w:multiLevelType w:val="singleLevel"/>
    <w:tmpl w:val="8BA7BD3F"/>
    <w:lvl w:ilvl="0" w:tentative="0">
      <w:start w:val="1"/>
      <w:numFmt w:val="chineseCounting"/>
      <w:suff w:val="nothing"/>
      <w:lvlText w:val="（%1）"/>
      <w:lvlJc w:val="left"/>
      <w:pPr>
        <w:ind w:left="624" w:firstLine="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22640"/>
    <w:multiLevelType w:val="singleLevel"/>
    <w:tmpl w:val="40022640"/>
    <w:lvl w:ilvl="0" w:tentative="0">
      <w:start w:val="3"/>
      <w:numFmt w:val="chineseCounting"/>
      <w:suff w:val="nothing"/>
      <w:lvlText w:val="%1、"/>
      <w:lvlJc w:val="left"/>
      <w:rPr>
        <w:rFonts w:hint="eastAsia"/>
      </w:rPr>
    </w:lvl>
  </w:abstractNum>
  <w:abstractNum w:abstractNumId="3">
    <w:nsid w:val="6A003829"/>
    <w:multiLevelType w:val="singleLevel"/>
    <w:tmpl w:val="6A00382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C1B6022"/>
    <w:rsid w:val="0D9037C1"/>
    <w:rsid w:val="13E63029"/>
    <w:rsid w:val="252D2541"/>
    <w:rsid w:val="2A646FF0"/>
    <w:rsid w:val="2F2D7CD9"/>
    <w:rsid w:val="3D920983"/>
    <w:rsid w:val="49236D3B"/>
    <w:rsid w:val="4C1778CE"/>
    <w:rsid w:val="55703932"/>
    <w:rsid w:val="671D1135"/>
    <w:rsid w:val="73415836"/>
    <w:rsid w:val="78DF2B89"/>
    <w:rsid w:val="7A21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14776</Words>
  <Characters>19835</Characters>
  <Lines>69</Lines>
  <Paragraphs>19</Paragraphs>
  <TotalTime>1</TotalTime>
  <ScaleCrop>false</ScaleCrop>
  <LinksUpToDate>false</LinksUpToDate>
  <CharactersWithSpaces>21381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2022-09-07T07:44:58Z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7AB1C85D7E9142ED87611A898C73A376</vt:lpwstr>
  </property>
</Properties>
</file>