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北斗溪镇人民政府</w:t>
      </w:r>
      <w:r>
        <w:rPr>
          <w:rFonts w:hint="eastAsia" w:ascii="方正小标宋_GBK" w:hAnsi="方正小标宋_GBK" w:eastAsia="方正小标宋_GBK" w:cs="方正小标宋_GBK"/>
          <w:sz w:val="84"/>
          <w:szCs w:val="84"/>
        </w:rPr>
        <w:t>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北斗溪镇人民政府</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北斗溪镇人民政府</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1"/>
        </w:numPr>
        <w:ind w:firstLineChars="0"/>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部门职责</w:t>
      </w:r>
    </w:p>
    <w:p>
      <w:pPr>
        <w:widowControl/>
        <w:spacing w:line="60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widowControl/>
        <w:spacing w:line="60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（二）制定并组织实施村镇建设规划，部署重点工程建设，地方道路建设及公共设施，水利设施的管理，负责土地、林木、水等自然资源和生态环境的保护，做好护林防火工作。</w:t>
      </w:r>
    </w:p>
    <w:p>
      <w:pPr>
        <w:widowControl/>
        <w:spacing w:line="60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负责本行政区域内的民政、计划生育、文化教育、卫生、体育等社会公益事业的综合性工作，维护一切经济单位和个人的正当经济权益，取缔非法经济活动，调解和处理民事纠纷，打击刑事犯罪维护社会稳定。</w:t>
      </w:r>
    </w:p>
    <w:p>
      <w:pPr>
        <w:widowControl/>
        <w:spacing w:line="60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（四）按计划组织本级财政收入和地方税的征收，完成国家财政计划，不断培植税源，管好财政资金，增强财政实力。</w:t>
      </w:r>
    </w:p>
    <w:p>
      <w:pPr>
        <w:widowControl/>
        <w:spacing w:line="60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（五）抓好精神文明建设，丰富群众文化生活，提倡移风易俗，反对封建迷信，破除陈规陋习，树立社会主义新风尚。</w:t>
      </w:r>
    </w:p>
    <w:p>
      <w:pPr>
        <w:widowControl/>
        <w:spacing w:line="60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（六）完成上级政府交办的其它事项。</w:t>
      </w:r>
    </w:p>
    <w:p>
      <w:pPr>
        <w:widowControl/>
        <w:spacing w:line="600" w:lineRule="exact"/>
        <w:rPr>
          <w:rFonts w:ascii="仿宋_GB2312" w:eastAsia="仿宋_GB2312" w:hAnsiTheme="minorEastAsia"/>
          <w:color w:val="auto"/>
          <w:sz w:val="28"/>
          <w:szCs w:val="32"/>
        </w:rPr>
      </w:pPr>
      <w:r>
        <w:rPr>
          <w:rFonts w:hint="eastAsia" w:ascii="黑体" w:hAnsi="黑体" w:eastAsia="黑体" w:cs="黑体"/>
          <w:b w:val="0"/>
          <w:bCs/>
          <w:color w:val="auto"/>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内设机构设置。溆浦县北斗溪镇人民政府内设机构包括：党政办公室、政务服务中心、经济发展办公室（乡村振兴办公室、农业农村工作办公室）、农业综合服务中心、纪检监察办公室、自然资源和生态环境办公室、党建办公室、社会事务办公室（健康服务站、退役军人服务站）、社会事务综合服务中心（文化旅游和计划生育卫生）、社会治安和应急管理办公室、综合行政执法大队、高铁广场管理办公室。派驻机构包括：财政所、派出所、司法所、市场监督管理所、自然资源所、危改办。</w:t>
      </w:r>
    </w:p>
    <w:p>
      <w:pPr>
        <w:widowControl/>
        <w:spacing w:line="600" w:lineRule="exact"/>
        <w:ind w:firstLine="640" w:firstLineChars="200"/>
        <w:rPr>
          <w:rFonts w:ascii="仿宋_GB2312" w:eastAsia="仿宋_GB2312" w:hAnsiTheme="minorEastAsia"/>
          <w:color w:val="auto"/>
          <w:sz w:val="28"/>
          <w:szCs w:val="32"/>
        </w:rPr>
      </w:pPr>
      <w:r>
        <w:rPr>
          <w:rFonts w:hint="eastAsia" w:ascii="Times New Roman" w:hAnsi="Times New Roman" w:eastAsia="仿宋_GB2312" w:cs="仿宋_GB2312"/>
          <w:color w:val="auto"/>
          <w:sz w:val="32"/>
          <w:szCs w:val="32"/>
        </w:rPr>
        <w:t>（二）决算单位构成。溆浦县北斗溪镇人民政府202</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年部门决算汇总公开单位构成包括：溆浦县北斗溪镇人民政府本级。</w:t>
      </w: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pStyle w:val="9"/>
        <w:jc w:val="center"/>
        <w:rPr>
          <w:rFonts w:hint="eastAsia" w:ascii="方正小标宋_GBK" w:hAnsi="方正小标宋_GBK" w:eastAsia="方正小标宋_GBK" w:cs="方正小标宋_GBK"/>
          <w:color w:val="auto"/>
          <w:sz w:val="84"/>
          <w:szCs w:val="84"/>
        </w:rPr>
      </w:pPr>
    </w:p>
    <w:p>
      <w:pPr>
        <w:pStyle w:val="9"/>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第二部分</w:t>
      </w:r>
    </w:p>
    <w:p>
      <w:pPr>
        <w:pStyle w:val="9"/>
        <w:jc w:val="center"/>
        <w:rPr>
          <w:rFonts w:hint="eastAsia" w:ascii="方正小标宋_GBK" w:hAnsi="方正小标宋_GBK" w:eastAsia="方正小标宋_GBK" w:cs="方正小标宋_GBK"/>
          <w:color w:val="auto"/>
          <w:sz w:val="84"/>
          <w:szCs w:val="84"/>
        </w:rPr>
      </w:pPr>
    </w:p>
    <w:p>
      <w:pPr>
        <w:pStyle w:val="9"/>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部门决算表</w:t>
      </w:r>
    </w:p>
    <w:p>
      <w:pPr>
        <w:jc w:val="left"/>
        <w:rPr>
          <w:rFonts w:asciiTheme="minorEastAsia" w:hAnsiTheme="minorEastAsia"/>
          <w:color w:val="auto"/>
          <w:sz w:val="32"/>
          <w:szCs w:val="32"/>
        </w:rPr>
      </w:pPr>
    </w:p>
    <w:p>
      <w:pPr>
        <w:jc w:val="left"/>
        <w:rPr>
          <w:rFonts w:asciiTheme="minorEastAsia" w:hAnsiTheme="minorEastAsia"/>
          <w:color w:val="auto"/>
          <w:sz w:val="32"/>
          <w:szCs w:val="32"/>
        </w:rPr>
        <w:sectPr>
          <w:pgSz w:w="11906" w:h="16838"/>
          <w:pgMar w:top="720" w:right="720" w:bottom="720" w:left="720" w:header="851" w:footer="992" w:gutter="0"/>
          <w:cols w:space="425" w:num="1"/>
          <w:docGrid w:type="lines" w:linePitch="312" w:charSpace="0"/>
        </w:sect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71"/>
        <w:gridCol w:w="906"/>
        <w:gridCol w:w="1521"/>
        <w:gridCol w:w="4865"/>
        <w:gridCol w:w="906"/>
        <w:gridCol w:w="2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56"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5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5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部门：溆浦县北斗溪镇人民政府</w:t>
            </w:r>
          </w:p>
        </w:tc>
        <w:tc>
          <w:tcPr>
            <w:tcW w:w="2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5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566"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0"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0"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2,221.20</w:t>
            </w: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2,310.27</w:t>
            </w: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5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1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5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2,310.27</w:t>
            </w:r>
          </w:p>
        </w:tc>
        <w:tc>
          <w:tcPr>
            <w:tcW w:w="155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1"/>
        <w:gridCol w:w="534"/>
        <w:gridCol w:w="1474"/>
        <w:gridCol w:w="2788"/>
        <w:gridCol w:w="1021"/>
        <w:gridCol w:w="228"/>
        <w:gridCol w:w="41"/>
        <w:gridCol w:w="265"/>
        <w:gridCol w:w="943"/>
        <w:gridCol w:w="81"/>
        <w:gridCol w:w="141"/>
        <w:gridCol w:w="568"/>
        <w:gridCol w:w="584"/>
        <w:gridCol w:w="209"/>
        <w:gridCol w:w="112"/>
        <w:gridCol w:w="493"/>
        <w:gridCol w:w="190"/>
        <w:gridCol w:w="618"/>
        <w:gridCol w:w="12"/>
        <w:gridCol w:w="169"/>
        <w:gridCol w:w="1636"/>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2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5"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8" w:type="pct"/>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0"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0"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3"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4"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2"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6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部门：溆浦县北斗溪镇人民政府</w:t>
            </w:r>
          </w:p>
        </w:tc>
        <w:tc>
          <w:tcPr>
            <w:tcW w:w="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8" w:type="pct"/>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0"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0"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3"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4"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2"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5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00"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400"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253"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254"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255"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255"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22"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48" w:type="pct"/>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00"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0"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3"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5"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5"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2"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8" w:type="pct"/>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00"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0"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3"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5"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5"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2"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8" w:type="pct"/>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00"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0"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3"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4"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5"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5"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2"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56" w:type="pct"/>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00"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0"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3"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4"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5"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5"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2"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56" w:type="pct"/>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2,310.27</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2,310.27</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778.49</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778.49</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748.31</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748.31</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736.09</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736.09</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19.59</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19.59</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税收事务</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37.92</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37.92</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104.63</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104.63</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24.96</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24.96</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40.47</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40.47</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33.57</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33.57</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33.57</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33.57</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84.34</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84.34</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1,058.12</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1,058.12</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农村人畜饮水</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701.96</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701.96</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350.08</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350.08</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140.97</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140.97</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333.17</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333.17</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330.17</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330.17</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2130707</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农村综合改革示范试点补助</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27.34</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27.34</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2296011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用于巩固脱贫衔接乡村振兴的彩票公益金支出</w:t>
            </w:r>
          </w:p>
        </w:tc>
        <w:tc>
          <w:tcPr>
            <w:tcW w:w="4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40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25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4"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55"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2"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90" w:hRule="atLeast"/>
        </w:trPr>
        <w:tc>
          <w:tcPr>
            <w:tcW w:w="4998" w:type="pct"/>
            <w:gridSpan w:val="2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255" w:hRule="atLeast"/>
        </w:trPr>
        <w:tc>
          <w:tcPr>
            <w:tcW w:w="965"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8" w:type="pct"/>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3"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3"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4"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1"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2"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6"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255" w:hRule="atLeast"/>
        </w:trPr>
        <w:tc>
          <w:tcPr>
            <w:tcW w:w="96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部门：溆浦县北斗溪镇人民政府</w:t>
            </w:r>
          </w:p>
        </w:tc>
        <w:tc>
          <w:tcPr>
            <w:tcW w:w="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8" w:type="pct"/>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3"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3"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4"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1"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2"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6"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265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13"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13"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14"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61"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62"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76"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48" w:type="pct"/>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13"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3"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4"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1"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6"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8" w:type="pct"/>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3"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3"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4"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1"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6"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8" w:type="pct"/>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3"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3"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4"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1"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2"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6" w:type="pct"/>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2656" w:type="pct"/>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13"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3"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1"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2"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6" w:type="pct"/>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2656" w:type="pct"/>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2,310.27</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1,301.67</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1,008.60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778.49</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761.09</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748.31</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740.97</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736.09</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736.09</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19.59</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税收事务</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37.92</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37.92</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104.63</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104.63</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24.96</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24.96</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40.47</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40.47</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33.57</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33.57</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33.57</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33.57</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84.34</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84.34</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1,058.12</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346.79</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711.33</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农村人畜饮水</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701.96</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701.96</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350.08</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350.08</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140.97</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140.97</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333.17</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330.17</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330.17</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330.17</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2130707</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农村综合改革示范试点补助</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27.34</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2296011</w:t>
            </w:r>
          </w:p>
        </w:tc>
        <w:tc>
          <w:tcPr>
            <w:tcW w:w="1548"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用于巩固脱贫衔接乡村振兴的彩票公益金支出</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41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26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62"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6"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8" w:hRule="atLeast"/>
        </w:trPr>
        <w:tc>
          <w:tcPr>
            <w:tcW w:w="4998" w:type="pct"/>
            <w:gridSpan w:val="2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2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0" w:type="pct"/>
            <w:gridSpan w:val="4"/>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20"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3"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2" w:type="pct"/>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83" w:type="pct"/>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0" w:type="pct"/>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部门：溆浦县北斗溪镇人民政府</w:t>
            </w: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20"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3"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2" w:type="pct"/>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83" w:type="pct"/>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6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36" w:type="pct"/>
            <w:gridSpan w:val="19"/>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20" w:type="pct"/>
            <w:gridSpan w:val="4"/>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7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20"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1" w:type="pct"/>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73" w:type="pct"/>
            <w:gridSpan w:val="3"/>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72" w:type="pct"/>
            <w:gridSpan w:val="4"/>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16" w:type="pct"/>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83" w:type="pct"/>
            <w:gridSpan w:val="4"/>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20" w:type="pct"/>
            <w:gridSpan w:val="4"/>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0"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1" w:type="pct"/>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3" w:type="pct"/>
            <w:gridSpan w:val="3"/>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2" w:type="pct"/>
            <w:gridSpan w:val="4"/>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 w:type="pct"/>
            <w:gridSpan w:val="3"/>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pct"/>
            <w:gridSpan w:val="4"/>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1" w:type="pct"/>
            <w:gridSpan w:val="3"/>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2,221.20</w:t>
            </w: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778.49</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778.49</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104.63</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104.63</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40.47</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40.47</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84.34</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84.34</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1,058.12</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1,058.12</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27.34</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27.34</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2,310.27</w:t>
            </w: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2,310.27</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2,221.20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0" w:type="pct"/>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73" w:type="pct"/>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2" w:type="pct"/>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3" w:type="pct"/>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0" w:type="pct"/>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73" w:type="pct"/>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2" w:type="pct"/>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3" w:type="pct"/>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0" w:type="pct"/>
            <w:gridSpan w:val="2"/>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73" w:type="pct"/>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72" w:type="pct"/>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83" w:type="pct"/>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2,310.27</w:t>
            </w:r>
          </w:p>
        </w:tc>
        <w:tc>
          <w:tcPr>
            <w:tcW w:w="122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73"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2,310.27</w:t>
            </w:r>
          </w:p>
        </w:tc>
        <w:tc>
          <w:tcPr>
            <w:tcW w:w="472"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2,221.20</w:t>
            </w:r>
          </w:p>
        </w:tc>
        <w:tc>
          <w:tcPr>
            <w:tcW w:w="416"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583" w:type="pct"/>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6" w:type="pct"/>
            <w:gridSpan w:val="2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83"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widowControl/>
        <w:jc w:val="left"/>
        <w:rPr>
          <w:rFonts w:ascii="Times New Roman" w:hAnsi="Times New Roman" w:eastAsia="黑体" w:cs="Times New Roman"/>
          <w:bCs/>
          <w:kern w:val="0"/>
          <w:sz w:val="32"/>
          <w:szCs w:val="32"/>
        </w:rPr>
      </w:pPr>
    </w:p>
    <w:p>
      <w:pPr>
        <w:widowControl/>
        <w:rPr>
          <w:rFonts w:ascii="Times New Roman" w:hAnsi="Times New Roman" w:eastAsia="方正小标宋_GBK" w:cs="Times New Roman"/>
          <w:color w:val="000000"/>
          <w:kern w:val="0"/>
          <w:sz w:val="36"/>
          <w:szCs w:val="36"/>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kern w:val="0"/>
          <w:sz w:val="36"/>
          <w:szCs w:val="36"/>
        </w:rPr>
      </w:pPr>
      <w:bookmarkStart w:id="0" w:name="RANGE!A1:I22"/>
      <w:bookmarkEnd w:id="0"/>
      <w:bookmarkStart w:id="1" w:name="RANGE!A1:F16"/>
    </w:p>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57"/>
        <w:gridCol w:w="290"/>
        <w:gridCol w:w="290"/>
        <w:gridCol w:w="6058"/>
        <w:gridCol w:w="1446"/>
        <w:gridCol w:w="1446"/>
        <w:gridCol w:w="2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67"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9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3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6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部门：溆浦县北斗溪镇人民政府</w:t>
            </w:r>
          </w:p>
        </w:tc>
        <w:tc>
          <w:tcPr>
            <w:tcW w:w="9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3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06"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39"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6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6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8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453"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9"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39"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93"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93"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2,221.20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1,301.67</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778.49</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761.09</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748.31</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740.97</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736.09</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736.09</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19.59</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税收事务</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2010701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37.92</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2050802</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104.63</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104.63</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24.96</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24.96</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40.47</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40.47</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33.57</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33.57</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33.57</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33.57</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84.34</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1,058.12</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346.79</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农村人畜饮水</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701.96</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350.08</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140.97</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333.17</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330.17</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330.17</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330.17</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2130707</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农村综合改革示范试点补助</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27.34</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2240703</w:t>
            </w:r>
          </w:p>
        </w:tc>
        <w:tc>
          <w:tcPr>
            <w:tcW w:w="19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自然灾害救灾补助</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jc w:val="both"/>
        <w:rPr>
          <w:rFonts w:ascii="Times New Roman" w:hAnsi="Times New Roman" w:eastAsia="方正小标宋_GBK" w:cs="Times New Roman"/>
          <w:kern w:val="0"/>
          <w:sz w:val="36"/>
          <w:szCs w:val="36"/>
        </w:rPr>
      </w:pPr>
    </w:p>
    <w:tbl>
      <w:tblPr>
        <w:tblStyle w:val="5"/>
        <w:tblW w:w="157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0"/>
        <w:gridCol w:w="3237"/>
        <w:gridCol w:w="1075"/>
        <w:gridCol w:w="938"/>
        <w:gridCol w:w="2193"/>
        <w:gridCol w:w="1298"/>
        <w:gridCol w:w="1211"/>
        <w:gridCol w:w="2539"/>
        <w:gridCol w:w="2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03"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2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23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3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9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3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157"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部门：溆浦县北斗溪镇人民政府</w:t>
            </w:r>
          </w:p>
        </w:tc>
        <w:tc>
          <w:tcPr>
            <w:tcW w:w="10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3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9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3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92"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2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0471"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2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3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1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21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53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9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3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9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761.35</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190.57</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262.14</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28.29</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218.93</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118.06</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62.42</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33.57</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33.08</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344.99</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330.17</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43.30</w:t>
            </w:r>
          </w:p>
        </w:tc>
        <w:tc>
          <w:tcPr>
            <w:tcW w:w="121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5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53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3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1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2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121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53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29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5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1,106.34</w:t>
            </w:r>
          </w:p>
        </w:tc>
        <w:tc>
          <w:tcPr>
            <w:tcW w:w="8179"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229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703"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38"/>
        <w:gridCol w:w="228"/>
        <w:gridCol w:w="234"/>
        <w:gridCol w:w="5031"/>
        <w:gridCol w:w="965"/>
        <w:gridCol w:w="1096"/>
        <w:gridCol w:w="1096"/>
        <w:gridCol w:w="965"/>
        <w:gridCol w:w="1102"/>
        <w:gridCol w:w="1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05"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0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部门：溆浦县北斗溪镇人民政府</w:t>
            </w:r>
          </w:p>
        </w:tc>
        <w:tc>
          <w:tcPr>
            <w:tcW w:w="7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6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09"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351"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013"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56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3"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11"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0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0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5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6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3"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1"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3"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1"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64"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64"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89.07</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89.07</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89.07</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6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6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2296011</w:t>
            </w:r>
          </w:p>
        </w:tc>
        <w:tc>
          <w:tcPr>
            <w:tcW w:w="16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用于巩固脱贫衔接乡村振兴的彩票公益金支出</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1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1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1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1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1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both"/>
        <w:rPr>
          <w:rFonts w:hint="eastAsia" w:ascii="Times New Roman" w:hAnsi="Times New Roman" w:eastAsia="方正小标宋_GBK" w:cs="Times New Roman"/>
          <w:color w:val="000000"/>
          <w:kern w:val="0"/>
          <w:sz w:val="36"/>
          <w:szCs w:val="36"/>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1263"/>
        <w:gridCol w:w="1054"/>
        <w:gridCol w:w="1054"/>
        <w:gridCol w:w="1060"/>
        <w:gridCol w:w="1063"/>
        <w:gridCol w:w="1054"/>
        <w:gridCol w:w="1263"/>
        <w:gridCol w:w="1054"/>
        <w:gridCol w:w="1055"/>
        <w:gridCol w:w="1061"/>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9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9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部门：溆浦县北斗溪镇人民政府</w:t>
            </w: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294"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49"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34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4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49"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7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9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34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7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年度收、支总计2310.27万元。与上年相比，减少30.74万元，减少</w:t>
      </w:r>
      <w:r>
        <w:rPr>
          <w:rFonts w:hint="eastAsia" w:ascii="Times New Roman" w:hAnsi="Times New Roman" w:eastAsia="仿宋_GB2312"/>
          <w:sz w:val="32"/>
          <w:szCs w:val="32"/>
          <w:lang w:val="en-US" w:eastAsia="zh-CN"/>
        </w:rPr>
        <w:t>1.31</w:t>
      </w:r>
      <w:r>
        <w:rPr>
          <w:rFonts w:hint="eastAsia" w:ascii="Times New Roman" w:hAnsi="Times New Roman" w:eastAsia="仿宋_GB2312"/>
          <w:sz w:val="32"/>
          <w:szCs w:val="32"/>
        </w:rPr>
        <w:t>%，主要是因为自然资源海洋气象等支出</w:t>
      </w:r>
      <w:r>
        <w:rPr>
          <w:rFonts w:hint="eastAsia" w:ascii="Times New Roman" w:hAnsi="Times New Roman" w:eastAsia="仿宋_GB2312"/>
          <w:sz w:val="32"/>
          <w:szCs w:val="32"/>
          <w:lang w:eastAsia="zh-CN"/>
        </w:rPr>
        <w:t>减少。</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年度收入合计2310.27万元，其中：财政拨款收入2310.27万元，占</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0%；上级补助收入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年度支出合计2310.27万元，其中：基本支出1301.67万元，占56.34%；项目支出1008.6万元，占43.66%；上缴上级支出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年度财政拨款收、支总计2310.27万元，与上年相比，减少30.74万元，减少</w:t>
      </w:r>
      <w:r>
        <w:rPr>
          <w:rFonts w:hint="eastAsia" w:ascii="Times New Roman" w:hAnsi="Times New Roman" w:eastAsia="仿宋_GB2312"/>
          <w:sz w:val="32"/>
          <w:szCs w:val="32"/>
          <w:lang w:val="en-US" w:eastAsia="zh-CN"/>
        </w:rPr>
        <w:t>1.31</w:t>
      </w:r>
      <w:r>
        <w:rPr>
          <w:rFonts w:hint="eastAsia" w:ascii="Times New Roman" w:hAnsi="Times New Roman" w:eastAsia="仿宋_GB2312"/>
          <w:sz w:val="32"/>
          <w:szCs w:val="32"/>
        </w:rPr>
        <w:t>%，主要是因为自然资源海洋气象等支出</w:t>
      </w:r>
      <w:r>
        <w:rPr>
          <w:rFonts w:hint="eastAsia" w:ascii="Times New Roman" w:hAnsi="Times New Roman" w:eastAsia="仿宋_GB2312"/>
          <w:sz w:val="32"/>
          <w:szCs w:val="32"/>
          <w:lang w:eastAsia="zh-CN"/>
        </w:rPr>
        <w:t>减少。</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年度财政拨款支出2221.2万元，占本年支出合计的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%，与上年相比，财政拨款支出减少113.41万元，减少4.86%，主要是因为自然资源海洋气象等支出</w:t>
      </w:r>
      <w:r>
        <w:rPr>
          <w:rFonts w:hint="eastAsia" w:ascii="Times New Roman" w:hAnsi="Times New Roman" w:eastAsia="仿宋_GB2312"/>
          <w:sz w:val="32"/>
          <w:szCs w:val="32"/>
          <w:lang w:eastAsia="zh-CN"/>
        </w:rPr>
        <w:t>减少。</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年度财政拨款支出2221.2万元，主要用于以下方面：一般公共服务（类）支出778.49万元，占35.05%；公共安全支出（类）支出40.16万元，占1.81%</w:t>
      </w:r>
      <w:r>
        <w:rPr>
          <w:rFonts w:hint="eastAsia" w:ascii="Times New Roman" w:hAnsi="Times New Roman" w:eastAsia="仿宋_GB2312"/>
          <w:sz w:val="32"/>
          <w:szCs w:val="32"/>
          <w:lang w:eastAsia="zh-CN"/>
        </w:rPr>
        <w:t>；教育支出</w:t>
      </w:r>
      <w:r>
        <w:rPr>
          <w:rFonts w:hint="eastAsia" w:ascii="Times New Roman" w:hAnsi="Times New Roman" w:eastAsia="仿宋_GB2312"/>
          <w:sz w:val="32"/>
          <w:szCs w:val="32"/>
        </w:rPr>
        <w:t>（类）支出10万元，占0.45%</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rPr>
        <w:t>（类）支出3.83万元，占0.17%</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（类）支出104.63万元，占4.71%</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（类）支出40.47万元，占1.82%</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（类）支出84.34万元，占3.80%</w:t>
      </w: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（类）支出1058.12万元，占47.64%</w:t>
      </w:r>
      <w:r>
        <w:rPr>
          <w:rFonts w:hint="eastAsia" w:ascii="Times New Roman" w:hAnsi="Times New Roman" w:eastAsia="仿宋_GB2312"/>
          <w:sz w:val="32"/>
          <w:szCs w:val="32"/>
          <w:lang w:eastAsia="zh-CN"/>
        </w:rPr>
        <w:t>；交通运输支出</w:t>
      </w:r>
      <w:r>
        <w:rPr>
          <w:rFonts w:hint="eastAsia" w:ascii="Times New Roman" w:hAnsi="Times New Roman" w:eastAsia="仿宋_GB2312"/>
          <w:sz w:val="32"/>
          <w:szCs w:val="32"/>
        </w:rPr>
        <w:t>（类）支出44.3万元，占1.99%</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rPr>
        <w:t>（类）支出29.52万元，占1.33%</w:t>
      </w:r>
      <w:r>
        <w:rPr>
          <w:rFonts w:hint="eastAsia" w:ascii="Times New Roman" w:hAnsi="Times New Roman" w:eastAsia="仿宋_GB2312"/>
          <w:sz w:val="32"/>
          <w:szCs w:val="32"/>
          <w:lang w:eastAsia="zh-CN"/>
        </w:rPr>
        <w:t>；灾害防治及应急管理支出</w:t>
      </w:r>
      <w:r>
        <w:rPr>
          <w:rFonts w:hint="eastAsia" w:ascii="Times New Roman" w:hAnsi="Times New Roman" w:eastAsia="仿宋_GB2312"/>
          <w:sz w:val="32"/>
          <w:szCs w:val="32"/>
        </w:rPr>
        <w:t>（类）支出27.34万元，占1.23%</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年度财政拨款支出年初预算数为2221.2万元，支出决算数为2221.2万元，完成年初预算的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1、一般公共服务（类）人大事务（款）一般行政管理事务（项）。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年初预算为1.81万元，支出决算为1.81万元，完成年初预算的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2、一般公共服务（类）政府办公厅（室）及相关机构事务（款）行政运行（项）。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年初预算为736.09万元，支出决算为736.09万元，完成年初预算的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一般公共服务（类）政府办公厅（室）及相关机构事务（款）一般行政管理事务（项）。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年初预算为7.33万元，支出决算为7.33万元，完成年初预算的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一般公共服务（类）政府办公厅（室）及相关机构事务（款）信访事务（项）。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一般公共服务（类）政府办公厅（室）及相关机构事务（款）其他政府办公厅（室）及相关机构事务支出（项）。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年初预算为3.88万元，支出决算为3.88万元，完成年初预算的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一般公共服务（类）统计信息事务（款）专项普查活动（项）。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一般公共服务（类）财政事务（款）行政运行（项）。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年初预算为13.33万元，支出决算为13.33万元，完成年初预算的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一般公共服务（类）财政事务（款）一般行政管理事务（项）。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年初预算为6.26万元，支出决算为6.26万元，完成年初预算的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一般公共服务（类）税收事务（款）行政运行（项）。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一般公共服务（类）纪检监察事务（款）行政运行（项）。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0.79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0.79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公共安全支出（类）公安（款）一般行政管理事务（项）。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37.92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37.92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公共安全支出（类）公安（款）其他公安支出（项）。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教育支出（类）进修及培训（款）干部教育（项）。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文化旅游体育与传媒支出（类）文化和旅游（款）其他文化和旅游支出（项）。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1.83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文化旅游体育与传媒支出（类）其他文化旅游体育与传媒支出（款）其他文化旅游体育与传媒支出（项）。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社会保障和就业支出（类）行政事业单位养老支出（款）机关事业单位基本养老保险缴费支出（项）。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62.42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62.42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社会保障和就业支出（类）抚恤（款）死亡抚恤（项）。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7.13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社会保障和就业支出（类）抚恤（款）其他优抚支出（项）。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17.83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17.83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19、社会保障和就业支出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社会福利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老年福利</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特困人员救助供养</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农村特困人员救助供养支出</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21、社会保障和就业支出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退役军人管理事务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其他退役军人事务管理支出</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22、社会保障和就业支出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其他社会保障和就业支出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其他社会保障和就业支出</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7.52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23、卫生健康支出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公共卫生</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突发公共卫生事件应急处理</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4.76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公共卫生</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其他公共卫生支出</w:t>
      </w:r>
      <w:r>
        <w:rPr>
          <w:rFonts w:hint="eastAsia" w:ascii="Times New Roman" w:hAnsi="Times New Roman" w:eastAsia="仿宋_GB2312"/>
          <w:sz w:val="32"/>
          <w:szCs w:val="32"/>
        </w:rPr>
        <w:t>（项）。</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25、卫生健康支出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行政单位医疗</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33.57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33.57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26、城乡社区支出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城乡社区公共设施</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小城镇基础设施建设</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27、城乡社区支出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城乡社区环境卫生</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城乡社区环境卫生</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63.34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63.34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28、农林水支出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农村社会事业</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29、农林水支出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其他农业农村支出</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16.62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16.62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30、农林水支出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水利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农村人畜饮水</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31、农林水支出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巩固脱贫衔接乡村振兴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农村基础设施建设</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210.9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210.9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32、农林水支出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巩固脱贫衔接乡村振兴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生产发展</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350.08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350.08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33、农林水支出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巩固脱贫衔接乡村振兴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其他巩固脱贫衔接乡村振兴支出</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140.97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140.97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34、农林水支出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农村综合改革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对村民委员会和村党支部的补助</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330.17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330.17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35、农林水支出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农村综合改革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农村综合改革示范试点补助</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36、交通运输支出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公路水路运输</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其他公路水路运输支出</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44.3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44.3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37、住房保障支出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住房公积金</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29.52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38、灾害防治及应急管理支出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应急管理事务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其他应急管理支出</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39、灾害防治及应急管理支出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消防救援事务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消防应急救援</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40、灾害防治及应急管理支出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自然灾害防治</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地质灾害防治</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41、灾害防治及应急管理支出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自然灾害救灾及恢复重建支出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自然灾害救灾补助</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1301.67</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1106.34万元，占基本支出的84.99%,主要包括</w:t>
      </w:r>
      <w:r>
        <w:rPr>
          <w:rFonts w:hint="eastAsia" w:ascii="Times New Roman" w:hAnsi="Times New Roman" w:eastAsia="仿宋_GB2312"/>
          <w:sz w:val="32"/>
          <w:szCs w:val="32"/>
          <w:lang w:eastAsia="zh-CN"/>
        </w:rPr>
        <w:t>基本工资262.14万元、津贴补贴218.93万元、奖金118.06万元、伙食补助费6.63万元、绩效工资22.03万元、机关事业单位基本养老保险缴费62.42万元、职工基本医疗保险缴费33.57万元、其他社会保障缴费2.87万元、住房公积金29.52万元、其他工资福利支出5.18万元、对个人和家庭的补助344.99万元、抚恤金7.1</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万元、生活补助330.17万元、医疗费补助1万元、奖励金2.14万元、其他对个人和家庭的补助4.55万元。</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195.33万元，占基本支出的15.01%，主要包括</w:t>
      </w:r>
      <w:r>
        <w:rPr>
          <w:rFonts w:hint="eastAsia" w:ascii="Times New Roman" w:hAnsi="Times New Roman" w:eastAsia="仿宋_GB2312"/>
          <w:sz w:val="32"/>
          <w:szCs w:val="32"/>
          <w:lang w:eastAsia="zh-CN"/>
        </w:rPr>
        <w:t>办公费28.29万元、印刷费7.58万元、电费8.96万元、取暖费0.35万元、差旅费33.08万元、维修（护）费6.18万元、会议费1.6万元、培训费10万元、公务接待费1.57万元、劳务费3.85万元、工会经费3.5万元、公务用车运行维护费3.79万元、其他交通费用43.3万元、其他商品和服务支出38.52万元、专用设备购置4.76万元。</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“三公”经费财政拨款支出预算为12.5万元，支出决算为5.36万元，完成预算的</w:t>
      </w:r>
      <w:r>
        <w:rPr>
          <w:rFonts w:hint="eastAsia" w:ascii="Times New Roman" w:hAnsi="Times New Roman" w:eastAsia="仿宋_GB2312"/>
          <w:sz w:val="32"/>
          <w:szCs w:val="32"/>
          <w:lang w:val="en-US" w:eastAsia="zh-CN"/>
        </w:rPr>
        <w:t>42.88</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FF0000"/>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公务接待费支出预算为5万元，支出决算为1.57万元，完成预算</w:t>
      </w:r>
      <w:r>
        <w:rPr>
          <w:rFonts w:hint="eastAsia" w:ascii="Times New Roman" w:hAnsi="Times New Roman" w:eastAsia="仿宋_GB2312"/>
          <w:b w:val="0"/>
          <w:bCs w:val="0"/>
          <w:color w:val="auto"/>
          <w:sz w:val="32"/>
          <w:szCs w:val="32"/>
          <w:lang w:eastAsia="zh-CN"/>
        </w:rPr>
        <w:t>的</w:t>
      </w:r>
      <w:r>
        <w:rPr>
          <w:rFonts w:hint="eastAsia" w:ascii="Times New Roman" w:hAnsi="Times New Roman" w:eastAsia="仿宋_GB2312"/>
          <w:b w:val="0"/>
          <w:bCs w:val="0"/>
          <w:color w:val="auto"/>
          <w:sz w:val="32"/>
          <w:szCs w:val="32"/>
          <w:lang w:val="en-US" w:eastAsia="zh-CN"/>
        </w:rPr>
        <w:t>31.4</w:t>
      </w:r>
      <w:r>
        <w:rPr>
          <w:rFonts w:hint="eastAsia" w:ascii="Times New Roman" w:hAnsi="Times New Roman" w:eastAsia="仿宋_GB2312"/>
          <w:b w:val="0"/>
          <w:bCs w:val="0"/>
          <w:color w:val="auto"/>
          <w:sz w:val="32"/>
          <w:szCs w:val="32"/>
        </w:rPr>
        <w:t>%，决算数小于预算数的主要原因是厉行节约，与上年相比增加</w:t>
      </w:r>
      <w:r>
        <w:rPr>
          <w:rFonts w:hint="eastAsia" w:ascii="Times New Roman" w:hAnsi="Times New Roman" w:eastAsia="仿宋_GB2312"/>
          <w:b w:val="0"/>
          <w:bCs w:val="0"/>
          <w:color w:val="auto"/>
          <w:sz w:val="32"/>
          <w:szCs w:val="32"/>
          <w:lang w:val="en-US" w:eastAsia="zh-CN"/>
        </w:rPr>
        <w:t>0.18</w:t>
      </w:r>
      <w:r>
        <w:rPr>
          <w:rFonts w:hint="eastAsia" w:ascii="Times New Roman" w:hAnsi="Times New Roman" w:eastAsia="仿宋_GB2312"/>
          <w:b w:val="0"/>
          <w:bCs w:val="0"/>
          <w:color w:val="auto"/>
          <w:sz w:val="32"/>
          <w:szCs w:val="32"/>
        </w:rPr>
        <w:t>万元，增长</w:t>
      </w:r>
      <w:r>
        <w:rPr>
          <w:rFonts w:hint="eastAsia" w:ascii="Times New Roman" w:hAnsi="Times New Roman" w:eastAsia="仿宋_GB2312"/>
          <w:b w:val="0"/>
          <w:bCs w:val="0"/>
          <w:color w:val="auto"/>
          <w:sz w:val="32"/>
          <w:szCs w:val="32"/>
          <w:lang w:val="en-US" w:eastAsia="zh-CN"/>
        </w:rPr>
        <w:t>12.95</w:t>
      </w:r>
      <w:r>
        <w:rPr>
          <w:rFonts w:hint="eastAsia" w:ascii="Times New Roman" w:hAnsi="Times New Roman" w:eastAsia="仿宋_GB2312"/>
          <w:b w:val="0"/>
          <w:bCs w:val="0"/>
          <w:color w:val="auto"/>
          <w:sz w:val="32"/>
          <w:szCs w:val="32"/>
        </w:rPr>
        <w:t>%,增长的主要原因是</w:t>
      </w:r>
      <w:r>
        <w:rPr>
          <w:rFonts w:hint="eastAsia" w:ascii="Times New Roman" w:hAnsi="Times New Roman" w:eastAsia="仿宋_GB2312"/>
          <w:b w:val="0"/>
          <w:bCs w:val="0"/>
          <w:color w:val="auto"/>
          <w:sz w:val="32"/>
          <w:szCs w:val="32"/>
          <w:lang w:eastAsia="zh-CN"/>
        </w:rPr>
        <w:t>工作需要，本年公务接待费用有所增加</w:t>
      </w:r>
      <w:r>
        <w:rPr>
          <w:rFonts w:hint="eastAsia" w:ascii="Times New Roman" w:hAnsi="Times New Roman" w:eastAsia="仿宋_GB2312"/>
          <w:b w:val="0"/>
          <w:bCs w:val="0"/>
          <w:color w:val="auto"/>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b w:val="0"/>
          <w:bCs w:val="0"/>
          <w:color w:val="auto"/>
          <w:sz w:val="32"/>
          <w:szCs w:val="32"/>
          <w:lang w:eastAsia="zh-CN"/>
        </w:rPr>
      </w:pPr>
      <w:r>
        <w:rPr>
          <w:rFonts w:hint="eastAsia" w:ascii="Times New Roman" w:hAnsi="Times New Roman" w:eastAsia="仿宋_GB2312"/>
          <w:b w:val="0"/>
          <w:bCs w:val="0"/>
          <w:color w:val="auto"/>
          <w:sz w:val="32"/>
          <w:szCs w:val="32"/>
        </w:rPr>
        <w:t>公务用车购置费支出预算为</w:t>
      </w:r>
      <w:r>
        <w:rPr>
          <w:rFonts w:hint="eastAsia" w:ascii="Times New Roman" w:hAnsi="Times New Roman" w:eastAsia="仿宋_GB2312"/>
          <w:b w:val="0"/>
          <w:bCs w:val="0"/>
          <w:color w:val="auto"/>
          <w:sz w:val="32"/>
          <w:szCs w:val="32"/>
          <w:lang w:val="en-US" w:eastAsia="zh-CN"/>
        </w:rPr>
        <w:t>0</w:t>
      </w:r>
      <w:r>
        <w:rPr>
          <w:rFonts w:hint="eastAsia" w:ascii="Times New Roman" w:hAnsi="Times New Roman" w:eastAsia="仿宋_GB2312"/>
          <w:b w:val="0"/>
          <w:bCs w:val="0"/>
          <w:color w:val="auto"/>
          <w:sz w:val="32"/>
          <w:szCs w:val="32"/>
        </w:rPr>
        <w:t>万元，支出决算为</w:t>
      </w:r>
      <w:r>
        <w:rPr>
          <w:rFonts w:hint="eastAsia" w:ascii="Times New Roman" w:hAnsi="Times New Roman" w:eastAsia="仿宋_GB2312"/>
          <w:b w:val="0"/>
          <w:bCs w:val="0"/>
          <w:color w:val="auto"/>
          <w:sz w:val="32"/>
          <w:szCs w:val="32"/>
          <w:lang w:val="en-US" w:eastAsia="zh-CN"/>
        </w:rPr>
        <w:t>0</w:t>
      </w:r>
      <w:r>
        <w:rPr>
          <w:rFonts w:hint="eastAsia" w:ascii="Times New Roman" w:hAnsi="Times New Roman" w:eastAsia="仿宋_GB2312"/>
          <w:b w:val="0"/>
          <w:bCs w:val="0"/>
          <w:color w:val="auto"/>
          <w:sz w:val="32"/>
          <w:szCs w:val="32"/>
        </w:rPr>
        <w:t>万元，完成预算的</w:t>
      </w:r>
      <w:r>
        <w:rPr>
          <w:rFonts w:hint="eastAsia" w:ascii="Times New Roman" w:hAnsi="Times New Roman" w:eastAsia="仿宋_GB2312"/>
          <w:b w:val="0"/>
          <w:bCs w:val="0"/>
          <w:color w:val="auto"/>
          <w:sz w:val="32"/>
          <w:szCs w:val="32"/>
          <w:lang w:val="en-US" w:eastAsia="zh-CN"/>
        </w:rPr>
        <w:t>0</w:t>
      </w:r>
      <w:r>
        <w:rPr>
          <w:rFonts w:hint="eastAsia" w:ascii="Times New Roman" w:hAnsi="Times New Roman" w:eastAsia="仿宋_GB2312"/>
          <w:b w:val="0"/>
          <w:bCs w:val="0"/>
          <w:color w:val="auto"/>
          <w:sz w:val="32"/>
          <w:szCs w:val="32"/>
        </w:rPr>
        <w:t>%，决算数</w:t>
      </w:r>
      <w:r>
        <w:rPr>
          <w:rFonts w:hint="eastAsia" w:ascii="Times New Roman" w:hAnsi="Times New Roman" w:eastAsia="仿宋_GB2312"/>
          <w:b w:val="0"/>
          <w:bCs w:val="0"/>
          <w:color w:val="auto"/>
          <w:sz w:val="32"/>
          <w:szCs w:val="32"/>
          <w:lang w:eastAsia="zh-CN"/>
        </w:rPr>
        <w:t>等于</w:t>
      </w:r>
      <w:r>
        <w:rPr>
          <w:rFonts w:hint="eastAsia" w:ascii="Times New Roman" w:hAnsi="Times New Roman" w:eastAsia="仿宋_GB2312"/>
          <w:b w:val="0"/>
          <w:bCs w:val="0"/>
          <w:color w:val="auto"/>
          <w:sz w:val="32"/>
          <w:szCs w:val="32"/>
        </w:rPr>
        <w:t>预算数，与上年相比减少（增加）</w:t>
      </w:r>
      <w:r>
        <w:rPr>
          <w:rFonts w:hint="eastAsia" w:ascii="Times New Roman" w:hAnsi="Times New Roman" w:eastAsia="仿宋_GB2312"/>
          <w:b w:val="0"/>
          <w:bCs w:val="0"/>
          <w:color w:val="auto"/>
          <w:sz w:val="32"/>
          <w:szCs w:val="32"/>
          <w:lang w:val="en-US" w:eastAsia="zh-CN"/>
        </w:rPr>
        <w:t>0</w:t>
      </w:r>
      <w:r>
        <w:rPr>
          <w:rFonts w:hint="eastAsia" w:ascii="Times New Roman" w:hAnsi="Times New Roman" w:eastAsia="仿宋_GB2312"/>
          <w:b w:val="0"/>
          <w:bCs w:val="0"/>
          <w:color w:val="auto"/>
          <w:sz w:val="32"/>
          <w:szCs w:val="32"/>
        </w:rPr>
        <w:t>万元，减少（增长）</w:t>
      </w:r>
      <w:r>
        <w:rPr>
          <w:rFonts w:hint="eastAsia" w:ascii="Times New Roman" w:hAnsi="Times New Roman" w:eastAsia="仿宋_GB2312"/>
          <w:b w:val="0"/>
          <w:bCs w:val="0"/>
          <w:color w:val="auto"/>
          <w:sz w:val="32"/>
          <w:szCs w:val="32"/>
          <w:lang w:val="en-US" w:eastAsia="zh-CN"/>
        </w:rPr>
        <w:t>0</w:t>
      </w:r>
      <w:r>
        <w:rPr>
          <w:rFonts w:hint="eastAsia"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b w:val="0"/>
          <w:bCs w:val="0"/>
          <w:color w:val="auto"/>
          <w:sz w:val="32"/>
          <w:szCs w:val="32"/>
        </w:rPr>
        <w:t>公务用车运行维护费支出预算为7.5万元，支出决算为</w:t>
      </w:r>
      <w:r>
        <w:rPr>
          <w:rFonts w:hint="eastAsia" w:ascii="Times New Roman" w:hAnsi="Times New Roman" w:eastAsia="仿宋_GB2312"/>
          <w:b w:val="0"/>
          <w:bCs w:val="0"/>
          <w:color w:val="auto"/>
          <w:sz w:val="32"/>
          <w:szCs w:val="32"/>
          <w:lang w:val="en-US" w:eastAsia="zh-CN"/>
        </w:rPr>
        <w:t>3.79</w:t>
      </w:r>
      <w:r>
        <w:rPr>
          <w:rFonts w:hint="eastAsia" w:ascii="Times New Roman" w:hAnsi="Times New Roman" w:eastAsia="仿宋_GB2312"/>
          <w:b w:val="0"/>
          <w:bCs w:val="0"/>
          <w:color w:val="auto"/>
          <w:sz w:val="32"/>
          <w:szCs w:val="32"/>
        </w:rPr>
        <w:t>万元，完成预</w:t>
      </w:r>
      <w:r>
        <w:rPr>
          <w:rFonts w:hint="eastAsia" w:ascii="Times New Roman" w:hAnsi="Times New Roman" w:eastAsia="仿宋_GB2312"/>
          <w:sz w:val="32"/>
          <w:szCs w:val="32"/>
        </w:rPr>
        <w:t>算的50.53%，决算数小于预算数的主要原因是厉行节约，与上年相比增加</w:t>
      </w:r>
      <w:r>
        <w:rPr>
          <w:rFonts w:hint="eastAsia" w:ascii="Times New Roman" w:hAnsi="Times New Roman" w:eastAsia="仿宋_GB2312"/>
          <w:sz w:val="32"/>
          <w:szCs w:val="32"/>
          <w:lang w:val="en-US" w:eastAsia="zh-CN"/>
        </w:rPr>
        <w:t>1.67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78.77</w:t>
      </w:r>
      <w:r>
        <w:rPr>
          <w:rFonts w:hint="eastAsia" w:ascii="Times New Roman" w:hAnsi="Times New Roman" w:eastAsia="仿宋_GB2312"/>
          <w:sz w:val="32"/>
          <w:szCs w:val="32"/>
        </w:rPr>
        <w:t>%,增长的</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val="en-US" w:eastAsia="zh-CN"/>
        </w:rPr>
        <w:t>2台消防车运行维</w:t>
      </w:r>
      <w:bookmarkStart w:id="2" w:name="_GoBack"/>
      <w:bookmarkEnd w:id="2"/>
      <w:r>
        <w:rPr>
          <w:rFonts w:hint="eastAsia" w:ascii="Times New Roman" w:hAnsi="Times New Roman" w:eastAsia="仿宋_GB2312"/>
          <w:color w:val="auto"/>
          <w:sz w:val="32"/>
          <w:szCs w:val="32"/>
          <w:lang w:val="en-US" w:eastAsia="zh-CN"/>
        </w:rPr>
        <w:t>护费加入本单位列支</w:t>
      </w:r>
      <w:r>
        <w:rPr>
          <w:rFonts w:hint="eastAsia" w:ascii="Times New Roman" w:hAnsi="Times New Roman" w:eastAsia="仿宋_GB2312"/>
          <w:color w:val="auto"/>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1.57</w:t>
      </w:r>
      <w:r>
        <w:rPr>
          <w:rFonts w:hint="eastAsia" w:ascii="Times New Roman" w:hAnsi="Times New Roman" w:eastAsia="仿宋_GB2312"/>
          <w:sz w:val="32"/>
          <w:szCs w:val="32"/>
        </w:rPr>
        <w:t>万元，占29.29%,因公出国（境）费支出决算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3.97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70.71</w:t>
      </w:r>
      <w:r>
        <w:rPr>
          <w:rFonts w:hint="eastAsia" w:ascii="Times New Roman" w:hAnsi="Times New Roman" w:eastAsia="仿宋_GB2312"/>
          <w:sz w:val="32"/>
          <w:szCs w:val="32"/>
        </w:rPr>
        <w:t>%。其中：</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r>
        <w:rPr>
          <w:rFonts w:hint="eastAsia" w:ascii="Times New Roman" w:hAnsi="Times New Roman" w:eastAsia="仿宋_GB2312"/>
          <w:sz w:val="32"/>
          <w:szCs w:val="32"/>
          <w:lang w:eastAsia="zh-CN"/>
        </w:rPr>
        <w:t>无</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2、公务接待费支出决算为</w:t>
      </w:r>
      <w:r>
        <w:rPr>
          <w:rFonts w:hint="eastAsia" w:ascii="Times New Roman" w:hAnsi="Times New Roman" w:eastAsia="仿宋_GB2312"/>
          <w:b w:val="0"/>
          <w:bCs w:val="0"/>
          <w:color w:val="auto"/>
          <w:sz w:val="32"/>
          <w:szCs w:val="32"/>
          <w:lang w:val="en-US" w:eastAsia="zh-CN"/>
        </w:rPr>
        <w:t>1.57</w:t>
      </w:r>
      <w:r>
        <w:rPr>
          <w:rFonts w:hint="eastAsia" w:ascii="Times New Roman" w:hAnsi="Times New Roman" w:eastAsia="仿宋_GB2312"/>
          <w:b w:val="0"/>
          <w:bCs w:val="0"/>
          <w:color w:val="auto"/>
          <w:sz w:val="32"/>
          <w:szCs w:val="32"/>
        </w:rPr>
        <w:t>万元，全年共接待来访团组</w:t>
      </w:r>
      <w:r>
        <w:rPr>
          <w:rFonts w:hint="eastAsia" w:ascii="Times New Roman" w:hAnsi="Times New Roman" w:eastAsia="仿宋_GB2312"/>
          <w:b w:val="0"/>
          <w:bCs w:val="0"/>
          <w:color w:val="auto"/>
          <w:sz w:val="32"/>
          <w:szCs w:val="32"/>
          <w:lang w:val="en-US" w:eastAsia="zh-CN"/>
        </w:rPr>
        <w:t>19</w:t>
      </w:r>
      <w:r>
        <w:rPr>
          <w:rFonts w:hint="eastAsia" w:ascii="Times New Roman" w:hAnsi="Times New Roman" w:eastAsia="仿宋_GB2312"/>
          <w:b w:val="0"/>
          <w:bCs w:val="0"/>
          <w:color w:val="auto"/>
          <w:sz w:val="32"/>
          <w:szCs w:val="32"/>
        </w:rPr>
        <w:t>个、来宾</w:t>
      </w:r>
      <w:r>
        <w:rPr>
          <w:rFonts w:hint="eastAsia" w:ascii="Times New Roman" w:hAnsi="Times New Roman" w:eastAsia="仿宋_GB2312"/>
          <w:b w:val="0"/>
          <w:bCs w:val="0"/>
          <w:color w:val="auto"/>
          <w:sz w:val="32"/>
          <w:szCs w:val="32"/>
          <w:lang w:val="en-US" w:eastAsia="zh-CN"/>
        </w:rPr>
        <w:t>47</w:t>
      </w:r>
      <w:r>
        <w:rPr>
          <w:rFonts w:hint="eastAsia" w:ascii="Times New Roman" w:hAnsi="Times New Roman" w:eastAsia="仿宋_GB2312"/>
          <w:b w:val="0"/>
          <w:bCs w:val="0"/>
          <w:color w:val="auto"/>
          <w:sz w:val="32"/>
          <w:szCs w:val="32"/>
        </w:rPr>
        <w:t>人次，主要是协调指导文旅工作、调研退役军人保障工作、督查易地扶贫搬迁工作、对接社会事务服务工作、指导特色文旅小镇建设、</w:t>
      </w:r>
      <w:r>
        <w:rPr>
          <w:rFonts w:hint="eastAsia" w:ascii="Times New Roman" w:hAnsi="Times New Roman" w:eastAsia="仿宋_GB2312"/>
          <w:b w:val="0"/>
          <w:bCs w:val="0"/>
          <w:color w:val="auto"/>
          <w:sz w:val="32"/>
          <w:szCs w:val="32"/>
          <w:lang w:eastAsia="zh-CN"/>
        </w:rPr>
        <w:t>外来人员用餐</w:t>
      </w:r>
      <w:r>
        <w:rPr>
          <w:rFonts w:hint="eastAsia" w:ascii="Times New Roman" w:hAnsi="Times New Roman" w:eastAsia="仿宋_GB2312"/>
          <w:b w:val="0"/>
          <w:bCs w:val="0"/>
          <w:color w:val="auto"/>
          <w:sz w:val="32"/>
          <w:szCs w:val="32"/>
        </w:rPr>
        <w:t>等发生的接待支出。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3.79</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溆浦县北斗溪镇人民政府</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3.79</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公务用车油卡充值支出及公务用车维修维护费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89.07</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89.07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89.07</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1、其他支出（类）彩票公益金安排的支出（款）用于巩固脱贫衔接乡村振兴的彩票公益金支出（项）。</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年初预算为89.07万元，支出决算为89.07万元，完成年初预算的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年度机关运行经费支出195.33万元，上年决算数减少）64.53万元，降低24.83%。主要原因是：商品和服务支出费用减少。。</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1.6万元，用于定期召开规划委员会议，人数20人，内容为规划北斗溪镇房屋建设；用于召开河长制、林长制工作会议，人数为35人，内容为定期巡河、巡山。用于召开乡村振兴相关会议，人数70人，内容为乡村振兴文件精神学习传达，业务知识培训，交办问题反馈整改，迎检准备事项等。人数为60人。用于开展安全生产、森林防火应急相关会议，人数55人，内容为夏秋季连旱，天气炎热造成火情。用于召开疫情防控推进会，人数55人，内容为高铁南站、光明村出现疑似阳性病例的应急处置。用于每周召开干部职工例会，人数70人，内容为总结上周工作及本周工作安排部署等。用于召开各类市县级视频会议，人数70人，内容为传达学习传达市县会议精神，指导落实相关</w:t>
      </w:r>
      <w:r>
        <w:rPr>
          <w:rFonts w:hint="eastAsia" w:ascii="Times New Roman" w:hAnsi="Times New Roman" w:eastAsia="仿宋_GB2312"/>
          <w:color w:val="auto"/>
          <w:sz w:val="32"/>
          <w:szCs w:val="32"/>
        </w:rPr>
        <w:t>工作。开支培训费</w:t>
      </w: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rPr>
        <w:t>万元，用于开展党校中青班培训，人数1</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人，内容为提高中青年干部的政策理论水平和实际工作能力，以适应新形势、新任务的需要。</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基本支出</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2022年基本支出1301.67万元。工资福利支出761.34万元，商品服务支出190.57万元，对个人和家庭补助支出345万元，其他支出4.76万元。</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我单位按照县政府及各部门要求，建立健全了财务管理制度、接待制度、用车制度、各类会议制度等。接待制度对人员、标准、接待程序都予以规范，用车制度对车辆管理、维修、费用支出都进行了明确。“三公”经费2022年决算数5.36万元，主要是公务用车运行维护费3.79万元，公务接待费1.57万元。</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项目支出</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2022年项目支出1008.6万元，主要用于项目资金的拨付，分别为来凤村农村饮水工程维修养护4万元，茅坡村示范村创建32.3万元，坪溪村示范村创建30万元，茅坡村以工代赈供水工程16.8万元，茅坡村整修斗沟渠23.11万元，茅坡村人居环境示范创建15.64万元，沙坪村水利建设16万元，华荣村水渠硬化7万元，松林村农田水利29.6万元，宝山村公路37.29万元，红花村路面油化94.08万元，宝山村、茅坡村入股金香云雾茶叶消费帮扶平台展厅60万元，坪溪村集体经济发展50万元，回春村油茶种植10万元，湘水农产产业项目40万元，茅坡村集体经济发展50万元，林果村集体经济发展12万元，来凤村集体经济发展24万元，油垅村集体经济发展10万元，茅坡村老区扶持水利工程5万元，易地扶贫搬迁旧宅基地复垦复绿76.82万元，农村改厕26.85万元，黄龙村家庭农场产业10万元，坪溪村拦河坝44.3万元，茅坡村地质灾害3万元，第二批救灾应急资金17万元，坪溪村路灯建设13.23万元，华荣村路灯建设19.65万元，茅坡村路灯建设19.65万元，光明村路灯建设及维修18.9万元，光明村绿篱建设5.04万元，华荣村绿篱建设6.3万元，茅坡村绿篱建设6.3万元。</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9"/>
        <w:ind w:firstLine="640" w:firstLineChars="200"/>
        <w:jc w:val="left"/>
        <w:rPr>
          <w:sz w:val="72"/>
          <w:szCs w:val="72"/>
        </w:rPr>
      </w:pPr>
      <w:r>
        <w:rPr>
          <w:rFonts w:hint="eastAsia" w:ascii="Times New Roman" w:hAnsi="Times New Roman" w:eastAsia="仿宋_GB2312"/>
          <w:sz w:val="32"/>
          <w:szCs w:val="32"/>
        </w:rPr>
        <w:t>存在一些突出问题：一是村级基础基础薄弱，产业发展较慢。我镇14个村基础设施薄弱，基础设施需进一步加强，城镇服务功能不够完善，尚未建成供排水系统、城区街道严重老化等等，难以适应经济社会发展，难以满足广大群众的基本需求。二是产业发展实力不足。发展投入相对不足，重点产业培植难度大，农业产业化程度不高，规模经营化水平低，农民增收渠道仍然不宽。三是群众自我意识浓，稳定工作难度很大。城镇秩序、社会治安、安全生产、计划生育、环境保护、土地市场秩序等工作压力很大；森林纠纷、移民安置、历史旧欠等遗留问题较多，落实处理存在较大难度，容易诱发矛盾而造成不稳定；群众观念跟不上经济发展的节拍，增加了社会管理的难度和成本。四是干部作风有待加强。个别干部为民服务意识比较淡薄，形式主义、官僚主义仍然存在，干部自身工作水平亟待提高，少数干部作风不实、干事不实、推诿扯皮现象不同程度存在。五是收支矛盾比较突出。乡村两级财源严重缺乏，财政赤字据高不下，运转困难，对经济社会建设投入相对不足。</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机关运行经费：是指各部门的公用经费，包括办公及印刷费、邮电费、差旅费、会议费、福利费、日常维修费、专用材料费及一般设备购置费、办公用房水电费、办公用房取暖费、办公用房物业管理费、公务用车运行维护费以及其他费用。</w:t>
      </w:r>
    </w:p>
    <w:p>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9"/>
        <w:jc w:val="center"/>
        <w:rPr>
          <w:rFonts w:hint="eastAsia" w:ascii="Times New Roman" w:hAnsi="Times New Roman" w:eastAsia="仿宋_GB2312" w:cs="黑体"/>
          <w:color w:val="000000"/>
          <w:kern w:val="0"/>
          <w:sz w:val="32"/>
          <w:szCs w:val="32"/>
          <w:lang w:val="en-US" w:eastAsia="zh-CN" w:bidi="ar-SA"/>
        </w:rPr>
      </w:pPr>
    </w:p>
    <w:p>
      <w:pPr>
        <w:pStyle w:val="9"/>
        <w:jc w:val="center"/>
        <w:rPr>
          <w:rFonts w:hint="eastAsia" w:ascii="Times New Roman" w:hAnsi="Times New Roman" w:eastAsia="仿宋_GB2312" w:cs="黑体"/>
          <w:color w:val="000000"/>
          <w:kern w:val="0"/>
          <w:sz w:val="32"/>
          <w:szCs w:val="32"/>
          <w:lang w:val="en-US" w:eastAsia="zh-CN" w:bidi="ar-SA"/>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D7415"/>
    <w:multiLevelType w:val="singleLevel"/>
    <w:tmpl w:val="01FD7415"/>
    <w:lvl w:ilvl="0" w:tentative="0">
      <w:start w:val="24"/>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M2QyODI1ZDgzYzQzMTQzMmZlNzUwYWE4YjllMG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BFA34C0"/>
    <w:rsid w:val="101C3B92"/>
    <w:rsid w:val="13833F28"/>
    <w:rsid w:val="155C32F8"/>
    <w:rsid w:val="1AB22DA0"/>
    <w:rsid w:val="25421186"/>
    <w:rsid w:val="2AAB01E1"/>
    <w:rsid w:val="3CE94B63"/>
    <w:rsid w:val="45877B07"/>
    <w:rsid w:val="46BA028F"/>
    <w:rsid w:val="5777D4F5"/>
    <w:rsid w:val="5F806221"/>
    <w:rsid w:val="5FC6BB1E"/>
    <w:rsid w:val="5FF720F1"/>
    <w:rsid w:val="681D2D95"/>
    <w:rsid w:val="6AFF300A"/>
    <w:rsid w:val="6B704A0D"/>
    <w:rsid w:val="737D59BA"/>
    <w:rsid w:val="755662D6"/>
    <w:rsid w:val="7621652A"/>
    <w:rsid w:val="77C37683"/>
    <w:rsid w:val="77DA7F0A"/>
    <w:rsid w:val="79FF515B"/>
    <w:rsid w:val="7E357016"/>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63</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微笑，打败一切</cp:lastModifiedBy>
  <cp:lastPrinted>2023-08-15T09:28:00Z</cp:lastPrinted>
  <dcterms:modified xsi:type="dcterms:W3CDTF">2023-10-20T04:52:56Z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EB361A1623824470AACF453316DDDDAF_12</vt:lpwstr>
  </property>
</Properties>
</file>