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color w:val="000000"/>
          <w:sz w:val="84"/>
        </w:rPr>
      </w:pPr>
      <w:r>
        <w:rPr>
          <w:rFonts w:ascii="黑体" w:hAnsi="黑体" w:eastAsia="黑体" w:cs="黑体"/>
          <w:color w:val="000000"/>
          <w:sz w:val="84"/>
        </w:rPr>
        <w:t>2021年度</w:t>
      </w:r>
    </w:p>
    <w:p>
      <w:pPr>
        <w:jc w:val="center"/>
        <w:rPr>
          <w:rFonts w:ascii="黑体" w:hAnsi="黑体" w:eastAsia="黑体" w:cs="黑体"/>
          <w:color w:val="000000"/>
          <w:sz w:val="84"/>
        </w:rPr>
      </w:pPr>
      <w:r>
        <w:rPr>
          <w:rFonts w:ascii="黑体" w:hAnsi="黑体" w:eastAsia="黑体" w:cs="黑体"/>
          <w:color w:val="000000"/>
          <w:sz w:val="84"/>
        </w:rPr>
        <w:t>溆浦县北斗溪镇人民政府部门决算</w:t>
      </w:r>
    </w:p>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32"/>
        </w:rPr>
      </w:pPr>
    </w:p>
    <w:p>
      <w:pPr>
        <w:jc w:val="center"/>
        <w:rPr>
          <w:rFonts w:ascii="黑体" w:hAnsi="黑体" w:eastAsia="黑体" w:cs="黑体"/>
          <w:color w:val="000000"/>
          <w:sz w:val="32"/>
        </w:rPr>
      </w:pPr>
    </w:p>
    <w:p>
      <w:pPr>
        <w:jc w:val="center"/>
        <w:rPr>
          <w:rFonts w:ascii="黑体" w:hAnsi="黑体" w:eastAsia="黑体" w:cs="黑体"/>
          <w:color w:val="000000"/>
          <w:sz w:val="32"/>
        </w:rPr>
      </w:pPr>
    </w:p>
    <w:p>
      <w:pPr>
        <w:spacing w:line="500" w:lineRule="auto"/>
        <w:jc w:val="center"/>
        <w:rPr>
          <w:rFonts w:ascii="黑体" w:hAnsi="黑体" w:eastAsia="黑体" w:cs="黑体"/>
          <w:color w:val="000000"/>
          <w:sz w:val="32"/>
        </w:rPr>
      </w:pPr>
    </w:p>
    <w:p>
      <w:pPr>
        <w:spacing w:line="500" w:lineRule="auto"/>
        <w:jc w:val="center"/>
        <w:rPr>
          <w:rFonts w:ascii="黑体" w:hAnsi="黑体" w:eastAsia="黑体" w:cs="黑体"/>
          <w:color w:val="000000"/>
          <w:sz w:val="32"/>
        </w:rPr>
      </w:pPr>
    </w:p>
    <w:p>
      <w:pPr>
        <w:spacing w:line="500" w:lineRule="auto"/>
        <w:jc w:val="center"/>
        <w:rPr>
          <w:rFonts w:ascii="黑体" w:hAnsi="黑体" w:eastAsia="黑体" w:cs="黑体"/>
          <w:b/>
          <w:color w:val="000000"/>
          <w:sz w:val="36"/>
        </w:rPr>
      </w:pPr>
    </w:p>
    <w:p>
      <w:pPr>
        <w:spacing w:line="500" w:lineRule="auto"/>
        <w:jc w:val="center"/>
        <w:rPr>
          <w:rFonts w:ascii="黑体" w:hAnsi="黑体" w:eastAsia="黑体" w:cs="黑体"/>
          <w:b/>
          <w:color w:val="000000"/>
          <w:sz w:val="36"/>
        </w:rPr>
      </w:pPr>
      <w:r>
        <w:rPr>
          <w:rFonts w:ascii="黑体" w:hAnsi="黑体" w:eastAsia="黑体" w:cs="黑体"/>
          <w:b/>
          <w:color w:val="000000"/>
          <w:sz w:val="36"/>
        </w:rPr>
        <w:t>目录</w:t>
      </w:r>
    </w:p>
    <w:p>
      <w:pPr>
        <w:spacing w:line="500" w:lineRule="auto"/>
        <w:jc w:val="left"/>
        <w:rPr>
          <w:rFonts w:ascii="仿宋_GB2312" w:hAnsi="仿宋_GB2312" w:eastAsia="仿宋_GB2312" w:cs="仿宋_GB2312"/>
          <w:b/>
          <w:color w:val="000000"/>
          <w:sz w:val="28"/>
        </w:rPr>
      </w:pPr>
      <w:r>
        <w:rPr>
          <w:rFonts w:ascii="黑体" w:hAnsi="黑体" w:eastAsia="黑体" w:cs="黑体"/>
          <w:b/>
          <w:color w:val="000000"/>
          <w:sz w:val="28"/>
        </w:rPr>
        <w:t>第一部分溆浦县北斗溪镇人民政府概况</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一、部门职责</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二、机构设置</w:t>
      </w:r>
    </w:p>
    <w:p>
      <w:pPr>
        <w:spacing w:line="500" w:lineRule="auto"/>
        <w:jc w:val="left"/>
        <w:rPr>
          <w:rFonts w:ascii="仿宋_GB2312" w:hAnsi="仿宋_GB2312" w:eastAsia="仿宋_GB2312" w:cs="仿宋_GB2312"/>
          <w:b/>
          <w:color w:val="000000"/>
          <w:sz w:val="28"/>
        </w:rPr>
      </w:pPr>
      <w:r>
        <w:rPr>
          <w:rFonts w:ascii="黑体" w:hAnsi="黑体" w:eastAsia="黑体" w:cs="黑体"/>
          <w:b/>
          <w:color w:val="000000"/>
          <w:sz w:val="28"/>
        </w:rPr>
        <w:t>第二部分2021年度部门决算表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一、收入支出决算总表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二、收入决算表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三、支出决算表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四、财政拨款收入支出决算总表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五、一般公共预算财政拨款支出决算表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六、一般公共预算财政拨款基本支出决算明细表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七、一般公共预算财政拨款“三公”经费支出决算表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八、政府性基金预算财政拨款收入支出决算表</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九、国有资本经营预算财政拨款支出决算表</w:t>
      </w:r>
    </w:p>
    <w:p>
      <w:pPr>
        <w:spacing w:line="500" w:lineRule="auto"/>
        <w:jc w:val="left"/>
        <w:rPr>
          <w:rFonts w:ascii="仿宋_GB2312" w:hAnsi="仿宋_GB2312" w:eastAsia="仿宋_GB2312" w:cs="仿宋_GB2312"/>
          <w:b/>
          <w:color w:val="000000"/>
          <w:sz w:val="28"/>
        </w:rPr>
      </w:pPr>
      <w:r>
        <w:rPr>
          <w:rFonts w:ascii="黑体" w:hAnsi="黑体" w:eastAsia="黑体" w:cs="黑体"/>
          <w:b/>
          <w:color w:val="000000"/>
          <w:sz w:val="28"/>
        </w:rPr>
        <w:t>第三部分2021年度部门决算情况说明</w:t>
      </w:r>
    </w:p>
    <w:p>
      <w:pPr>
        <w:spacing w:line="500" w:lineRule="auto"/>
        <w:ind w:firstLine="700"/>
        <w:jc w:val="left"/>
        <w:rPr>
          <w:rFonts w:ascii="黑体" w:hAnsi="黑体" w:eastAsia="黑体" w:cs="黑体"/>
          <w:color w:val="000000"/>
          <w:sz w:val="28"/>
        </w:rPr>
      </w:pPr>
      <w:r>
        <w:rPr>
          <w:rFonts w:ascii="黑体" w:hAnsi="黑体" w:eastAsia="黑体" w:cs="黑体"/>
          <w:color w:val="000000"/>
          <w:sz w:val="28"/>
        </w:rPr>
        <w:t>一、收入支出决算总体情况说明</w:t>
      </w:r>
    </w:p>
    <w:p>
      <w:pPr>
        <w:spacing w:line="500" w:lineRule="auto"/>
        <w:ind w:firstLine="700"/>
        <w:jc w:val="left"/>
        <w:rPr>
          <w:rFonts w:ascii="仿宋_GB2312" w:hAnsi="仿宋_GB2312" w:eastAsia="仿宋_GB2312" w:cs="仿宋_GB2312"/>
          <w:sz w:val="28"/>
        </w:rPr>
      </w:pPr>
      <w:r>
        <w:rPr>
          <w:rFonts w:ascii="宋体" w:hAnsi="宋体" w:eastAsia="宋体" w:cs="宋体"/>
          <w:sz w:val="28"/>
        </w:rPr>
        <w:t>二、收入决算情况说明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三、支出决算情况说明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四、财政拨款收入支出决算总体情况说明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五、一般公共预算财政拨款支出决算情况说明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六、一般公共预算财政拨款基本支出决算情况说明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七、一般公共预算财政拨款“三公”经费支出决算情况说明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八、政府性基金预算收入支出决算情况</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九、机关运行经费支出说明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十、一般性支出情况说明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十一、政府采购支出说明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十二、国有资产占用情况说明</w:t>
      </w:r>
    </w:p>
    <w:p>
      <w:pPr>
        <w:spacing w:line="500" w:lineRule="auto"/>
        <w:ind w:firstLine="700"/>
        <w:jc w:val="left"/>
        <w:rPr>
          <w:rFonts w:ascii="仿宋_GB2312" w:hAnsi="仿宋_GB2312" w:eastAsia="仿宋_GB2312" w:cs="仿宋_GB2312"/>
          <w:color w:val="000000"/>
          <w:sz w:val="28"/>
        </w:rPr>
      </w:pPr>
      <w:r>
        <w:rPr>
          <w:rFonts w:ascii="宋体" w:hAnsi="宋体" w:eastAsia="宋体" w:cs="宋体"/>
          <w:color w:val="000000"/>
          <w:sz w:val="28"/>
        </w:rPr>
        <w:t>十三、</w:t>
      </w:r>
      <w:r>
        <w:rPr>
          <w:rFonts w:ascii="黑体" w:hAnsi="黑体" w:eastAsia="黑体" w:cs="黑体"/>
          <w:color w:val="000000"/>
          <w:sz w:val="28"/>
        </w:rPr>
        <w:t>2021年度预算绩效情况说明</w:t>
      </w:r>
    </w:p>
    <w:p>
      <w:pPr>
        <w:spacing w:line="500" w:lineRule="auto"/>
        <w:jc w:val="left"/>
        <w:rPr>
          <w:rFonts w:ascii="黑体" w:hAnsi="黑体" w:eastAsia="黑体" w:cs="黑体"/>
          <w:b/>
          <w:color w:val="000000"/>
          <w:sz w:val="28"/>
        </w:rPr>
      </w:pPr>
      <w:r>
        <w:rPr>
          <w:rFonts w:ascii="黑体" w:hAnsi="黑体" w:eastAsia="黑体" w:cs="黑体"/>
          <w:b/>
          <w:color w:val="000000"/>
          <w:sz w:val="28"/>
        </w:rPr>
        <w:t>第四部分名词解释</w:t>
      </w:r>
    </w:p>
    <w:p>
      <w:pPr>
        <w:spacing w:line="500" w:lineRule="auto"/>
        <w:jc w:val="left"/>
        <w:rPr>
          <w:rFonts w:ascii="黑体" w:hAnsi="黑体" w:eastAsia="黑体" w:cs="黑体"/>
          <w:b/>
          <w:color w:val="000000"/>
          <w:sz w:val="28"/>
        </w:rPr>
      </w:pPr>
      <w:r>
        <w:rPr>
          <w:rFonts w:ascii="黑体" w:hAnsi="黑体" w:eastAsia="黑体" w:cs="黑体"/>
          <w:b/>
          <w:color w:val="000000"/>
          <w:sz w:val="28"/>
        </w:rPr>
        <w:t>第五部分附件</w:t>
      </w: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rPr>
          <w:rFonts w:ascii="Calibri" w:hAnsi="Calibri" w:eastAsia="Calibri" w:cs="Calibri"/>
          <w:sz w:val="72"/>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color w:val="000000"/>
          <w:sz w:val="84"/>
        </w:rPr>
      </w:pPr>
      <w:r>
        <w:rPr>
          <w:rFonts w:ascii="黑体" w:hAnsi="黑体" w:eastAsia="黑体" w:cs="黑体"/>
          <w:color w:val="000000"/>
          <w:sz w:val="84"/>
        </w:rPr>
        <w:t>第一部分</w:t>
      </w:r>
    </w:p>
    <w:p>
      <w:pPr>
        <w:jc w:val="center"/>
        <w:rPr>
          <w:rFonts w:ascii="黑体" w:hAnsi="黑体" w:eastAsia="黑体" w:cs="黑体"/>
          <w:color w:val="000000"/>
          <w:sz w:val="84"/>
        </w:rPr>
      </w:pPr>
    </w:p>
    <w:p>
      <w:pPr>
        <w:jc w:val="center"/>
        <w:rPr>
          <w:rFonts w:ascii="黑体" w:hAnsi="黑体" w:eastAsia="黑体" w:cs="黑体"/>
          <w:color w:val="000000"/>
          <w:sz w:val="84"/>
        </w:rPr>
      </w:pPr>
      <w:r>
        <w:rPr>
          <w:rFonts w:ascii="黑体" w:hAnsi="黑体" w:eastAsia="黑体" w:cs="黑体"/>
          <w:color w:val="000000"/>
          <w:sz w:val="84"/>
        </w:rPr>
        <w:t>溆浦县北斗溪镇人民政府概况</w:t>
      </w: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ind w:left="720"/>
        <w:jc w:val="left"/>
        <w:rPr>
          <w:rFonts w:ascii="黑体" w:hAnsi="黑体" w:eastAsia="黑体" w:cs="黑体"/>
          <w:sz w:val="32"/>
        </w:rPr>
      </w:pPr>
    </w:p>
    <w:p>
      <w:pPr>
        <w:ind w:left="720"/>
        <w:jc w:val="left"/>
        <w:rPr>
          <w:rFonts w:ascii="黑体" w:hAnsi="黑体" w:eastAsia="黑体" w:cs="黑体"/>
          <w:sz w:val="32"/>
        </w:rPr>
      </w:pPr>
    </w:p>
    <w:p>
      <w:pPr>
        <w:ind w:left="720"/>
        <w:jc w:val="left"/>
        <w:rPr>
          <w:rFonts w:ascii="黑体" w:hAnsi="黑体" w:eastAsia="黑体" w:cs="黑体"/>
          <w:sz w:val="32"/>
        </w:rPr>
      </w:pPr>
    </w:p>
    <w:p>
      <w:pPr>
        <w:numPr>
          <w:ilvl w:val="0"/>
          <w:numId w:val="1"/>
        </w:numPr>
        <w:ind w:left="720" w:hanging="720"/>
        <w:jc w:val="left"/>
        <w:rPr>
          <w:rFonts w:ascii="黑体" w:hAnsi="黑体" w:eastAsia="黑体" w:cs="黑体"/>
          <w:sz w:val="32"/>
        </w:rPr>
      </w:pPr>
      <w:r>
        <w:rPr>
          <w:rFonts w:hint="eastAsia" w:ascii="黑体" w:hAnsi="黑体" w:eastAsia="黑体" w:cs="黑体"/>
          <w:sz w:val="32"/>
        </w:rPr>
        <w:t>一、</w:t>
      </w:r>
      <w:r>
        <w:rPr>
          <w:rFonts w:ascii="黑体" w:hAnsi="黑体" w:eastAsia="黑体" w:cs="黑体"/>
          <w:sz w:val="32"/>
        </w:rPr>
        <w:t>部门职责</w:t>
      </w:r>
    </w:p>
    <w:p>
      <w:pPr>
        <w:jc w:val="left"/>
        <w:rPr>
          <w:rFonts w:cs="Calibri" w:asciiTheme="minorEastAsia" w:hAnsiTheme="minorEastAsia"/>
          <w:sz w:val="32"/>
        </w:rPr>
      </w:pPr>
      <w:r>
        <w:rPr>
          <w:rFonts w:ascii="黑体" w:hAnsi="黑体" w:eastAsia="黑体" w:cs="黑体"/>
          <w:sz w:val="32"/>
        </w:rPr>
        <w:t xml:space="preserve">  </w:t>
      </w:r>
      <w:r>
        <w:rPr>
          <w:rFonts w:ascii="Calibri" w:hAnsi="Calibri" w:eastAsia="Calibri" w:cs="Calibri"/>
          <w:sz w:val="32"/>
        </w:rPr>
        <w:t xml:space="preserve"> </w:t>
      </w:r>
      <w:r>
        <w:rPr>
          <w:rFonts w:cs="黑体" w:asciiTheme="minorEastAsia" w:hAnsiTheme="minorEastAsia"/>
          <w:sz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（二）制定并组织实施村镇建设规划，部署重点工程建设，地方道路建设及公共设施，水利设施的管理，负责土地、林木、水等自然资源和生态环境的保护，做好护林防火工作。</w:t>
      </w:r>
    </w:p>
    <w:p>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（四）按计划组织本级财政收入和地方税的征收，完成国家财政计划，不断培植税源，管好财政资金，增强财政实力。</w:t>
      </w:r>
    </w:p>
    <w:p>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（五）抓好精神文明建设，丰富群众文化生活，提倡移风易俗，反对封建迷信，破除陈规陋习，树立社会主义新风尚。</w:t>
      </w:r>
    </w:p>
    <w:p>
      <w:pPr>
        <w:jc w:val="left"/>
        <w:rPr>
          <w:rFonts w:ascii="Calibri" w:hAnsi="Calibri" w:eastAsia="Calibri" w:cs="Calibri"/>
          <w:sz w:val="32"/>
        </w:rPr>
      </w:pPr>
      <w:r>
        <w:rPr>
          <w:rFonts w:ascii="Calibri" w:hAnsi="Calibri" w:eastAsia="Calibri" w:cs="Calibri"/>
          <w:sz w:val="32"/>
        </w:rPr>
        <w:t xml:space="preserve">  </w:t>
      </w:r>
      <w:r>
        <w:rPr>
          <w:rFonts w:ascii="宋体" w:hAnsi="宋体" w:eastAsia="宋体" w:cs="宋体"/>
          <w:sz w:val="32"/>
        </w:rPr>
        <w:t>（六）完成上级政府交办的其它事项。</w:t>
      </w:r>
    </w:p>
    <w:p>
      <w:pPr>
        <w:spacing w:line="600" w:lineRule="auto"/>
        <w:rPr>
          <w:rFonts w:ascii="黑体" w:hAnsi="黑体" w:eastAsia="黑体" w:cs="黑体"/>
          <w:sz w:val="32"/>
        </w:rPr>
      </w:pPr>
      <w:r>
        <w:rPr>
          <w:rFonts w:ascii="黑体" w:hAnsi="黑体" w:eastAsia="黑体" w:cs="黑体"/>
          <w:sz w:val="32"/>
        </w:rPr>
        <w:t>二、机构设置及决算单位构成</w:t>
      </w:r>
    </w:p>
    <w:p>
      <w:pPr>
        <w:spacing w:line="600" w:lineRule="auto"/>
        <w:rPr>
          <w:rFonts w:ascii="Calibri" w:hAnsi="Calibri" w:eastAsia="Calibri" w:cs="Calibri"/>
          <w:sz w:val="32"/>
        </w:rPr>
      </w:pPr>
      <w:r>
        <w:rPr>
          <w:rFonts w:ascii="宋体" w:hAnsi="宋体" w:eastAsia="宋体" w:cs="宋体"/>
          <w:sz w:val="32"/>
        </w:rPr>
        <w:t>（一）内设机构设置。溆浦县北斗溪镇人民政府内设机构包括：党政办公室、政务服务中心、经济发展办公室（乡村振兴办公室、农业农村工作办公室）、农业综合服务中心、纪检监察办公室、自然资源和生态环境办公室、党建办公室、社会事务办公室（健康服务站、退役军人服务站）、社会事务综合服务中心（文化旅游和计划生育卫生）、社会治安和应急管理办公室、综合行政执法大队、高铁广场管理办公室。派驻机构包括：财政所、派出所、司法所、市场监督管理所、自然资源所、危改办。</w:t>
      </w:r>
    </w:p>
    <w:p>
      <w:pPr>
        <w:spacing w:line="600" w:lineRule="auto"/>
        <w:rPr>
          <w:rFonts w:ascii="Calibri" w:hAnsi="Calibri" w:eastAsia="Calibri" w:cs="Calibri"/>
          <w:sz w:val="32"/>
        </w:rPr>
      </w:pPr>
      <w:r>
        <w:rPr>
          <w:rFonts w:ascii="宋体" w:hAnsi="宋体" w:eastAsia="宋体" w:cs="宋体"/>
          <w:sz w:val="32"/>
        </w:rPr>
        <w:t>（二）决算单位构成。溆浦县北斗溪镇人民政府</w:t>
      </w:r>
      <w:r>
        <w:rPr>
          <w:rFonts w:ascii="Calibri" w:hAnsi="Calibri" w:eastAsia="Calibri" w:cs="Calibri"/>
          <w:sz w:val="32"/>
        </w:rPr>
        <w:t>2021</w:t>
      </w:r>
      <w:r>
        <w:rPr>
          <w:rFonts w:ascii="宋体" w:hAnsi="宋体" w:eastAsia="宋体" w:cs="宋体"/>
          <w:sz w:val="32"/>
        </w:rPr>
        <w:t>年部门决算汇总公开单位构成包括：溆浦县北斗溪</w:t>
      </w:r>
      <w:r>
        <w:rPr>
          <w:rFonts w:hint="eastAsia" w:ascii="宋体" w:hAnsi="宋体" w:eastAsia="宋体" w:cs="宋体"/>
          <w:sz w:val="32"/>
        </w:rPr>
        <w:t>镇</w:t>
      </w:r>
      <w:r>
        <w:rPr>
          <w:rFonts w:ascii="宋体" w:hAnsi="宋体" w:eastAsia="宋体" w:cs="宋体"/>
          <w:sz w:val="32"/>
        </w:rPr>
        <w:t>人民政府本级。</w:t>
      </w:r>
    </w:p>
    <w:p>
      <w:pPr>
        <w:jc w:val="left"/>
        <w:rPr>
          <w:rFonts w:ascii="仿宋_GB2312" w:hAnsi="仿宋_GB2312" w:eastAsia="仿宋_GB2312" w:cs="仿宋_GB2312"/>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黑体" w:hAnsi="黑体" w:eastAsia="黑体" w:cs="黑体"/>
          <w:sz w:val="28"/>
        </w:rPr>
      </w:pPr>
    </w:p>
    <w:p>
      <w:pPr>
        <w:jc w:val="center"/>
        <w:rPr>
          <w:rFonts w:ascii="Calibri" w:hAnsi="Calibri" w:eastAsia="Calibri" w:cs="Calibri"/>
          <w:sz w:val="72"/>
        </w:rPr>
      </w:pPr>
    </w:p>
    <w:p>
      <w:pPr>
        <w:jc w:val="center"/>
        <w:rPr>
          <w:rFonts w:ascii="Calibri" w:hAnsi="Calibri" w:eastAsia="Calibri" w:cs="Calibri"/>
          <w:b/>
          <w:sz w:val="72"/>
        </w:rPr>
      </w:pPr>
    </w:p>
    <w:p>
      <w:pPr>
        <w:jc w:val="center"/>
        <w:rPr>
          <w:rFonts w:ascii="黑体" w:hAnsi="黑体" w:eastAsia="黑体" w:cs="Calibri"/>
          <w:sz w:val="72"/>
        </w:rPr>
      </w:pPr>
      <w:r>
        <w:rPr>
          <w:rFonts w:ascii="黑体" w:hAnsi="黑体" w:eastAsia="黑体" w:cs="宋体"/>
          <w:sz w:val="72"/>
        </w:rPr>
        <w:t>第二部分</w:t>
      </w:r>
    </w:p>
    <w:p>
      <w:pPr>
        <w:jc w:val="center"/>
        <w:rPr>
          <w:rFonts w:ascii="黑体" w:hAnsi="黑体" w:eastAsia="黑体" w:cs="Calibri"/>
          <w:sz w:val="72"/>
        </w:rPr>
      </w:pPr>
    </w:p>
    <w:p>
      <w:pPr>
        <w:jc w:val="center"/>
        <w:rPr>
          <w:rFonts w:ascii="黑体" w:hAnsi="黑体" w:eastAsia="黑体" w:cs="Calibri"/>
          <w:sz w:val="72"/>
        </w:rPr>
      </w:pPr>
      <w:r>
        <w:rPr>
          <w:rFonts w:ascii="黑体" w:hAnsi="黑体" w:eastAsia="黑体" w:cs="宋体"/>
          <w:sz w:val="72"/>
        </w:rPr>
        <w:t>部门决算表</w:t>
      </w:r>
    </w:p>
    <w:p>
      <w:pPr>
        <w:jc w:val="center"/>
        <w:rPr>
          <w:rFonts w:ascii="Calibri" w:hAnsi="Calibri" w:eastAsia="Calibri" w:cs="Calibri"/>
          <w:sz w:val="72"/>
        </w:rPr>
      </w:pPr>
    </w:p>
    <w:p>
      <w:pPr>
        <w:jc w:val="center"/>
        <w:rPr>
          <w:rFonts w:ascii="Calibri" w:hAnsi="Calibri" w:eastAsia="Calibri" w:cs="Calibri"/>
          <w:sz w:val="72"/>
        </w:rPr>
      </w:pPr>
    </w:p>
    <w:p>
      <w:pPr>
        <w:jc w:val="left"/>
        <w:rPr>
          <w:rFonts w:ascii="Calibri" w:hAnsi="Calibri" w:cs="Calibri"/>
          <w:sz w:val="72"/>
        </w:rPr>
      </w:pPr>
    </w:p>
    <w:p>
      <w:pPr>
        <w:jc w:val="left"/>
        <w:rPr>
          <w:rFonts w:ascii="Calibri" w:hAnsi="Calibri" w:cs="Calibri"/>
          <w:sz w:val="72"/>
        </w:rPr>
      </w:pPr>
    </w:p>
    <w:p>
      <w:pPr>
        <w:jc w:val="left"/>
        <w:rPr>
          <w:rFonts w:ascii="Calibri" w:hAnsi="Calibri" w:cs="Calibri"/>
          <w:sz w:val="72"/>
        </w:rPr>
      </w:pPr>
    </w:p>
    <w:p>
      <w:pPr>
        <w:jc w:val="left"/>
        <w:rPr>
          <w:rFonts w:ascii="Calibri" w:hAnsi="Calibri" w:cs="Calibri"/>
          <w:sz w:val="72"/>
        </w:rPr>
        <w:sectPr>
          <w:pgSz w:w="11906" w:h="16838"/>
          <w:pgMar w:top="1440" w:right="1800" w:bottom="1440" w:left="1800" w:header="851" w:footer="992" w:gutter="0"/>
          <w:cols w:space="425" w:num="1"/>
          <w:docGrid w:type="lines" w:linePitch="312" w:charSpace="0"/>
        </w:sectPr>
      </w:pPr>
    </w:p>
    <w:tbl>
      <w:tblPr>
        <w:tblStyle w:val="4"/>
        <w:tblpPr w:leftFromText="180" w:rightFromText="180" w:vertAnchor="text" w:horzAnchor="margin" w:tblpXSpec="center" w:tblpY="-121"/>
        <w:tblW w:w="14120" w:type="dxa"/>
        <w:tblInd w:w="0" w:type="dxa"/>
        <w:tblLayout w:type="autofit"/>
        <w:tblCellMar>
          <w:top w:w="0" w:type="dxa"/>
          <w:left w:w="108" w:type="dxa"/>
          <w:bottom w:w="0" w:type="dxa"/>
          <w:right w:w="108" w:type="dxa"/>
        </w:tblCellMar>
      </w:tblPr>
      <w:tblGrid>
        <w:gridCol w:w="4937"/>
        <w:gridCol w:w="651"/>
        <w:gridCol w:w="1263"/>
        <w:gridCol w:w="4631"/>
        <w:gridCol w:w="651"/>
        <w:gridCol w:w="1987"/>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93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3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937"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651"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3"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31"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51"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87"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851" w:type="dxa"/>
            <w:gridSpan w:val="3"/>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269" w:type="dxa"/>
            <w:gridSpan w:val="3"/>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trHeight w:val="308" w:hRule="atLeast"/>
        </w:trPr>
        <w:tc>
          <w:tcPr>
            <w:tcW w:w="4937"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6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987"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trHeight w:val="308" w:hRule="atLeast"/>
        </w:trPr>
        <w:tc>
          <w:tcPr>
            <w:tcW w:w="4937" w:type="dxa"/>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63"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987"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2,334.61</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649.06</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6.40</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116.46</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351.50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911.81</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651" w:type="dxa"/>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73.22</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937" w:type="dxa"/>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6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c>
          <w:tcPr>
            <w:tcW w:w="463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51" w:type="dxa"/>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98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2.本套报表金额单位转换时可能存在尾数误差。</w:t>
            </w:r>
          </w:p>
        </w:tc>
      </w:tr>
    </w:tbl>
    <w:p>
      <w:pPr>
        <w:jc w:val="left"/>
        <w:rPr>
          <w:rFonts w:ascii="黑体" w:hAnsi="黑体" w:cs="黑体"/>
          <w:color w:val="000000"/>
          <w:sz w:val="72"/>
        </w:rPr>
      </w:pPr>
    </w:p>
    <w:p>
      <w:pPr>
        <w:jc w:val="left"/>
        <w:rPr>
          <w:rFonts w:ascii="黑体" w:hAnsi="黑体" w:cs="黑体"/>
          <w:color w:val="000000"/>
          <w:sz w:val="72"/>
        </w:rPr>
      </w:pPr>
    </w:p>
    <w:p>
      <w:pPr>
        <w:jc w:val="left"/>
        <w:rPr>
          <w:rFonts w:ascii="黑体" w:hAnsi="黑体" w:eastAsia="黑体" w:cs="黑体"/>
          <w:color w:val="000000"/>
          <w:sz w:val="72"/>
        </w:rPr>
      </w:pPr>
    </w:p>
    <w:p>
      <w:pPr>
        <w:jc w:val="left"/>
        <w:rPr>
          <w:rFonts w:ascii="黑体" w:hAnsi="黑体" w:eastAsia="黑体" w:cs="黑体"/>
          <w:color w:val="000000"/>
          <w:sz w:val="72"/>
        </w:rPr>
      </w:pPr>
    </w:p>
    <w:tbl>
      <w:tblPr>
        <w:tblStyle w:val="4"/>
        <w:tblW w:w="5000" w:type="pct"/>
        <w:tblInd w:w="0" w:type="dxa"/>
        <w:tblLayout w:type="autofit"/>
        <w:tblCellMar>
          <w:top w:w="0" w:type="dxa"/>
          <w:left w:w="108" w:type="dxa"/>
          <w:bottom w:w="0" w:type="dxa"/>
          <w:right w:w="108" w:type="dxa"/>
        </w:tblCellMar>
      </w:tblPr>
      <w:tblGrid>
        <w:gridCol w:w="401"/>
        <w:gridCol w:w="313"/>
        <w:gridCol w:w="272"/>
        <w:gridCol w:w="4616"/>
        <w:gridCol w:w="1365"/>
        <w:gridCol w:w="1388"/>
        <w:gridCol w:w="1040"/>
        <w:gridCol w:w="1041"/>
        <w:gridCol w:w="1041"/>
        <w:gridCol w:w="1041"/>
        <w:gridCol w:w="1656"/>
      </w:tblGrid>
      <w:tr>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10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3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94"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1898" w:type="pct"/>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500"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00"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94" w:type="pct"/>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898"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00"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500"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377"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377"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377"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377"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594"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trHeight w:val="308" w:hRule="atLeast"/>
        </w:trPr>
        <w:tc>
          <w:tcPr>
            <w:tcW w:w="268"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630" w:type="pct"/>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50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0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9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630"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0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0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9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68"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630"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0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0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77"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9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89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00"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500"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77"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77"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77"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77"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594"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trHeight w:val="308" w:hRule="atLeast"/>
        </w:trPr>
        <w:tc>
          <w:tcPr>
            <w:tcW w:w="189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2,341.01</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2,341.01</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649.06</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649.06</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574.70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574.70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422.24</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422.24</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发展与改革事务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其他发展与改革事务支出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59.43</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59.43</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116.46</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116.46</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28.77</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28.77</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12.76</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12.76</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26.46</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26.46</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18.66</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18.66</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其他污染防治支出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351.50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351.50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911.81</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911.81</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31.23</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31.23</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378.22</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378.22</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436.87</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436.87</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370.87</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370.87</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2130706</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对村集体经济组织的补助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2130707</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农村综合改革示范试点补助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公路水路运输</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2140199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其他公路水路运输支出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2200106</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自然资源利用与保护</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73.22</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73.22</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消防事务</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其他消防事务支出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2240799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其他自然灾害救灾及恢复重建支出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68"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1630"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用于体育事业的彩票公益金支出</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50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7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jc w:val="left"/>
        <w:rPr>
          <w:rFonts w:ascii="黑体" w:hAnsi="黑体" w:eastAsia="黑体" w:cs="黑体"/>
          <w:color w:val="000000"/>
          <w:sz w:val="72"/>
        </w:rPr>
      </w:pPr>
    </w:p>
    <w:p>
      <w:pPr>
        <w:jc w:val="left"/>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tbl>
      <w:tblPr>
        <w:tblStyle w:val="4"/>
        <w:tblW w:w="5000" w:type="pct"/>
        <w:tblInd w:w="0" w:type="dxa"/>
        <w:tblLayout w:type="autofit"/>
        <w:tblCellMar>
          <w:top w:w="0" w:type="dxa"/>
          <w:left w:w="108" w:type="dxa"/>
          <w:bottom w:w="0" w:type="dxa"/>
          <w:right w:w="108" w:type="dxa"/>
        </w:tblCellMar>
      </w:tblPr>
      <w:tblGrid>
        <w:gridCol w:w="402"/>
        <w:gridCol w:w="312"/>
        <w:gridCol w:w="272"/>
        <w:gridCol w:w="4832"/>
        <w:gridCol w:w="1467"/>
        <w:gridCol w:w="1467"/>
        <w:gridCol w:w="1467"/>
        <w:gridCol w:w="1103"/>
        <w:gridCol w:w="1103"/>
        <w:gridCol w:w="1749"/>
      </w:tblGrid>
      <w:tr>
        <w:tblPrEx>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12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1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24"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2009" w:type="pct"/>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525"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5"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5"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6"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6"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24" w:type="pct"/>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009"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25"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525"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525"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396"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396"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624"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08" w:hRule="atLeast"/>
        </w:trPr>
        <w:tc>
          <w:tcPr>
            <w:tcW w:w="297"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712" w:type="pct"/>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96"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96"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62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97"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71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96"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96"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62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97"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71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25"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96"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96"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624"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2009"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25"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525"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525"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96"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96"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624" w:type="pc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2009" w:type="pct"/>
            <w:gridSpan w:val="4"/>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2,341.01</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1,049.42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1,291.60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649.06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638.85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574.70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568.72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422.24</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422.24</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发展与改革事务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其他发展与改革事务支出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116.46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96.46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18.66</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其他污染防治支出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351.50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70.48</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281.02</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67.98</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160.42</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67.98</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160.42</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911.81</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126.72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785.09</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31.23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378.22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436.87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436.87</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370.87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370.87</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2130706</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对村集体经济组织的补助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2130707</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农村综合改革示范试点补助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公路水路运输</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2140199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其他公路水路运输支出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2200106</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自然资源利用与保护</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73.22</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64.47</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消防事务</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其他消防事务支出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2240799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其他自然灾害救灾及恢复重建支出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297"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171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用于体育事业的彩票公益金支出</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2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62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tbl>
      <w:tblPr>
        <w:tblStyle w:val="4"/>
        <w:tblW w:w="5000" w:type="pct"/>
        <w:tblInd w:w="0" w:type="dxa"/>
        <w:tblLayout w:type="autofit"/>
        <w:tblCellMar>
          <w:top w:w="0" w:type="dxa"/>
          <w:left w:w="108" w:type="dxa"/>
          <w:bottom w:w="0" w:type="dxa"/>
          <w:right w:w="108" w:type="dxa"/>
        </w:tblCellMar>
      </w:tblPr>
      <w:tblGrid>
        <w:gridCol w:w="3225"/>
        <w:gridCol w:w="445"/>
        <w:gridCol w:w="1361"/>
        <w:gridCol w:w="3650"/>
        <w:gridCol w:w="445"/>
        <w:gridCol w:w="1033"/>
        <w:gridCol w:w="1361"/>
        <w:gridCol w:w="1137"/>
        <w:gridCol w:w="1517"/>
      </w:tblGrid>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113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8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5"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94"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1135" w:type="pct"/>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152"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6"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85"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2"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4"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6"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5"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94" w:type="pct"/>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763"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3237" w:type="pct"/>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293" w:hRule="atLeast"/>
        </w:trPr>
        <w:tc>
          <w:tcPr>
            <w:tcW w:w="1135"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476"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1285"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5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334" w:type="pct"/>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76"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395"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594"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1135"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2"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76"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285"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34"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76"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395"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94"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2"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85"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52"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34"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7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95"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594"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2,334.61</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649.06</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649.06</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6.40</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116.46</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116.46</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351.50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349.50</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911.81</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911.81</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73.22</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73.22</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2,334.61</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6.40</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135" w:type="pct"/>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c>
          <w:tcPr>
            <w:tcW w:w="1285"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52" w:type="pct"/>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33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2,341.01</w:t>
            </w:r>
          </w:p>
        </w:tc>
        <w:tc>
          <w:tcPr>
            <w:tcW w:w="47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2,334.61</w:t>
            </w:r>
          </w:p>
        </w:tc>
        <w:tc>
          <w:tcPr>
            <w:tcW w:w="395"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6.40</w:t>
            </w:r>
          </w:p>
        </w:tc>
        <w:tc>
          <w:tcPr>
            <w:tcW w:w="59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4406" w:type="pct"/>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594" w:type="pct"/>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bl>
    <w:p>
      <w:pPr>
        <w:jc w:val="center"/>
        <w:rPr>
          <w:rFonts w:ascii="黑体" w:hAnsi="黑体" w:eastAsia="黑体" w:cs="黑体"/>
          <w:color w:val="000000"/>
          <w:sz w:val="72"/>
        </w:rPr>
      </w:pPr>
    </w:p>
    <w:p>
      <w:pPr>
        <w:jc w:val="center"/>
        <w:rPr>
          <w:rFonts w:ascii="黑体" w:hAnsi="黑体" w:eastAsia="黑体" w:cs="黑体"/>
          <w:color w:val="000000"/>
          <w:sz w:val="72"/>
        </w:rPr>
      </w:pPr>
    </w:p>
    <w:tbl>
      <w:tblPr>
        <w:tblStyle w:val="4"/>
        <w:tblW w:w="12413" w:type="dxa"/>
        <w:tblInd w:w="94" w:type="dxa"/>
        <w:tblLayout w:type="autofit"/>
        <w:tblCellMar>
          <w:top w:w="0" w:type="dxa"/>
          <w:left w:w="108" w:type="dxa"/>
          <w:bottom w:w="0" w:type="dxa"/>
          <w:right w:w="108" w:type="dxa"/>
        </w:tblCellMar>
      </w:tblPr>
      <w:tblGrid>
        <w:gridCol w:w="401"/>
        <w:gridCol w:w="314"/>
        <w:gridCol w:w="271"/>
        <w:gridCol w:w="5444"/>
        <w:gridCol w:w="1952"/>
        <w:gridCol w:w="1952"/>
        <w:gridCol w:w="2267"/>
      </w:tblGrid>
      <w:tr>
        <w:tblPrEx>
          <w:tblCellMar>
            <w:top w:w="0" w:type="dxa"/>
            <w:left w:w="108" w:type="dxa"/>
            <w:bottom w:w="0" w:type="dxa"/>
            <w:right w:w="108" w:type="dxa"/>
          </w:tblCellMar>
        </w:tblPrEx>
        <w:trPr>
          <w:trHeight w:val="390" w:hRule="atLeast"/>
        </w:trPr>
        <w:tc>
          <w:tcPr>
            <w:tcW w:w="12413" w:type="dxa"/>
            <w:gridSpan w:val="7"/>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3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4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6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6242"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195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67"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242"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171" w:type="dxa"/>
            <w:gridSpan w:val="3"/>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08" w:hRule="atLeast"/>
        </w:trPr>
        <w:tc>
          <w:tcPr>
            <w:tcW w:w="798"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444"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52"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52"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267"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285" w:hRule="atLeast"/>
        </w:trPr>
        <w:tc>
          <w:tcPr>
            <w:tcW w:w="7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44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5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5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26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79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5444"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5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95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2267"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24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52"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52"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267" w:type="dxa"/>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242"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2,334.61</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1,049.42</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1,285.20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649.06</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638.85</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10.21</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574.70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568.72</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422.24</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422.24</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5.97</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146.48</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发展与改革事务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2010499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其他发展与改革事务支出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59.43</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55.19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4.24</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0.93</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23.80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22.40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116.46</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96.46</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58.29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28.77</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28.77</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1.82</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12.76</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儿童福利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5.76</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特困人员救助供养</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2082102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农村特困人员救助供养支出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14.24</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63.17</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卫生健康管理事务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2100101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0.55</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2100404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精神卫生机构</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2.76</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0.48</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26.46</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26.46</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2100716</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计划生育机构</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18.66</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18.66</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32.91</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节能环保支出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污染防治</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2110399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其他污染防治支出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自然生态保护</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2110402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农村环境保护</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349.50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70.48</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279.02</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118.60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67.98</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160.42</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228.40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67.98</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160.42</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911.81</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126.72</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785.09</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31.23</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2130142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农村道路建设</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17.23</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2130314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防汛</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扶贫</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378.22</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334.22</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其他扶贫支出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436.87</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436.87</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370.87</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370.87</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2130706</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对村集体经济组织的补助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2130707</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农村综合改革示范试点补助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交通运输支出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公路水路运输</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2140199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其他公路水路运输支出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商业流通事务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2160201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自然资源海洋气象等支出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自然资源事务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2200106</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自然资源利用与保护</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29.59</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73.22</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8.75</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64.47</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消防事务</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其他消防事务支出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自然灾害防治</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2240601</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地质灾害防治</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52.47</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2240799</w:t>
            </w:r>
          </w:p>
        </w:tc>
        <w:tc>
          <w:tcPr>
            <w:tcW w:w="544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其他自然灾害救灾及恢复重建支出</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9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22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2413"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left"/>
        <w:rPr>
          <w:rFonts w:ascii="黑体" w:hAnsi="黑体" w:eastAsia="黑体" w:cs="黑体"/>
          <w:color w:val="000000"/>
          <w:sz w:val="72"/>
        </w:rPr>
      </w:pPr>
    </w:p>
    <w:p>
      <w:pPr>
        <w:jc w:val="center"/>
        <w:rPr>
          <w:rFonts w:ascii="黑体" w:hAnsi="黑体" w:eastAsia="黑体" w:cs="黑体"/>
          <w:color w:val="000000"/>
          <w:sz w:val="72"/>
        </w:rPr>
      </w:pPr>
    </w:p>
    <w:tbl>
      <w:tblPr>
        <w:tblStyle w:val="4"/>
        <w:tblW w:w="0" w:type="auto"/>
        <w:tblInd w:w="94" w:type="dxa"/>
        <w:tblLayout w:type="autofit"/>
        <w:tblCellMar>
          <w:top w:w="0" w:type="dxa"/>
          <w:left w:w="108" w:type="dxa"/>
          <w:bottom w:w="0" w:type="dxa"/>
          <w:right w:w="108" w:type="dxa"/>
        </w:tblCellMar>
      </w:tblPr>
      <w:tblGrid>
        <w:gridCol w:w="794"/>
        <w:gridCol w:w="2916"/>
        <w:gridCol w:w="756"/>
        <w:gridCol w:w="795"/>
        <w:gridCol w:w="2016"/>
        <w:gridCol w:w="756"/>
        <w:gridCol w:w="795"/>
        <w:gridCol w:w="3636"/>
        <w:gridCol w:w="1616"/>
      </w:tblGrid>
      <w:tr>
        <w:tblPrEx>
          <w:tblCellMar>
            <w:top w:w="0" w:type="dxa"/>
            <w:left w:w="108" w:type="dxa"/>
            <w:bottom w:w="0" w:type="dxa"/>
            <w:right w:w="108" w:type="dxa"/>
          </w:tblCellMar>
        </w:tblPrEx>
        <w:trPr>
          <w:trHeight w:val="390" w:hRule="atLeast"/>
        </w:trPr>
        <w:tc>
          <w:tcPr>
            <w:tcW w:w="0" w:type="auto"/>
            <w:gridSpan w:val="9"/>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trHeight w:val="255" w:hRule="atLeast"/>
        </w:trPr>
        <w:tc>
          <w:tcPr>
            <w:tcW w:w="0" w:type="auto"/>
            <w:gridSpan w:val="2"/>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0" w:type="auto"/>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0" w:type="auto"/>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w:t>
            </w:r>
          </w:p>
        </w:tc>
        <w:tc>
          <w:tcPr>
            <w:tcW w:w="0" w:type="auto"/>
            <w:gridSpan w:val="6"/>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w:t>
            </w:r>
          </w:p>
        </w:tc>
      </w:tr>
      <w:tr>
        <w:tblPrEx>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0" w:type="auto"/>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c>
          <w:tcPr>
            <w:tcW w:w="0" w:type="auto"/>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0" w:type="auto"/>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0" w:type="auto"/>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0" w:type="auto"/>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决算数</w:t>
            </w:r>
          </w:p>
        </w:tc>
      </w:tr>
      <w:tr>
        <w:tblPrEx>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8"/>
                <w:szCs w:val="18"/>
              </w:rPr>
            </w:pPr>
          </w:p>
        </w:tc>
        <w:tc>
          <w:tcPr>
            <w:tcW w:w="0" w:type="auto"/>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718.23</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259.86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448.16</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38.05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97.37</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27.14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35.29</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7.80</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30205</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58.29</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30206</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8.96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30207</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33.20</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30208</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30209</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3.75</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30211</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38.54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30113</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33.01</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30212</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30114</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0.36</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30213</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39.65</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30199</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1.00</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30214</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w:t>
            </w:r>
          </w:p>
        </w:tc>
        <w:tc>
          <w:tcPr>
            <w:tcW w:w="0" w:type="auto"/>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71.33</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30215</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1.86</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30216</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31013</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30217</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1.39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30303</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30218</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31021</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26.95</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30224</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31022</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30.00</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30225</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31099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7.00</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30226</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20.46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30307</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30227</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39906</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30228</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39907</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2.76</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30229</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39908</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30231</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2.12</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39999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30239</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10.30</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30399</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4.62</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30240</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30299</w:t>
            </w:r>
          </w:p>
        </w:tc>
        <w:tc>
          <w:tcPr>
            <w:tcW w:w="0" w:type="auto"/>
            <w:tcBorders>
              <w:top w:val="single" w:color="000000" w:sz="4" w:space="0"/>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71.35</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FFFFFF" w:fill="FFFFFF" w:themeFill="background1"/>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789.55</w:t>
            </w:r>
          </w:p>
        </w:tc>
        <w:tc>
          <w:tcPr>
            <w:tcW w:w="0" w:type="auto"/>
            <w:gridSpan w:val="5"/>
            <w:tcBorders>
              <w:top w:val="nil"/>
              <w:left w:val="nil"/>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259.86</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jc w:val="center"/>
        <w:rPr>
          <w:rFonts w:ascii="黑体" w:hAnsi="黑体" w:eastAsia="黑体" w:cs="黑体"/>
          <w:color w:val="000000"/>
          <w:sz w:val="72"/>
        </w:rPr>
      </w:pPr>
    </w:p>
    <w:p>
      <w:pPr>
        <w:jc w:val="left"/>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tbl>
      <w:tblPr>
        <w:tblStyle w:val="4"/>
        <w:tblW w:w="5000" w:type="pct"/>
        <w:tblInd w:w="0" w:type="dxa"/>
        <w:tblLayout w:type="autofit"/>
        <w:tblCellMar>
          <w:top w:w="0" w:type="dxa"/>
          <w:left w:w="108" w:type="dxa"/>
          <w:bottom w:w="0" w:type="dxa"/>
          <w:right w:w="108" w:type="dxa"/>
        </w:tblCellMar>
      </w:tblPr>
      <w:tblGrid>
        <w:gridCol w:w="1508"/>
        <w:gridCol w:w="1508"/>
        <w:gridCol w:w="1061"/>
        <w:gridCol w:w="1061"/>
        <w:gridCol w:w="1061"/>
        <w:gridCol w:w="1061"/>
        <w:gridCol w:w="1061"/>
        <w:gridCol w:w="1061"/>
        <w:gridCol w:w="1061"/>
        <w:gridCol w:w="1053"/>
        <w:gridCol w:w="1061"/>
        <w:gridCol w:w="1617"/>
      </w:tblGrid>
      <w:tr>
        <w:tblPrEx>
          <w:tblCellMar>
            <w:top w:w="0" w:type="dxa"/>
            <w:left w:w="108" w:type="dxa"/>
            <w:bottom w:w="0" w:type="dxa"/>
            <w:right w:w="108" w:type="dxa"/>
          </w:tblCellMar>
        </w:tblPrEx>
        <w:trPr>
          <w:trHeight w:val="390" w:hRule="atLeast"/>
        </w:trPr>
        <w:tc>
          <w:tcPr>
            <w:tcW w:w="5000" w:type="pct"/>
            <w:gridSpan w:val="12"/>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一般公共预算财政拨款“三公”经费支出决算表</w:t>
            </w:r>
          </w:p>
        </w:tc>
      </w:tr>
      <w:tr>
        <w:tblPrEx>
          <w:tblCellMar>
            <w:top w:w="0" w:type="dxa"/>
            <w:left w:w="108" w:type="dxa"/>
            <w:bottom w:w="0" w:type="dxa"/>
            <w:right w:w="108" w:type="dxa"/>
          </w:tblCellMar>
        </w:tblPrEx>
        <w:trPr>
          <w:trHeight w:val="255" w:hRule="atLeast"/>
        </w:trPr>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4"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9"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833" w:type="pct"/>
            <w:gridSpan w:val="2"/>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4"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7"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9" w:type="pct"/>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2500" w:type="pct"/>
            <w:gridSpan w:val="6"/>
            <w:tcBorders>
              <w:top w:val="single" w:color="000000" w:sz="4" w:space="0"/>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417" w:type="pct"/>
            <w:vMerge w:val="restart"/>
            <w:tcBorders>
              <w:top w:val="nil"/>
              <w:left w:val="single" w:color="000000" w:sz="4" w:space="0"/>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17" w:type="pct"/>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1250" w:type="pct"/>
            <w:gridSpan w:val="3"/>
            <w:tcBorders>
              <w:top w:val="nil"/>
              <w:left w:val="nil"/>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417" w:type="pct"/>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417" w:type="pct"/>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17" w:type="pct"/>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1248" w:type="pct"/>
            <w:gridSpan w:val="3"/>
            <w:tcBorders>
              <w:top w:val="nil"/>
              <w:left w:val="nil"/>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419" w:type="pct"/>
            <w:vMerge w:val="restar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417"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417" w:type="pc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417" w:type="pc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17" w:type="pc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414" w:type="pc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417" w:type="pct"/>
            <w:tcBorders>
              <w:top w:val="nil"/>
              <w:left w:val="nil"/>
              <w:bottom w:val="single" w:color="000000" w:sz="4" w:space="0"/>
              <w:right w:val="single" w:color="000000" w:sz="4" w:space="0"/>
            </w:tcBorders>
            <w:shd w:val="clear" w:color="FFFFFF"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419"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414"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41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419"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14"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17"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19" w:type="pc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w:t>
            </w:r>
          </w:p>
        </w:tc>
      </w:tr>
      <w:tr>
        <w:tblPrEx>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both"/>
        <w:rPr>
          <w:rFonts w:ascii="黑体" w:hAnsi="黑体" w:eastAsia="黑体" w:cs="黑体"/>
          <w:color w:val="000000"/>
          <w:sz w:val="72"/>
        </w:rPr>
      </w:pPr>
    </w:p>
    <w:tbl>
      <w:tblPr>
        <w:tblStyle w:val="4"/>
        <w:tblW w:w="5000" w:type="pct"/>
        <w:tblInd w:w="0" w:type="dxa"/>
        <w:tblLayout w:type="autofit"/>
        <w:tblCellMar>
          <w:top w:w="0" w:type="dxa"/>
          <w:left w:w="108" w:type="dxa"/>
          <w:bottom w:w="0" w:type="dxa"/>
          <w:right w:w="108" w:type="dxa"/>
        </w:tblCellMar>
      </w:tblPr>
      <w:tblGrid>
        <w:gridCol w:w="398"/>
        <w:gridCol w:w="316"/>
        <w:gridCol w:w="272"/>
        <w:gridCol w:w="4583"/>
        <w:gridCol w:w="1235"/>
        <w:gridCol w:w="1380"/>
        <w:gridCol w:w="1380"/>
        <w:gridCol w:w="1236"/>
        <w:gridCol w:w="1381"/>
        <w:gridCol w:w="1993"/>
      </w:tblGrid>
      <w:tr>
        <w:tblPrEx>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12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6"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2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2"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10"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1933" w:type="pct"/>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441"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2"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2"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1"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2"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10" w:type="pct"/>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933"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41"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492"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1424"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710"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08" w:hRule="atLeast"/>
        </w:trPr>
        <w:tc>
          <w:tcPr>
            <w:tcW w:w="311"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622" w:type="pct"/>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44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441"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71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1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62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4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41"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71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1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62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4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41"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492"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71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933"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492"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92"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92"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71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1933"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6.40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6.40</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6.40</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2120804</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农村基础设施建设支出</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2296003</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用于体育事业的彩票公益金支出</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4.40</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11"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622"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41"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92"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10"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jc w:val="center"/>
        <w:rPr>
          <w:rFonts w:ascii="黑体" w:hAnsi="黑体" w:eastAsia="黑体" w:cs="黑体"/>
          <w:color w:val="000000"/>
          <w:sz w:val="72"/>
        </w:rPr>
      </w:pPr>
    </w:p>
    <w:p>
      <w:pPr>
        <w:rPr>
          <w:rFonts w:ascii="黑体" w:hAnsi="黑体" w:eastAsia="黑体" w:cs="黑体"/>
          <w:color w:val="000000"/>
          <w:sz w:val="72"/>
        </w:rPr>
      </w:pPr>
    </w:p>
    <w:tbl>
      <w:tblPr>
        <w:tblStyle w:val="4"/>
        <w:tblW w:w="5000" w:type="pct"/>
        <w:tblInd w:w="0" w:type="dxa"/>
        <w:tblLayout w:type="autofit"/>
        <w:tblCellMar>
          <w:top w:w="0" w:type="dxa"/>
          <w:left w:w="108" w:type="dxa"/>
          <w:bottom w:w="0" w:type="dxa"/>
          <w:right w:w="108" w:type="dxa"/>
        </w:tblCellMar>
      </w:tblPr>
      <w:tblGrid>
        <w:gridCol w:w="286"/>
        <w:gridCol w:w="286"/>
        <w:gridCol w:w="289"/>
        <w:gridCol w:w="3286"/>
        <w:gridCol w:w="2775"/>
        <w:gridCol w:w="2775"/>
        <w:gridCol w:w="4477"/>
      </w:tblGrid>
      <w:tr>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1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5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7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79"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78" w:type="pct"/>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1463" w:type="pct"/>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部门：溆浦县北斗溪镇人民政府</w:t>
            </w:r>
          </w:p>
        </w:tc>
        <w:tc>
          <w:tcPr>
            <w:tcW w:w="979"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79" w:type="pct"/>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78" w:type="pct"/>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1463"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3537"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08" w:hRule="atLeast"/>
        </w:trPr>
        <w:tc>
          <w:tcPr>
            <w:tcW w:w="304"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159" w:type="pct"/>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79"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79"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78"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08" w:hRule="atLeast"/>
        </w:trPr>
        <w:tc>
          <w:tcPr>
            <w:tcW w:w="304"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59"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79"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79"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78"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04"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159"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79"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979"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c>
          <w:tcPr>
            <w:tcW w:w="1578" w:type="pct"/>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1463"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97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97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7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1463" w:type="pct"/>
            <w:gridSpan w:val="4"/>
            <w:tcBorders>
              <w:top w:val="single" w:color="000000" w:sz="4" w:space="0"/>
              <w:left w:val="single" w:color="000000" w:sz="4" w:space="0"/>
              <w:bottom w:val="single" w:color="000000" w:sz="4" w:space="0"/>
              <w:right w:val="single" w:color="000000" w:sz="4" w:space="0"/>
            </w:tcBorders>
            <w:shd w:val="clear" w:color="FFFFFF" w:fill="FFFFFF" w:themeFill="background1"/>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w:t>
            </w:r>
          </w:p>
        </w:tc>
        <w:tc>
          <w:tcPr>
            <w:tcW w:w="15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w:t>
            </w:r>
          </w:p>
        </w:tc>
      </w:tr>
      <w:tr>
        <w:tblPrEx>
          <w:tblCellMar>
            <w:top w:w="0" w:type="dxa"/>
            <w:left w:w="108" w:type="dxa"/>
            <w:bottom w:w="0" w:type="dxa"/>
            <w:right w:w="108" w:type="dxa"/>
          </w:tblCellMar>
        </w:tblPrEx>
        <w:trPr>
          <w:trHeight w:val="308" w:hRule="atLeast"/>
        </w:trPr>
        <w:tc>
          <w:tcPr>
            <w:tcW w:w="30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15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7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pPr>
        <w:rPr>
          <w:rFonts w:ascii="黑体" w:hAnsi="黑体" w:eastAsia="黑体" w:cs="黑体"/>
          <w:color w:val="000000"/>
          <w:sz w:val="72"/>
        </w:rPr>
      </w:pPr>
    </w:p>
    <w:p>
      <w:pPr>
        <w:jc w:val="center"/>
        <w:rPr>
          <w:rFonts w:ascii="黑体" w:hAnsi="黑体" w:eastAsia="黑体" w:cs="黑体"/>
          <w:color w:val="000000"/>
          <w:sz w:val="72"/>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r>
        <w:rPr>
          <w:rFonts w:ascii="黑体" w:hAnsi="黑体" w:eastAsia="黑体" w:cs="黑体"/>
          <w:color w:val="000000"/>
          <w:sz w:val="72"/>
        </w:rPr>
        <w:t>第三部分</w:t>
      </w:r>
    </w:p>
    <w:p>
      <w:pPr>
        <w:jc w:val="center"/>
        <w:rPr>
          <w:rFonts w:ascii="黑体" w:hAnsi="黑体" w:eastAsia="黑体" w:cs="黑体"/>
          <w:color w:val="000000"/>
          <w:sz w:val="70"/>
        </w:rPr>
      </w:pPr>
    </w:p>
    <w:p>
      <w:pPr>
        <w:jc w:val="center"/>
        <w:rPr>
          <w:rFonts w:ascii="黑体" w:hAnsi="黑体" w:eastAsia="黑体" w:cs="黑体"/>
          <w:color w:val="000000"/>
          <w:sz w:val="70"/>
        </w:rPr>
      </w:pPr>
      <w:r>
        <w:rPr>
          <w:rFonts w:ascii="黑体" w:hAnsi="黑体" w:eastAsia="黑体" w:cs="黑体"/>
          <w:color w:val="000000"/>
          <w:sz w:val="70"/>
        </w:rPr>
        <w:t>2021年度部门决算</w:t>
      </w:r>
    </w:p>
    <w:p>
      <w:pPr>
        <w:jc w:val="center"/>
        <w:rPr>
          <w:rFonts w:ascii="黑体" w:hAnsi="黑体" w:eastAsia="黑体" w:cs="黑体"/>
          <w:color w:val="000000"/>
          <w:sz w:val="70"/>
        </w:rPr>
      </w:pPr>
      <w:r>
        <w:rPr>
          <w:rFonts w:ascii="黑体" w:hAnsi="黑体" w:eastAsia="黑体" w:cs="黑体"/>
          <w:color w:val="000000"/>
          <w:sz w:val="70"/>
        </w:rPr>
        <w:t>情况说明</w:t>
      </w:r>
    </w:p>
    <w:p>
      <w:pPr>
        <w:jc w:val="left"/>
        <w:rPr>
          <w:rFonts w:ascii="Calibri" w:hAnsi="Calibri" w:eastAsia="Calibri" w:cs="Calibri"/>
          <w:sz w:val="70"/>
        </w:rPr>
      </w:pPr>
      <w:r>
        <w:rPr>
          <w:rFonts w:ascii="Calibri" w:hAnsi="Calibri" w:eastAsia="Calibri" w:cs="Calibri"/>
          <w:sz w:val="70"/>
        </w:rPr>
        <w:t xml:space="preserve"> </w:t>
      </w:r>
    </w:p>
    <w:p>
      <w:pPr>
        <w:jc w:val="left"/>
        <w:rPr>
          <w:rFonts w:ascii="黑体" w:hAnsi="黑体" w:eastAsia="黑体" w:cs="黑体"/>
          <w:color w:val="000000"/>
          <w:sz w:val="70"/>
        </w:rPr>
      </w:pPr>
    </w:p>
    <w:p>
      <w:pPr>
        <w:jc w:val="left"/>
        <w:rPr>
          <w:rFonts w:ascii="黑体" w:hAnsi="黑体" w:eastAsia="黑体" w:cs="黑体"/>
          <w:color w:val="000000"/>
          <w:sz w:val="32"/>
        </w:rPr>
      </w:pPr>
    </w:p>
    <w:p>
      <w:pPr>
        <w:jc w:val="left"/>
        <w:rPr>
          <w:rFonts w:ascii="黑体" w:hAnsi="黑体" w:eastAsia="黑体" w:cs="黑体"/>
          <w:b/>
          <w:color w:val="000000"/>
          <w:sz w:val="32"/>
        </w:rPr>
      </w:pPr>
    </w:p>
    <w:p>
      <w:pPr>
        <w:jc w:val="left"/>
        <w:rPr>
          <w:rFonts w:ascii="黑体" w:hAnsi="黑体" w:eastAsia="黑体" w:cs="黑体"/>
          <w:b/>
          <w:color w:val="000000"/>
          <w:sz w:val="32"/>
        </w:rPr>
      </w:pPr>
    </w:p>
    <w:p>
      <w:pPr>
        <w:jc w:val="left"/>
        <w:rPr>
          <w:rFonts w:ascii="黑体" w:hAnsi="黑体" w:eastAsia="黑体" w:cs="黑体"/>
          <w:b/>
          <w:color w:val="000000"/>
          <w:sz w:val="32"/>
        </w:rPr>
      </w:pPr>
    </w:p>
    <w:p>
      <w:pPr>
        <w:jc w:val="left"/>
        <w:rPr>
          <w:rFonts w:ascii="黑体" w:hAnsi="黑体" w:eastAsia="黑体" w:cs="黑体"/>
          <w:b/>
          <w:color w:val="000000"/>
          <w:sz w:val="32"/>
        </w:rPr>
      </w:pPr>
    </w:p>
    <w:p>
      <w:pPr>
        <w:jc w:val="left"/>
        <w:rPr>
          <w:rFonts w:ascii="黑体" w:hAnsi="黑体" w:eastAsia="黑体" w:cs="黑体"/>
          <w:b/>
          <w:color w:val="000000"/>
          <w:sz w:val="32"/>
        </w:rPr>
      </w:pPr>
    </w:p>
    <w:p>
      <w:pPr>
        <w:jc w:val="left"/>
        <w:rPr>
          <w:rFonts w:ascii="黑体" w:hAnsi="黑体" w:eastAsia="黑体" w:cs="黑体"/>
          <w:b/>
          <w:color w:val="000000"/>
          <w:sz w:val="32"/>
        </w:rPr>
      </w:pPr>
      <w:r>
        <w:rPr>
          <w:rFonts w:ascii="黑体" w:hAnsi="黑体" w:eastAsia="黑体" w:cs="黑体"/>
          <w:b/>
          <w:color w:val="000000"/>
          <w:sz w:val="32"/>
        </w:rPr>
        <w:t>一、收入支出决算总体情况说明</w:t>
      </w:r>
    </w:p>
    <w:p>
      <w:pPr>
        <w:ind w:firstLine="640"/>
        <w:jc w:val="left"/>
        <w:rPr>
          <w:rFonts w:ascii="黑体" w:hAnsi="黑体" w:eastAsia="黑体" w:cs="黑体"/>
          <w:b w:val="0"/>
          <w:bCs w:val="0"/>
          <w:color w:val="000000"/>
          <w:sz w:val="32"/>
        </w:rPr>
      </w:pPr>
      <w:r>
        <w:rPr>
          <w:rFonts w:ascii="黑体" w:hAnsi="黑体" w:eastAsia="黑体" w:cs="黑体"/>
          <w:b w:val="0"/>
          <w:bCs w:val="0"/>
          <w:color w:val="000000"/>
          <w:sz w:val="32"/>
        </w:rPr>
        <w:t>2021年度收、支总计2341.01万元。与上年相比，增加332.67万元，增长16.56%，主要是因为农林水收支增加。</w:t>
      </w:r>
    </w:p>
    <w:p>
      <w:pPr>
        <w:jc w:val="left"/>
        <w:rPr>
          <w:rFonts w:ascii="黑体" w:hAnsi="黑体" w:eastAsia="黑体" w:cs="黑体"/>
          <w:b/>
          <w:color w:val="000000"/>
          <w:sz w:val="32"/>
        </w:rPr>
      </w:pPr>
      <w:r>
        <w:rPr>
          <w:rFonts w:ascii="黑体" w:hAnsi="黑体" w:eastAsia="黑体" w:cs="黑体"/>
          <w:b/>
          <w:color w:val="000000"/>
          <w:sz w:val="32"/>
        </w:rPr>
        <w:t>二、收入决算情况说明</w:t>
      </w:r>
    </w:p>
    <w:p>
      <w:pPr>
        <w:ind w:firstLine="640"/>
        <w:jc w:val="left"/>
        <w:rPr>
          <w:rFonts w:ascii="黑体" w:hAnsi="黑体" w:eastAsia="黑体" w:cs="黑体"/>
          <w:color w:val="000000"/>
          <w:sz w:val="32"/>
        </w:rPr>
      </w:pPr>
      <w:r>
        <w:rPr>
          <w:rFonts w:ascii="黑体" w:hAnsi="黑体" w:eastAsia="黑体" w:cs="黑体"/>
          <w:color w:val="000000"/>
          <w:sz w:val="32"/>
        </w:rPr>
        <w:t>2021年度收入合计2341.01万元，其中：财政拨款收入2341.01万元，占100%；上级补助收入0万元，占0%；事业收入0万元，占0%；经营收入0万元，占0%；附属单位上缴收入0万元，占0%；其他收入0万元，占0%。</w:t>
      </w:r>
    </w:p>
    <w:p>
      <w:pPr>
        <w:jc w:val="left"/>
        <w:rPr>
          <w:rFonts w:ascii="黑体" w:hAnsi="黑体" w:eastAsia="黑体" w:cs="黑体"/>
          <w:b/>
          <w:color w:val="000000"/>
          <w:sz w:val="32"/>
        </w:rPr>
      </w:pPr>
      <w:r>
        <w:rPr>
          <w:rFonts w:ascii="黑体" w:hAnsi="黑体" w:eastAsia="黑体" w:cs="黑体"/>
          <w:b/>
          <w:color w:val="000000"/>
          <w:sz w:val="32"/>
        </w:rPr>
        <w:t>三、支出决算情况说明</w:t>
      </w:r>
    </w:p>
    <w:p>
      <w:pPr>
        <w:ind w:firstLine="640"/>
        <w:jc w:val="left"/>
        <w:rPr>
          <w:rFonts w:ascii="黑体" w:hAnsi="黑体" w:eastAsia="黑体" w:cs="黑体"/>
          <w:color w:val="000000"/>
          <w:sz w:val="32"/>
        </w:rPr>
      </w:pPr>
      <w:r>
        <w:rPr>
          <w:rFonts w:ascii="黑体" w:hAnsi="黑体" w:eastAsia="黑体" w:cs="黑体"/>
          <w:color w:val="000000"/>
          <w:sz w:val="32"/>
        </w:rPr>
        <w:t>2021年度支出合计2341.01万元，其中：基本支出1049.42万元，占44.95%；项目支出</w:t>
      </w:r>
      <w:r>
        <w:rPr>
          <w:rFonts w:hint="eastAsia" w:ascii="黑体" w:hAnsi="黑体" w:eastAsia="黑体" w:cs="黑体"/>
          <w:color w:val="000000"/>
          <w:sz w:val="32"/>
        </w:rPr>
        <w:t>1291.6</w:t>
      </w:r>
      <w:r>
        <w:rPr>
          <w:rFonts w:ascii="黑体" w:hAnsi="黑体" w:eastAsia="黑体" w:cs="黑体"/>
          <w:color w:val="000000"/>
          <w:sz w:val="32"/>
        </w:rPr>
        <w:t>万元，占55.05%；上缴上级支出0万元，占0%；经营支出0万元，占0%；对附属单位补助支出0万元，占0%。</w:t>
      </w:r>
    </w:p>
    <w:p>
      <w:pPr>
        <w:jc w:val="left"/>
        <w:rPr>
          <w:rFonts w:ascii="黑体" w:hAnsi="黑体" w:eastAsia="黑体" w:cs="黑体"/>
          <w:b/>
          <w:color w:val="000000"/>
          <w:sz w:val="32"/>
        </w:rPr>
      </w:pPr>
      <w:r>
        <w:rPr>
          <w:rFonts w:ascii="黑体" w:hAnsi="黑体" w:eastAsia="黑体" w:cs="黑体"/>
          <w:b/>
          <w:color w:val="000000"/>
          <w:sz w:val="32"/>
        </w:rPr>
        <w:t>四、财政拨款收入支出决算总体情况说明</w:t>
      </w:r>
    </w:p>
    <w:p>
      <w:pPr>
        <w:jc w:val="left"/>
        <w:rPr>
          <w:rFonts w:ascii="黑体" w:hAnsi="黑体" w:eastAsia="黑体" w:cs="黑体"/>
          <w:color w:val="000000"/>
          <w:sz w:val="32"/>
        </w:rPr>
      </w:pPr>
      <w:r>
        <w:rPr>
          <w:rFonts w:ascii="黑体" w:hAnsi="黑体" w:eastAsia="黑体" w:cs="黑体"/>
          <w:color w:val="000000"/>
          <w:sz w:val="32"/>
        </w:rPr>
        <w:t xml:space="preserve">    2021年度财政拨款收、支总计2341.01万元，与上年相比，增加332.67万元,增长16.56%，主要是因为农林水收支增加。</w:t>
      </w:r>
    </w:p>
    <w:p>
      <w:pPr>
        <w:jc w:val="left"/>
        <w:rPr>
          <w:rFonts w:ascii="黑体" w:hAnsi="黑体" w:eastAsia="黑体" w:cs="黑体"/>
          <w:b/>
          <w:color w:val="000000"/>
          <w:sz w:val="32"/>
        </w:rPr>
      </w:pPr>
      <w:r>
        <w:rPr>
          <w:rFonts w:ascii="黑体" w:hAnsi="黑体" w:eastAsia="黑体" w:cs="黑体"/>
          <w:b/>
          <w:color w:val="000000"/>
          <w:sz w:val="32"/>
        </w:rPr>
        <w:t>五、一般公共预算财政拨款支出决算情况说明</w:t>
      </w:r>
    </w:p>
    <w:p>
      <w:pPr>
        <w:ind w:firstLine="643"/>
        <w:jc w:val="left"/>
        <w:rPr>
          <w:rFonts w:ascii="黑体" w:hAnsi="黑体" w:eastAsia="黑体" w:cs="黑体"/>
          <w:b/>
          <w:color w:val="000000"/>
          <w:sz w:val="32"/>
        </w:rPr>
      </w:pPr>
      <w:r>
        <w:rPr>
          <w:rFonts w:ascii="黑体" w:hAnsi="黑体" w:eastAsia="黑体" w:cs="黑体"/>
          <w:b/>
          <w:color w:val="000000"/>
          <w:sz w:val="32"/>
        </w:rPr>
        <w:t>（一）财政拨款支出决算总体情况</w:t>
      </w:r>
    </w:p>
    <w:p>
      <w:pPr>
        <w:ind w:firstLine="800"/>
        <w:jc w:val="left"/>
        <w:rPr>
          <w:rFonts w:ascii="黑体" w:hAnsi="黑体" w:eastAsia="黑体" w:cs="黑体"/>
          <w:color w:val="000000"/>
          <w:sz w:val="32"/>
        </w:rPr>
      </w:pPr>
      <w:r>
        <w:rPr>
          <w:rFonts w:ascii="黑体" w:hAnsi="黑体" w:eastAsia="黑体" w:cs="黑体"/>
          <w:color w:val="000000"/>
          <w:sz w:val="32"/>
        </w:rPr>
        <w:t>2021年度财政拨款支出</w:t>
      </w:r>
      <w:r>
        <w:rPr>
          <w:rFonts w:hint="eastAsia" w:ascii="黑体" w:hAnsi="黑体" w:eastAsia="黑体" w:cs="黑体"/>
          <w:color w:val="000000"/>
          <w:sz w:val="32"/>
        </w:rPr>
        <w:t>2334.61</w:t>
      </w:r>
      <w:r>
        <w:rPr>
          <w:rFonts w:ascii="黑体" w:hAnsi="黑体" w:eastAsia="黑体" w:cs="黑体"/>
          <w:color w:val="000000"/>
          <w:sz w:val="32"/>
        </w:rPr>
        <w:t>万元，占本年支出合计的100%，与上年相比，财政拨款支出增加</w:t>
      </w:r>
      <w:r>
        <w:rPr>
          <w:rFonts w:hint="eastAsia" w:ascii="黑体" w:hAnsi="黑体" w:eastAsia="黑体" w:cs="黑体"/>
          <w:color w:val="000000"/>
          <w:sz w:val="32"/>
        </w:rPr>
        <w:t>384</w:t>
      </w:r>
      <w:r>
        <w:rPr>
          <w:rFonts w:ascii="黑体" w:hAnsi="黑体" w:eastAsia="黑体" w:cs="黑体"/>
          <w:color w:val="000000"/>
          <w:sz w:val="32"/>
        </w:rPr>
        <w:t>万元，增长</w:t>
      </w:r>
      <w:r>
        <w:rPr>
          <w:rFonts w:hint="eastAsia" w:ascii="黑体" w:hAnsi="黑体" w:eastAsia="黑体" w:cs="黑体"/>
          <w:color w:val="000000"/>
          <w:sz w:val="32"/>
        </w:rPr>
        <w:t>19.68</w:t>
      </w:r>
      <w:r>
        <w:rPr>
          <w:rFonts w:ascii="黑体" w:hAnsi="黑体" w:eastAsia="黑体" w:cs="黑体"/>
          <w:color w:val="000000"/>
          <w:sz w:val="32"/>
        </w:rPr>
        <w:t>%，主要是因为农林水支出增加。</w:t>
      </w:r>
    </w:p>
    <w:p>
      <w:pPr>
        <w:ind w:firstLine="482"/>
        <w:jc w:val="left"/>
        <w:rPr>
          <w:rFonts w:ascii="黑体" w:hAnsi="黑体" w:eastAsia="黑体" w:cs="黑体"/>
          <w:b/>
          <w:color w:val="000000"/>
          <w:sz w:val="32"/>
        </w:rPr>
      </w:pPr>
      <w:r>
        <w:rPr>
          <w:rFonts w:ascii="黑体" w:hAnsi="黑体" w:eastAsia="黑体" w:cs="黑体"/>
          <w:b/>
          <w:color w:val="000000"/>
          <w:sz w:val="32"/>
        </w:rPr>
        <w:t>（二）财政拨款支出决算结构情况</w:t>
      </w:r>
    </w:p>
    <w:p>
      <w:pPr>
        <w:ind w:firstLine="640"/>
        <w:jc w:val="left"/>
        <w:rPr>
          <w:rFonts w:ascii="黑体" w:hAnsi="黑体" w:eastAsia="黑体" w:cs="黑体"/>
          <w:color w:val="000000"/>
          <w:sz w:val="32"/>
        </w:rPr>
      </w:pPr>
      <w:r>
        <w:rPr>
          <w:rFonts w:ascii="黑体" w:hAnsi="黑体" w:eastAsia="黑体" w:cs="黑体"/>
          <w:color w:val="000000"/>
          <w:sz w:val="32"/>
        </w:rPr>
        <w:t>2021年度财政拨款支出</w:t>
      </w:r>
      <w:r>
        <w:rPr>
          <w:rFonts w:hint="eastAsia" w:ascii="黑体" w:hAnsi="黑体" w:eastAsia="黑体" w:cs="黑体"/>
          <w:color w:val="000000"/>
          <w:sz w:val="32"/>
        </w:rPr>
        <w:t>2334.61</w:t>
      </w:r>
      <w:r>
        <w:rPr>
          <w:rFonts w:ascii="黑体" w:hAnsi="黑体" w:eastAsia="黑体" w:cs="黑体"/>
          <w:color w:val="000000"/>
          <w:sz w:val="32"/>
        </w:rPr>
        <w:t>万元，主要用于以下方面：一般公共服务（类）支出649.06万元，占27.</w:t>
      </w:r>
      <w:r>
        <w:rPr>
          <w:rFonts w:hint="eastAsia" w:ascii="黑体" w:hAnsi="黑体" w:eastAsia="黑体" w:cs="黑体"/>
          <w:color w:val="000000"/>
          <w:sz w:val="32"/>
        </w:rPr>
        <w:t>80</w:t>
      </w:r>
      <w:r>
        <w:rPr>
          <w:rFonts w:ascii="黑体" w:hAnsi="黑体" w:eastAsia="黑体" w:cs="黑体"/>
          <w:color w:val="000000"/>
          <w:sz w:val="32"/>
        </w:rPr>
        <w:t>%；公共安全（类）支出23.8万元，占1%;文化旅游体育与传媒（类）支出9万元，占0.38%；社会保障和就业（类）支出116.46万元，占4.9</w:t>
      </w:r>
      <w:r>
        <w:rPr>
          <w:rFonts w:hint="eastAsia" w:ascii="黑体" w:hAnsi="黑体" w:eastAsia="黑体" w:cs="黑体"/>
          <w:color w:val="000000"/>
          <w:sz w:val="32"/>
        </w:rPr>
        <w:t>9</w:t>
      </w:r>
      <w:r>
        <w:rPr>
          <w:rFonts w:ascii="黑体" w:hAnsi="黑体" w:eastAsia="黑体" w:cs="黑体"/>
          <w:color w:val="000000"/>
          <w:sz w:val="32"/>
        </w:rPr>
        <w:t>%；卫生健康（类）支出63.17万元，占2.7%；节能环保（类）支出4万元，占0.19%；城乡社区（类）支出</w:t>
      </w:r>
      <w:r>
        <w:rPr>
          <w:rFonts w:hint="eastAsia" w:ascii="黑体" w:hAnsi="黑体" w:eastAsia="黑体" w:cs="黑体"/>
          <w:color w:val="000000"/>
          <w:sz w:val="32"/>
        </w:rPr>
        <w:t>349.5</w:t>
      </w:r>
      <w:r>
        <w:rPr>
          <w:rFonts w:ascii="黑体" w:hAnsi="黑体" w:eastAsia="黑体" w:cs="黑体"/>
          <w:color w:val="000000"/>
          <w:sz w:val="32"/>
        </w:rPr>
        <w:t>万元，占1</w:t>
      </w:r>
      <w:r>
        <w:rPr>
          <w:rFonts w:hint="eastAsia" w:ascii="黑体" w:hAnsi="黑体" w:eastAsia="黑体" w:cs="黑体"/>
          <w:color w:val="000000"/>
          <w:sz w:val="32"/>
        </w:rPr>
        <w:t>4.97</w:t>
      </w:r>
      <w:r>
        <w:rPr>
          <w:rFonts w:ascii="黑体" w:hAnsi="黑体" w:eastAsia="黑体" w:cs="黑体"/>
          <w:color w:val="000000"/>
          <w:sz w:val="32"/>
        </w:rPr>
        <w:t>%；农林水（类）支出911.81万元，占3</w:t>
      </w:r>
      <w:r>
        <w:rPr>
          <w:rFonts w:hint="eastAsia" w:ascii="黑体" w:hAnsi="黑体" w:eastAsia="黑体" w:cs="黑体"/>
          <w:color w:val="000000"/>
          <w:sz w:val="32"/>
        </w:rPr>
        <w:t>9.06</w:t>
      </w:r>
      <w:r>
        <w:rPr>
          <w:rFonts w:ascii="黑体" w:hAnsi="黑体" w:eastAsia="黑体" w:cs="黑体"/>
          <w:color w:val="000000"/>
          <w:sz w:val="32"/>
        </w:rPr>
        <w:t>%，交通运输（类）支出6万元，占0.26%；商业服务业等（类）支出4万元，占0.19%；自然资源海洋气象等（类）支出95万元，占4.0</w:t>
      </w:r>
      <w:r>
        <w:rPr>
          <w:rFonts w:hint="eastAsia" w:ascii="黑体" w:hAnsi="黑体" w:eastAsia="黑体" w:cs="黑体"/>
          <w:color w:val="000000"/>
          <w:sz w:val="32"/>
        </w:rPr>
        <w:t>7</w:t>
      </w:r>
      <w:r>
        <w:rPr>
          <w:rFonts w:ascii="黑体" w:hAnsi="黑体" w:eastAsia="黑体" w:cs="黑体"/>
          <w:color w:val="000000"/>
          <w:sz w:val="32"/>
        </w:rPr>
        <w:t>%；住房保障（类）支出29.59万元，占1.26%；灾害防治及应急救灾（类）支出73.22万元，占3.13% 。</w:t>
      </w:r>
    </w:p>
    <w:p>
      <w:pPr>
        <w:ind w:firstLine="803"/>
        <w:jc w:val="left"/>
        <w:rPr>
          <w:rFonts w:ascii="黑体" w:hAnsi="黑体" w:eastAsia="黑体" w:cs="黑体"/>
          <w:b/>
          <w:color w:val="000000"/>
          <w:sz w:val="32"/>
        </w:rPr>
      </w:pPr>
      <w:r>
        <w:rPr>
          <w:rFonts w:ascii="黑体" w:hAnsi="黑体" w:eastAsia="黑体" w:cs="黑体"/>
          <w:b/>
          <w:color w:val="000000"/>
          <w:sz w:val="32"/>
        </w:rPr>
        <w:t>（三）财政拨款支出决算具体情况</w:t>
      </w:r>
    </w:p>
    <w:p>
      <w:pPr>
        <w:ind w:firstLine="800"/>
        <w:jc w:val="left"/>
        <w:rPr>
          <w:rFonts w:ascii="黑体" w:hAnsi="黑体" w:eastAsia="黑体" w:cs="黑体"/>
          <w:color w:val="000000"/>
          <w:sz w:val="32"/>
        </w:rPr>
      </w:pPr>
      <w:r>
        <w:rPr>
          <w:rFonts w:ascii="黑体" w:hAnsi="黑体" w:eastAsia="黑体" w:cs="黑体"/>
          <w:color w:val="000000"/>
          <w:sz w:val="32"/>
        </w:rPr>
        <w:t>2021年度财政拨款支出年初预算数为</w:t>
      </w:r>
      <w:r>
        <w:rPr>
          <w:rFonts w:hint="eastAsia" w:ascii="黑体" w:hAnsi="黑体" w:eastAsia="黑体" w:cs="黑体"/>
          <w:color w:val="000000"/>
          <w:sz w:val="32"/>
        </w:rPr>
        <w:t>2334.61</w:t>
      </w:r>
      <w:r>
        <w:rPr>
          <w:rFonts w:ascii="黑体" w:hAnsi="黑体" w:eastAsia="黑体" w:cs="黑体"/>
          <w:color w:val="000000"/>
          <w:sz w:val="32"/>
        </w:rPr>
        <w:t>万元，支出决算数为</w:t>
      </w:r>
      <w:r>
        <w:rPr>
          <w:rFonts w:hint="eastAsia" w:ascii="黑体" w:hAnsi="黑体" w:eastAsia="黑体" w:cs="黑体"/>
          <w:color w:val="000000"/>
          <w:sz w:val="32"/>
        </w:rPr>
        <w:t>2334.61</w:t>
      </w:r>
      <w:r>
        <w:rPr>
          <w:rFonts w:ascii="黑体" w:hAnsi="黑体" w:eastAsia="黑体" w:cs="黑体"/>
          <w:color w:val="000000"/>
          <w:sz w:val="32"/>
        </w:rPr>
        <w:t>万元，完成年初预算的100%，其中：</w:t>
      </w:r>
    </w:p>
    <w:p>
      <w:pPr>
        <w:ind w:firstLine="800"/>
        <w:jc w:val="left"/>
        <w:rPr>
          <w:rFonts w:ascii="黑体" w:hAnsi="黑体" w:eastAsia="黑体" w:cs="黑体"/>
          <w:color w:val="000000"/>
          <w:sz w:val="32"/>
        </w:rPr>
      </w:pPr>
      <w:r>
        <w:rPr>
          <w:rFonts w:ascii="黑体" w:hAnsi="黑体" w:eastAsia="黑体" w:cs="黑体"/>
          <w:color w:val="000000"/>
          <w:sz w:val="32"/>
        </w:rPr>
        <w:t>1、一般公共服务支出（类）政府办公厅（室）及相关机构事务（款）行政运行（项）。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年初预算为422.24万元，支出决算为422.24万元，完成年初预算的100%，决算数等于年初预算数。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2、一般公共服务支出（类）政府办公厅（室）及相关机构事务（款）一般行政管理事务（项）。</w:t>
      </w:r>
    </w:p>
    <w:p>
      <w:pPr>
        <w:ind w:firstLine="800"/>
        <w:jc w:val="left"/>
        <w:rPr>
          <w:rFonts w:ascii="黑体" w:hAnsi="黑体" w:eastAsia="黑体" w:cs="黑体"/>
          <w:color w:val="000000"/>
          <w:sz w:val="32"/>
        </w:rPr>
      </w:pPr>
      <w:r>
        <w:rPr>
          <w:rFonts w:ascii="黑体" w:hAnsi="黑体" w:eastAsia="黑体" w:cs="黑体"/>
          <w:color w:val="000000"/>
          <w:sz w:val="32"/>
        </w:rPr>
        <w:t>年初预算为5.97万元，支出决算为5.97万元，完成年初预算的100%，决算数等于年初预算数。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3、一般公共服务支出（类）政府办公厅（室）及相关机构事务（款）他政府办公厅（室）及相关机构事务支出（项）。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年初预算为146.48万元，支出决算为146.48万元，完成年初预算的100%，决算数等于年初预算数。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4、一般公共服务支出（类）发展与改革事务（款）其他发展与改革事务支出（项）。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年初预算为12万元，支出决算为12万元，完成年初预算的100%，决算数等于年初预算数。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5、一般公共服务支出（类）统计信息事务（款）专项普查活动（项）。</w:t>
      </w:r>
    </w:p>
    <w:p>
      <w:pPr>
        <w:ind w:firstLine="800"/>
        <w:jc w:val="left"/>
        <w:rPr>
          <w:rFonts w:ascii="黑体" w:hAnsi="黑体" w:eastAsia="黑体" w:cs="黑体"/>
          <w:color w:val="000000"/>
          <w:sz w:val="32"/>
        </w:rPr>
      </w:pPr>
      <w:r>
        <w:rPr>
          <w:rFonts w:ascii="黑体" w:hAnsi="黑体" w:eastAsia="黑体" w:cs="黑体"/>
          <w:color w:val="000000"/>
          <w:sz w:val="32"/>
        </w:rPr>
        <w:t>年初预算为2万元，支出决算为2万元，完成年初预算的100%，决算数等于年初预算数。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6、一般公共服务支出（类）财政事务（款）行政运行（项）。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年初预算为55.19万元，支出决算为55.19万元，完成年初预算的100%，决算数等于年初预算数。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7、一般公共服务支出（类）财政事务（款）一般行政管理事务（项）。</w:t>
      </w:r>
    </w:p>
    <w:p>
      <w:pPr>
        <w:ind w:firstLine="800"/>
        <w:jc w:val="left"/>
        <w:rPr>
          <w:rFonts w:ascii="黑体" w:hAnsi="黑体" w:eastAsia="黑体" w:cs="黑体"/>
          <w:color w:val="000000"/>
          <w:sz w:val="32"/>
        </w:rPr>
      </w:pPr>
      <w:r>
        <w:rPr>
          <w:rFonts w:ascii="黑体" w:hAnsi="黑体" w:eastAsia="黑体" w:cs="黑体"/>
          <w:color w:val="000000"/>
          <w:sz w:val="32"/>
        </w:rPr>
        <w:t>年初预算为4.24万元，支出决算为4.24万元，完成年初预算的100%，决算数等于年初预算数。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8、一般公共服务支出（类）纪检监察事务（款）行政运行（项）。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年初预算为0.93万元，支出决算为0.93万元，完成年初预算的100%，决算数等于年初预算数。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9、公共安全支出（类）公安（款）一般行政管理事务（项）。</w:t>
      </w:r>
    </w:p>
    <w:p>
      <w:pPr>
        <w:ind w:firstLine="800"/>
        <w:jc w:val="left"/>
        <w:rPr>
          <w:rFonts w:ascii="黑体" w:hAnsi="黑体" w:eastAsia="黑体" w:cs="黑体"/>
          <w:color w:val="000000"/>
          <w:sz w:val="32"/>
        </w:rPr>
      </w:pPr>
      <w:r>
        <w:rPr>
          <w:rFonts w:ascii="黑体" w:hAnsi="黑体" w:eastAsia="黑体" w:cs="黑体"/>
          <w:color w:val="000000"/>
          <w:sz w:val="32"/>
        </w:rPr>
        <w:t>年初预算为22.4万元，支出决算为22.4万元，完成年初预算的100%，决算数等于年初预算数。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10、公共安全支出（类）公安（款）其他公安支出（项）。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年初预算为1.4万元，支出决算为1.4万元，完成年初预算的100%，决算数等于年初预算数。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11、文化旅游体育与传媒支出（类）文化和旅游（款）其他文化和旅游支出（项）。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年初预算为6万元，支出决算为6万元，完成年初预算的100%，决算数等于年初预算数。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12、文化旅游体育与传媒支出（类）其他文化旅游体育与传媒支出（款）其他文化旅游体育与传媒支出（项）。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年初预算为3万元，支出决算为3万元，完成年初预算的100%，决算数等于年初预算数。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13、社会保障和就业支出（类）行政事业单位养老支出（款）机关事业单位基本养老保险缴费支出（项）。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年初预算为58.29万元，支出决算为58.29万元，完成年初预算的100%，决算数等于年初预算数。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14、社会保障和就业支出（类）抚恤（款）死亡抚恤（项）。</w:t>
      </w:r>
    </w:p>
    <w:p>
      <w:pPr>
        <w:ind w:firstLine="800"/>
        <w:jc w:val="left"/>
        <w:rPr>
          <w:rFonts w:ascii="黑体" w:hAnsi="黑体" w:eastAsia="黑体" w:cs="黑体"/>
          <w:color w:val="000000"/>
          <w:sz w:val="32"/>
        </w:rPr>
      </w:pPr>
      <w:r>
        <w:rPr>
          <w:rFonts w:ascii="黑体" w:hAnsi="黑体" w:eastAsia="黑体" w:cs="黑体"/>
          <w:color w:val="000000"/>
          <w:sz w:val="32"/>
        </w:rPr>
        <w:t>年初预算为26.95万元，支出决算为26.95万元，完成年初预算的100%，决算数等于年初预算数。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15、社会保障和就业支出（类）抚恤（款）其他优抚支出（项）。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年初预算为1.82万元，支出决算为1.82万元，完成年初预算的100%，决算数等于年初预算数。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16、社会保障和就业支出（类）社会福利（款）儿童福利（项）。</w:t>
      </w:r>
    </w:p>
    <w:p>
      <w:pPr>
        <w:ind w:firstLine="800"/>
        <w:jc w:val="left"/>
        <w:rPr>
          <w:rFonts w:ascii="黑体" w:hAnsi="黑体" w:eastAsia="黑体" w:cs="黑体"/>
          <w:color w:val="000000"/>
          <w:sz w:val="32"/>
        </w:rPr>
      </w:pPr>
      <w:r>
        <w:rPr>
          <w:rFonts w:ascii="黑体" w:hAnsi="黑体" w:eastAsia="黑体" w:cs="黑体"/>
          <w:color w:val="000000"/>
          <w:sz w:val="32"/>
        </w:rPr>
        <w:t>年初预算为7万元，支出决算为7万元，完成年初预算的100%，决算数等于年初预算数。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17、社会保障和就业支出（类）社会福利（款）老年福利（项）。</w:t>
      </w:r>
    </w:p>
    <w:p>
      <w:pPr>
        <w:ind w:firstLine="800"/>
        <w:jc w:val="left"/>
        <w:rPr>
          <w:rFonts w:ascii="黑体" w:hAnsi="黑体" w:eastAsia="黑体" w:cs="黑体"/>
          <w:color w:val="000000"/>
          <w:sz w:val="32"/>
        </w:rPr>
      </w:pPr>
      <w:r>
        <w:rPr>
          <w:rFonts w:ascii="黑体" w:hAnsi="黑体" w:eastAsia="黑体" w:cs="黑体"/>
          <w:color w:val="000000"/>
          <w:sz w:val="32"/>
        </w:rPr>
        <w:t>年初预算为5.76万元，支出决算为5.76万元，完成年初预算的100%，决算数等于年初预算数。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18、社会保障和就业支出（类）特困人员救助供养（款）农村特困人员救助供养支出（项）。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年初预算为14.24万元，支出决算为14.24万元，完成年初预算的100%，决算数等于年初预算数。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19、社会保障和就业支出（类）退役军人管理事务（款）其他退役军人事务管理支出（项）。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年初预算为2.4万元，支出决算为2.4万元，完成年初预算的100%，决算数等于年初预算数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20、卫生健康支出（类）卫生健康管理事务（款）行政运行（项）。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年初预算为0.55万元，支出决算为0.55万元，完成年初预算的100%，决算数等于年初预算数。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21、卫生健康支出（类）公共卫生（款）精神卫生机构（项）。</w:t>
      </w:r>
    </w:p>
    <w:p>
      <w:pPr>
        <w:ind w:firstLine="800"/>
        <w:jc w:val="left"/>
        <w:rPr>
          <w:rFonts w:ascii="黑体" w:hAnsi="黑体" w:eastAsia="黑体" w:cs="黑体"/>
          <w:color w:val="000000"/>
          <w:sz w:val="32"/>
        </w:rPr>
      </w:pPr>
      <w:r>
        <w:rPr>
          <w:rFonts w:ascii="黑体" w:hAnsi="黑体" w:eastAsia="黑体" w:cs="黑体"/>
          <w:color w:val="000000"/>
          <w:sz w:val="32"/>
        </w:rPr>
        <w:t>年初预算为2.76万元，支出决算为2.76万元，完成年初预算的100%，决算数等于年初预算数。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22、卫生健康支出（类）公共卫生（款）突发公共卫生事件应急处理（项）。</w:t>
      </w:r>
    </w:p>
    <w:p>
      <w:pPr>
        <w:ind w:firstLine="800"/>
        <w:jc w:val="left"/>
        <w:rPr>
          <w:rFonts w:ascii="黑体" w:hAnsi="黑体" w:eastAsia="黑体" w:cs="黑体"/>
          <w:color w:val="000000"/>
          <w:sz w:val="32"/>
        </w:rPr>
      </w:pPr>
      <w:r>
        <w:rPr>
          <w:rFonts w:ascii="黑体" w:hAnsi="黑体" w:eastAsia="黑体" w:cs="黑体"/>
          <w:color w:val="000000"/>
          <w:sz w:val="32"/>
        </w:rPr>
        <w:t>年初预算为0.48万元，支出决算为0.48万元，完成年初预算的100%，决算数等于年初预算数。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23、卫生健康支出（类）计划生育事务（款）计划生育机构（项）。</w:t>
      </w:r>
    </w:p>
    <w:p>
      <w:pPr>
        <w:ind w:firstLine="800"/>
        <w:jc w:val="left"/>
        <w:rPr>
          <w:rFonts w:ascii="黑体" w:hAnsi="黑体" w:eastAsia="黑体" w:cs="黑体"/>
          <w:color w:val="000000"/>
          <w:sz w:val="32"/>
        </w:rPr>
      </w:pPr>
      <w:r>
        <w:rPr>
          <w:rFonts w:ascii="黑体" w:hAnsi="黑体" w:eastAsia="黑体" w:cs="黑体"/>
          <w:color w:val="000000"/>
          <w:sz w:val="32"/>
        </w:rPr>
        <w:t>年初预算为18.66万元，支出决算为18.66万元，完成年初预算的100%，决算数等于年初预算数。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24、卫生健康支出（类）计划生育事务（款）计划生育服务（项）。</w:t>
      </w:r>
    </w:p>
    <w:p>
      <w:pPr>
        <w:ind w:firstLine="800"/>
        <w:jc w:val="left"/>
        <w:rPr>
          <w:rFonts w:ascii="黑体" w:hAnsi="黑体" w:eastAsia="黑体" w:cs="黑体"/>
          <w:color w:val="000000"/>
          <w:sz w:val="32"/>
        </w:rPr>
      </w:pPr>
      <w:r>
        <w:rPr>
          <w:rFonts w:ascii="黑体" w:hAnsi="黑体" w:eastAsia="黑体" w:cs="黑体"/>
          <w:color w:val="000000"/>
          <w:sz w:val="32"/>
        </w:rPr>
        <w:t>年初预算为7.8万元，支出决算为7.8万元，完成年初预算的100%，决算数等于年初预算数。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25、卫生健康支出（类）行政事业单位医疗（款）行政单位医疗（项）。</w:t>
      </w:r>
    </w:p>
    <w:p>
      <w:pPr>
        <w:ind w:firstLine="800"/>
        <w:jc w:val="left"/>
        <w:rPr>
          <w:rFonts w:ascii="黑体" w:hAnsi="黑体" w:eastAsia="黑体" w:cs="黑体"/>
          <w:color w:val="000000"/>
          <w:sz w:val="32"/>
        </w:rPr>
      </w:pPr>
      <w:r>
        <w:rPr>
          <w:rFonts w:ascii="黑体" w:hAnsi="黑体" w:eastAsia="黑体" w:cs="黑体"/>
          <w:color w:val="000000"/>
          <w:sz w:val="32"/>
        </w:rPr>
        <w:t>年初预算为32.91万元，支出决算为32.91万元，完成年初预算的100%，决算数等于年初预算数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26、节能环保支出（类）污染防治（款）其他污染防治支出（项）。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年初预算为1万元，支出决算为1万元，完成年初预算的100%，决算数等于年初预算数。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27、节能环保支出（类）自然生态保护（款）农村环境保护（项）。</w:t>
      </w:r>
    </w:p>
    <w:p>
      <w:pPr>
        <w:ind w:firstLine="800"/>
        <w:jc w:val="left"/>
        <w:rPr>
          <w:rFonts w:ascii="黑体" w:hAnsi="黑体" w:eastAsia="黑体" w:cs="黑体"/>
          <w:color w:val="000000"/>
          <w:sz w:val="32"/>
        </w:rPr>
      </w:pPr>
      <w:r>
        <w:rPr>
          <w:rFonts w:ascii="黑体" w:hAnsi="黑体" w:eastAsia="黑体" w:cs="黑体"/>
          <w:color w:val="000000"/>
          <w:sz w:val="32"/>
        </w:rPr>
        <w:t>年初预算为3万元，支出决算为3万元，完成年初预算的100%，决算数等于年初预算数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28、城乡社区支出（类）城乡社区管理事务（款）行政运行（项）。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年初预算为1万元，支出决算为1万元，完成年初预算的100%，决算数等于年初预算数。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29、城乡社区支出（类）城乡社区管理事务（款）其他城乡社区管理事务支出（项）。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年初预算为0.5万元，支出决算为0.5万元，完成年初预算的100%，决算数等于年初预算数。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30、城乡社区支出（类）城乡社区公共设施（款）小城镇基础设施建设（项）。</w:t>
      </w:r>
    </w:p>
    <w:p>
      <w:pPr>
        <w:ind w:firstLine="800"/>
        <w:jc w:val="left"/>
        <w:rPr>
          <w:rFonts w:ascii="黑体" w:hAnsi="黑体" w:eastAsia="黑体" w:cs="黑体"/>
          <w:color w:val="000000"/>
          <w:sz w:val="32"/>
        </w:rPr>
      </w:pPr>
      <w:r>
        <w:rPr>
          <w:rFonts w:ascii="黑体" w:hAnsi="黑体" w:eastAsia="黑体" w:cs="黑体"/>
          <w:color w:val="000000"/>
          <w:sz w:val="32"/>
        </w:rPr>
        <w:t>年初预算为118.6万元，支出决算为118.6万元，完成年初预算的100%，决算数等于年初预算数。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31、城乡社区支出（类）城乡社区环境卫生（款）城乡社区环境卫生（项）。</w:t>
      </w:r>
    </w:p>
    <w:p>
      <w:pPr>
        <w:ind w:firstLine="800"/>
        <w:jc w:val="left"/>
        <w:rPr>
          <w:rFonts w:ascii="黑体" w:hAnsi="黑体" w:eastAsia="黑体" w:cs="黑体"/>
          <w:color w:val="000000"/>
          <w:sz w:val="32"/>
        </w:rPr>
      </w:pPr>
      <w:r>
        <w:rPr>
          <w:rFonts w:ascii="黑体" w:hAnsi="黑体" w:eastAsia="黑体" w:cs="黑体"/>
          <w:color w:val="000000"/>
          <w:sz w:val="32"/>
        </w:rPr>
        <w:t>年初预算为228.4万元，支出决算为228.4万元，完成年初预算的100%，决算数等于年初预算数。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2</w:t>
      </w:r>
      <w:r>
        <w:rPr>
          <w:rFonts w:ascii="黑体" w:hAnsi="黑体" w:eastAsia="黑体" w:cs="黑体"/>
          <w:color w:val="000000"/>
          <w:sz w:val="32"/>
        </w:rPr>
        <w:t>、城乡社区支出（类）其他城乡社区支出（款）其他城乡社区支出（项）。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年初预算为1万元，支出决算为1万元，完成年初预算的100%，决算数等于年初预算数。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3</w:t>
      </w:r>
      <w:r>
        <w:rPr>
          <w:rFonts w:ascii="黑体" w:hAnsi="黑体" w:eastAsia="黑体" w:cs="黑体"/>
          <w:color w:val="000000"/>
          <w:sz w:val="32"/>
        </w:rPr>
        <w:t>、农林水支出（类）农业农村（款）农村社会事业（项）。</w:t>
      </w:r>
    </w:p>
    <w:p>
      <w:pPr>
        <w:ind w:firstLine="800"/>
        <w:jc w:val="left"/>
        <w:rPr>
          <w:rFonts w:ascii="黑体" w:hAnsi="黑体" w:eastAsia="黑体" w:cs="黑体"/>
          <w:color w:val="000000"/>
          <w:sz w:val="32"/>
        </w:rPr>
      </w:pPr>
      <w:r>
        <w:rPr>
          <w:rFonts w:ascii="黑体" w:hAnsi="黑体" w:eastAsia="黑体" w:cs="黑体"/>
          <w:color w:val="000000"/>
          <w:sz w:val="32"/>
        </w:rPr>
        <w:t>年初预算为11万元，支出决算为11万元，完成年初预算的100%，决算数等于年初预算数。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4</w:t>
      </w:r>
      <w:r>
        <w:rPr>
          <w:rFonts w:ascii="黑体" w:hAnsi="黑体" w:eastAsia="黑体" w:cs="黑体"/>
          <w:color w:val="000000"/>
          <w:sz w:val="32"/>
        </w:rPr>
        <w:t>、农林水支出（类）农业农村（款）农村道路建设（项）。</w:t>
      </w:r>
    </w:p>
    <w:p>
      <w:pPr>
        <w:ind w:firstLine="800"/>
        <w:jc w:val="left"/>
        <w:rPr>
          <w:rFonts w:ascii="黑体" w:hAnsi="黑体" w:eastAsia="黑体" w:cs="黑体"/>
          <w:color w:val="000000"/>
          <w:sz w:val="32"/>
        </w:rPr>
      </w:pPr>
      <w:r>
        <w:rPr>
          <w:rFonts w:ascii="黑体" w:hAnsi="黑体" w:eastAsia="黑体" w:cs="黑体"/>
          <w:color w:val="000000"/>
          <w:sz w:val="32"/>
        </w:rPr>
        <w:t>年初预算为3万元，支出决算为3万元，完成年初预算的100%，决算数等于年初预算数。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5</w:t>
      </w:r>
      <w:r>
        <w:rPr>
          <w:rFonts w:ascii="黑体" w:hAnsi="黑体" w:eastAsia="黑体" w:cs="黑体"/>
          <w:color w:val="000000"/>
          <w:sz w:val="32"/>
        </w:rPr>
        <w:t>、农林水支出（类）农业农村（款）其他农业农村支出（项）。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年初预算为17.23万元，支出决算为17.23万元，完成年初预算的100%，决算数等于年初预算数。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6</w:t>
      </w:r>
      <w:r>
        <w:rPr>
          <w:rFonts w:ascii="黑体" w:hAnsi="黑体" w:eastAsia="黑体" w:cs="黑体"/>
          <w:color w:val="000000"/>
          <w:sz w:val="32"/>
        </w:rPr>
        <w:t>、农林水支出（类）林业和草原（款）行政运行（项）。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年初预算为63.49万元，支出决算为63.49万元，完成年初预算的100%，决算数等于年初预算数。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7</w:t>
      </w:r>
      <w:r>
        <w:rPr>
          <w:rFonts w:ascii="黑体" w:hAnsi="黑体" w:eastAsia="黑体" w:cs="黑体"/>
          <w:color w:val="000000"/>
          <w:sz w:val="32"/>
        </w:rPr>
        <w:t>、农林水支出（类）水利（款）防汛（项）。</w:t>
      </w:r>
    </w:p>
    <w:p>
      <w:pPr>
        <w:ind w:firstLine="800"/>
        <w:jc w:val="left"/>
        <w:rPr>
          <w:rFonts w:ascii="黑体" w:hAnsi="黑体" w:eastAsia="黑体" w:cs="黑体"/>
          <w:color w:val="000000"/>
          <w:sz w:val="32"/>
        </w:rPr>
      </w:pPr>
      <w:r>
        <w:rPr>
          <w:rFonts w:ascii="黑体" w:hAnsi="黑体" w:eastAsia="黑体" w:cs="黑体"/>
          <w:color w:val="000000"/>
          <w:sz w:val="32"/>
        </w:rPr>
        <w:t>年初预算为2元，支出决算为2万元，完成年初预算的100%，决算数等于年初预算数。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8</w:t>
      </w:r>
      <w:r>
        <w:rPr>
          <w:rFonts w:ascii="黑体" w:hAnsi="黑体" w:eastAsia="黑体" w:cs="黑体"/>
          <w:color w:val="000000"/>
          <w:sz w:val="32"/>
        </w:rPr>
        <w:t>、农林水支出（类）扶贫（款）行政运行（项）。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年初预算为6万元，支出决算为6万元，完成年初预算的100%，决算数等于年初预算数。</w:t>
      </w:r>
    </w:p>
    <w:p>
      <w:pPr>
        <w:ind w:firstLine="800"/>
        <w:jc w:val="left"/>
        <w:rPr>
          <w:rFonts w:ascii="黑体" w:hAnsi="黑体" w:eastAsia="黑体" w:cs="黑体"/>
          <w:color w:val="000000"/>
          <w:sz w:val="32"/>
        </w:rPr>
      </w:pPr>
      <w:r>
        <w:rPr>
          <w:rFonts w:hint="eastAsia" w:ascii="黑体" w:hAnsi="黑体" w:eastAsia="黑体" w:cs="黑体"/>
          <w:color w:val="000000"/>
          <w:sz w:val="32"/>
        </w:rPr>
        <w:t>39</w:t>
      </w:r>
      <w:r>
        <w:rPr>
          <w:rFonts w:ascii="黑体" w:hAnsi="黑体" w:eastAsia="黑体" w:cs="黑体"/>
          <w:color w:val="000000"/>
          <w:sz w:val="32"/>
        </w:rPr>
        <w:t>、农林水支出（类）扶贫（款）农村基础设施建设（项）。</w:t>
      </w:r>
    </w:p>
    <w:p>
      <w:pPr>
        <w:ind w:firstLine="800"/>
        <w:jc w:val="left"/>
        <w:rPr>
          <w:rFonts w:ascii="黑体" w:hAnsi="黑体" w:eastAsia="黑体" w:cs="黑体"/>
          <w:color w:val="000000"/>
          <w:sz w:val="32"/>
        </w:rPr>
      </w:pPr>
      <w:r>
        <w:rPr>
          <w:rFonts w:ascii="黑体" w:hAnsi="黑体" w:eastAsia="黑体" w:cs="黑体"/>
          <w:color w:val="000000"/>
          <w:sz w:val="32"/>
        </w:rPr>
        <w:t>年初预算为334.22万元，支出决算为334.22万元，完成年初预算的100%，决算数等于年初预算数。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0</w:t>
      </w:r>
      <w:r>
        <w:rPr>
          <w:rFonts w:ascii="黑体" w:hAnsi="黑体" w:eastAsia="黑体" w:cs="黑体"/>
          <w:color w:val="000000"/>
          <w:sz w:val="32"/>
        </w:rPr>
        <w:t>、农林水支出（类）扶贫（款）其他扶贫支出（项）。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年初预算为38万元，支出决算为38万元，完成年初预算的100%，决算数等于年初预算数。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1</w:t>
      </w:r>
      <w:r>
        <w:rPr>
          <w:rFonts w:ascii="黑体" w:hAnsi="黑体" w:eastAsia="黑体" w:cs="黑体"/>
          <w:color w:val="000000"/>
          <w:sz w:val="32"/>
        </w:rPr>
        <w:t>、农林水支出（类）农村综合改革（款）对村民委员会和村党支部的补助（项）。</w:t>
      </w:r>
    </w:p>
    <w:p>
      <w:pPr>
        <w:ind w:firstLine="800"/>
        <w:jc w:val="left"/>
        <w:rPr>
          <w:rFonts w:ascii="黑体" w:hAnsi="黑体" w:eastAsia="黑体" w:cs="黑体"/>
          <w:color w:val="000000"/>
          <w:sz w:val="32"/>
        </w:rPr>
      </w:pPr>
      <w:r>
        <w:rPr>
          <w:rFonts w:ascii="黑体" w:hAnsi="黑体" w:eastAsia="黑体" w:cs="黑体"/>
          <w:color w:val="000000"/>
          <w:sz w:val="32"/>
        </w:rPr>
        <w:t>年初预算为370.87万元，支出决算为370.87万元，完成年初预算的100%，决算数等于年初预算数。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2</w:t>
      </w:r>
      <w:r>
        <w:rPr>
          <w:rFonts w:ascii="黑体" w:hAnsi="黑体" w:eastAsia="黑体" w:cs="黑体"/>
          <w:color w:val="000000"/>
          <w:sz w:val="32"/>
        </w:rPr>
        <w:t>、农林水支出（类）农村综合改革（款）对村集体经济组织的补助（项）。</w:t>
      </w:r>
    </w:p>
    <w:p>
      <w:pPr>
        <w:ind w:firstLine="800"/>
        <w:jc w:val="left"/>
        <w:rPr>
          <w:rFonts w:ascii="黑体" w:hAnsi="黑体" w:eastAsia="黑体" w:cs="黑体"/>
          <w:color w:val="000000"/>
          <w:sz w:val="32"/>
        </w:rPr>
      </w:pPr>
      <w:r>
        <w:rPr>
          <w:rFonts w:ascii="黑体" w:hAnsi="黑体" w:eastAsia="黑体" w:cs="黑体"/>
          <w:color w:val="000000"/>
          <w:sz w:val="32"/>
        </w:rPr>
        <w:t>年初预算为60万元，支出决算为60万元，完成年初预算的100%，决算数等于年初预算数。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3</w:t>
      </w:r>
      <w:r>
        <w:rPr>
          <w:rFonts w:ascii="黑体" w:hAnsi="黑体" w:eastAsia="黑体" w:cs="黑体"/>
          <w:color w:val="000000"/>
          <w:sz w:val="32"/>
        </w:rPr>
        <w:t>、农林水支出（类）农村综合改革（款）农村综合改革示范试点补助（项）。</w:t>
      </w:r>
    </w:p>
    <w:p>
      <w:pPr>
        <w:ind w:firstLine="800"/>
        <w:jc w:val="left"/>
        <w:rPr>
          <w:rFonts w:ascii="黑体" w:hAnsi="黑体" w:eastAsia="黑体" w:cs="黑体"/>
          <w:color w:val="000000"/>
          <w:sz w:val="32"/>
        </w:rPr>
      </w:pPr>
      <w:r>
        <w:rPr>
          <w:rFonts w:ascii="黑体" w:hAnsi="黑体" w:eastAsia="黑体" w:cs="黑体"/>
          <w:color w:val="000000"/>
          <w:sz w:val="32"/>
        </w:rPr>
        <w:t>年初预算为6万元，支出决算为6万元，完成年初预算的100%，决算数等于年初预算数。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4</w:t>
      </w:r>
      <w:r>
        <w:rPr>
          <w:rFonts w:ascii="黑体" w:hAnsi="黑体" w:eastAsia="黑体" w:cs="黑体"/>
          <w:color w:val="000000"/>
          <w:sz w:val="32"/>
        </w:rPr>
        <w:t>、交通运输支出（类）公路水路运输（款）其他公路水路运输支出（项）。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年初预算为6万元，支出决算为6万元，完成年初预算的100%，决算数等于年初预算数。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5</w:t>
      </w:r>
      <w:r>
        <w:rPr>
          <w:rFonts w:ascii="黑体" w:hAnsi="黑体" w:eastAsia="黑体" w:cs="黑体"/>
          <w:color w:val="000000"/>
          <w:sz w:val="32"/>
        </w:rPr>
        <w:t>、商业服务业等支出（类）商业流通事务（款）行政运行（项）。</w:t>
      </w:r>
    </w:p>
    <w:p>
      <w:pPr>
        <w:ind w:firstLine="800"/>
        <w:jc w:val="left"/>
        <w:rPr>
          <w:rFonts w:ascii="黑体" w:hAnsi="黑体" w:eastAsia="黑体" w:cs="黑体"/>
          <w:color w:val="000000"/>
          <w:sz w:val="32"/>
        </w:rPr>
      </w:pPr>
      <w:r>
        <w:rPr>
          <w:rFonts w:ascii="黑体" w:hAnsi="黑体" w:eastAsia="黑体" w:cs="黑体"/>
          <w:color w:val="000000"/>
          <w:sz w:val="32"/>
        </w:rPr>
        <w:t>年初预算为4万元，支出决算为4万元，完成年初预算的100%，决算数等于年初预算数。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6</w:t>
      </w:r>
      <w:r>
        <w:rPr>
          <w:rFonts w:ascii="黑体" w:hAnsi="黑体" w:eastAsia="黑体" w:cs="黑体"/>
          <w:color w:val="000000"/>
          <w:sz w:val="32"/>
        </w:rPr>
        <w:t>、自然资源海洋气象等支出（类）自然资源事务（款）自然资源利用与保护（项）。</w:t>
      </w:r>
    </w:p>
    <w:p>
      <w:pPr>
        <w:ind w:firstLine="800"/>
        <w:jc w:val="left"/>
        <w:rPr>
          <w:rFonts w:ascii="黑体" w:hAnsi="黑体" w:eastAsia="黑体" w:cs="黑体"/>
          <w:color w:val="000000"/>
          <w:sz w:val="32"/>
        </w:rPr>
      </w:pPr>
      <w:r>
        <w:rPr>
          <w:rFonts w:ascii="黑体" w:hAnsi="黑体" w:eastAsia="黑体" w:cs="黑体"/>
          <w:color w:val="000000"/>
          <w:sz w:val="32"/>
        </w:rPr>
        <w:t>年初预算为95万元，支出决算为95万元，完成年初预算的100%，决算数等于年初预算数。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7</w:t>
      </w:r>
      <w:r>
        <w:rPr>
          <w:rFonts w:ascii="黑体" w:hAnsi="黑体" w:eastAsia="黑体" w:cs="黑体"/>
          <w:color w:val="000000"/>
          <w:sz w:val="32"/>
        </w:rPr>
        <w:t>、住房保障支出（类）住房改革支出（款）住房公积金（项）。</w:t>
      </w:r>
    </w:p>
    <w:p>
      <w:pPr>
        <w:ind w:firstLine="800"/>
        <w:jc w:val="left"/>
        <w:rPr>
          <w:rFonts w:ascii="黑体" w:hAnsi="黑体" w:eastAsia="黑体" w:cs="黑体"/>
          <w:color w:val="000000"/>
          <w:sz w:val="32"/>
        </w:rPr>
      </w:pPr>
      <w:r>
        <w:rPr>
          <w:rFonts w:ascii="黑体" w:hAnsi="黑体" w:eastAsia="黑体" w:cs="黑体"/>
          <w:color w:val="000000"/>
          <w:sz w:val="32"/>
        </w:rPr>
        <w:t>年初预算为29.59万元，支出决算为29.59万元，完成年初预算的100%，决算数等于年初预算数。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4</w:t>
      </w:r>
      <w:r>
        <w:rPr>
          <w:rFonts w:hint="eastAsia" w:ascii="黑体" w:hAnsi="黑体" w:eastAsia="黑体" w:cs="黑体"/>
          <w:color w:val="000000"/>
          <w:sz w:val="32"/>
        </w:rPr>
        <w:t>8</w:t>
      </w:r>
      <w:r>
        <w:rPr>
          <w:rFonts w:ascii="黑体" w:hAnsi="黑体" w:eastAsia="黑体" w:cs="黑体"/>
          <w:color w:val="000000"/>
          <w:sz w:val="32"/>
        </w:rPr>
        <w:t>、灾害防治及应急管理支出（类）应急管理事务（款）其他应急管理支出（项）。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年初预算为10万元，支出决算为10万元，完成年初预算的100%，决算数等于年初预算数。</w:t>
      </w:r>
    </w:p>
    <w:p>
      <w:pPr>
        <w:ind w:firstLine="800"/>
        <w:jc w:val="left"/>
        <w:rPr>
          <w:rFonts w:ascii="黑体" w:hAnsi="黑体" w:eastAsia="黑体" w:cs="黑体"/>
          <w:color w:val="000000"/>
          <w:sz w:val="32"/>
        </w:rPr>
      </w:pPr>
      <w:r>
        <w:rPr>
          <w:rFonts w:hint="eastAsia" w:ascii="黑体" w:hAnsi="黑体" w:eastAsia="黑体" w:cs="黑体"/>
          <w:color w:val="000000"/>
          <w:sz w:val="32"/>
        </w:rPr>
        <w:t>49</w:t>
      </w:r>
      <w:r>
        <w:rPr>
          <w:rFonts w:ascii="黑体" w:hAnsi="黑体" w:eastAsia="黑体" w:cs="黑体"/>
          <w:color w:val="000000"/>
          <w:sz w:val="32"/>
        </w:rPr>
        <w:t>、灾害防治及应急管理支出（类）消防事务（款）其他消防事务支出（项）。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年初预算为1.75万元，支出决算为1.75万元，完成年初预算的100%，决算数等于年初预算数。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5</w:t>
      </w:r>
      <w:r>
        <w:rPr>
          <w:rFonts w:hint="eastAsia" w:ascii="黑体" w:hAnsi="黑体" w:eastAsia="黑体" w:cs="黑体"/>
          <w:color w:val="000000"/>
          <w:sz w:val="32"/>
        </w:rPr>
        <w:t>0</w:t>
      </w:r>
      <w:r>
        <w:rPr>
          <w:rFonts w:ascii="黑体" w:hAnsi="黑体" w:eastAsia="黑体" w:cs="黑体"/>
          <w:color w:val="000000"/>
          <w:sz w:val="32"/>
        </w:rPr>
        <w:t>、灾害防治及应急管理支出（类）自然灾害防治（款）地质灾害防治（项）。</w:t>
      </w:r>
    </w:p>
    <w:p>
      <w:pPr>
        <w:ind w:firstLine="800"/>
        <w:jc w:val="left"/>
        <w:rPr>
          <w:rFonts w:ascii="黑体" w:hAnsi="黑体" w:eastAsia="黑体" w:cs="黑体"/>
          <w:color w:val="000000"/>
          <w:sz w:val="32"/>
        </w:rPr>
      </w:pPr>
      <w:r>
        <w:rPr>
          <w:rFonts w:ascii="黑体" w:hAnsi="黑体" w:eastAsia="黑体" w:cs="黑体"/>
          <w:color w:val="000000"/>
          <w:sz w:val="32"/>
        </w:rPr>
        <w:t>年初预算为52.47万元，支出决算为52.47万元，完成年初预算的100%，决算数等于年初预算数。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5</w:t>
      </w:r>
      <w:r>
        <w:rPr>
          <w:rFonts w:hint="eastAsia" w:ascii="黑体" w:hAnsi="黑体" w:eastAsia="黑体" w:cs="黑体"/>
          <w:color w:val="000000"/>
          <w:sz w:val="32"/>
        </w:rPr>
        <w:t>1</w:t>
      </w:r>
      <w:r>
        <w:rPr>
          <w:rFonts w:ascii="黑体" w:hAnsi="黑体" w:eastAsia="黑体" w:cs="黑体"/>
          <w:color w:val="000000"/>
          <w:sz w:val="32"/>
        </w:rPr>
        <w:t>、灾害防治及应急管理支出（类）自然灾害救灾及恢复重建支出（款）自然灾害救灾补助（项）。</w:t>
      </w:r>
    </w:p>
    <w:p>
      <w:pPr>
        <w:ind w:firstLine="800"/>
        <w:jc w:val="left"/>
        <w:rPr>
          <w:rFonts w:ascii="黑体" w:hAnsi="黑体" w:eastAsia="黑体" w:cs="黑体"/>
          <w:color w:val="000000"/>
          <w:sz w:val="32"/>
        </w:rPr>
      </w:pPr>
      <w:r>
        <w:rPr>
          <w:rFonts w:ascii="黑体" w:hAnsi="黑体" w:eastAsia="黑体" w:cs="黑体"/>
          <w:color w:val="000000"/>
          <w:sz w:val="32"/>
        </w:rPr>
        <w:t>年初预算为2万元，支出决算为2万元，完成年初预算的100%，决算数等于年初预算数。</w:t>
      </w:r>
    </w:p>
    <w:p>
      <w:pPr>
        <w:ind w:firstLine="800"/>
        <w:jc w:val="left"/>
        <w:rPr>
          <w:rFonts w:ascii="黑体" w:hAnsi="黑体" w:eastAsia="黑体" w:cs="黑体"/>
          <w:color w:val="000000"/>
          <w:sz w:val="32"/>
        </w:rPr>
      </w:pPr>
      <w:r>
        <w:rPr>
          <w:rFonts w:ascii="黑体" w:hAnsi="黑体" w:eastAsia="黑体" w:cs="黑体"/>
          <w:color w:val="000000"/>
          <w:sz w:val="32"/>
        </w:rPr>
        <w:t>5</w:t>
      </w:r>
      <w:r>
        <w:rPr>
          <w:rFonts w:hint="eastAsia" w:ascii="黑体" w:hAnsi="黑体" w:eastAsia="黑体" w:cs="黑体"/>
          <w:color w:val="000000"/>
          <w:sz w:val="32"/>
        </w:rPr>
        <w:t>2</w:t>
      </w:r>
      <w:r>
        <w:rPr>
          <w:rFonts w:ascii="黑体" w:hAnsi="黑体" w:eastAsia="黑体" w:cs="黑体"/>
          <w:color w:val="000000"/>
          <w:sz w:val="32"/>
        </w:rPr>
        <w:t>、灾害防治及应急管理支出（类）自然灾害救灾及恢复重建支出（款）其他自然灾害救灾及恢复重建支出（项）。</w:t>
      </w:r>
    </w:p>
    <w:p>
      <w:pPr>
        <w:ind w:firstLine="800"/>
        <w:jc w:val="left"/>
        <w:rPr>
          <w:rFonts w:ascii="黑体" w:hAnsi="黑体" w:eastAsia="黑体" w:cs="黑体"/>
          <w:color w:val="000000"/>
          <w:sz w:val="32"/>
        </w:rPr>
      </w:pPr>
      <w:r>
        <w:rPr>
          <w:rFonts w:ascii="黑体" w:hAnsi="黑体" w:eastAsia="黑体" w:cs="黑体"/>
          <w:color w:val="000000"/>
          <w:sz w:val="32"/>
        </w:rPr>
        <w:t>年初预算为7万元，支出决算为7万元，完成年初预算的100%，决算数等于年初预算数。</w:t>
      </w:r>
    </w:p>
    <w:p>
      <w:pPr>
        <w:jc w:val="left"/>
        <w:rPr>
          <w:rFonts w:ascii="黑体" w:hAnsi="黑体" w:eastAsia="黑体" w:cs="黑体"/>
          <w:b/>
          <w:color w:val="000000"/>
          <w:sz w:val="32"/>
        </w:rPr>
      </w:pPr>
      <w:r>
        <w:rPr>
          <w:rFonts w:ascii="黑体" w:hAnsi="黑体" w:eastAsia="黑体" w:cs="黑体"/>
          <w:b/>
          <w:color w:val="000000"/>
          <w:sz w:val="32"/>
        </w:rPr>
        <w:t>六、一般公共预算财政拨款基本支出决算情况说明</w:t>
      </w:r>
    </w:p>
    <w:p>
      <w:pPr>
        <w:ind w:firstLine="640"/>
        <w:jc w:val="left"/>
        <w:rPr>
          <w:rFonts w:ascii="黑体" w:hAnsi="黑体" w:eastAsia="黑体" w:cs="黑体"/>
          <w:i/>
          <w:color w:val="FF0000"/>
          <w:sz w:val="32"/>
        </w:rPr>
      </w:pPr>
      <w:r>
        <w:rPr>
          <w:rFonts w:ascii="黑体" w:hAnsi="黑体" w:eastAsia="黑体" w:cs="黑体"/>
          <w:color w:val="000000"/>
          <w:sz w:val="32"/>
        </w:rPr>
        <w:t>2021年度财政拨款基本支出1049.42万元，其中：人员经费789.56万元，占基本支出的75.24%,主要包括基本工资448.16万元、津贴补贴97.37万元、奖金35.29万元、伙食补助费7.8万元、机关事业单位基本养老保险缴费58.29万元、职工基本医疗保险缴费33.2万元、其他社会保障缴费3.75万元、住房公积金33.01万元、医疗费0.36万元、其他工资福利支出1万元、抚恤金26.95万元、生活补助30万元、救济费7万元、奖励金2.76万元、其他对个人和家庭的补助4.62万元；公用经费259.86万元，占基本支出的24.76%，主要包括办公费38.05万元、印刷费27.14万元、电费8.96万元、差旅费38.54万元、维修（护）费39.65万元、会议费1.86万元、培训费0.06万元、公务接待费1.39万元、劳务费20.46万元、公务用车运行维护费2.12万元、其他交通费用10.3万元、其他商品和服务支出71.35万元。</w:t>
      </w:r>
    </w:p>
    <w:p>
      <w:pPr>
        <w:jc w:val="left"/>
        <w:rPr>
          <w:rFonts w:ascii="黑体" w:hAnsi="黑体" w:eastAsia="黑体" w:cs="黑体"/>
          <w:b/>
          <w:color w:val="000000"/>
          <w:sz w:val="32"/>
        </w:rPr>
      </w:pPr>
      <w:r>
        <w:rPr>
          <w:rFonts w:ascii="黑体" w:hAnsi="黑体" w:eastAsia="黑体" w:cs="黑体"/>
          <w:b/>
          <w:color w:val="000000"/>
          <w:sz w:val="32"/>
        </w:rPr>
        <w:t>七、一般公共预算财政拨款“三公”经费支出决算情况说明</w:t>
      </w:r>
    </w:p>
    <w:p>
      <w:pPr>
        <w:jc w:val="left"/>
        <w:rPr>
          <w:rFonts w:ascii="黑体" w:hAnsi="黑体" w:eastAsia="黑体" w:cs="黑体"/>
          <w:b/>
          <w:color w:val="000000"/>
          <w:sz w:val="32"/>
        </w:rPr>
      </w:pPr>
      <w:r>
        <w:rPr>
          <w:rFonts w:ascii="黑体" w:hAnsi="黑体" w:eastAsia="黑体" w:cs="黑体"/>
          <w:b/>
          <w:color w:val="000000"/>
          <w:sz w:val="32"/>
        </w:rPr>
        <w:t>（一）“三公”经费财政拨款支出决算总体情况说明</w:t>
      </w:r>
    </w:p>
    <w:p>
      <w:pPr>
        <w:ind w:firstLine="800"/>
        <w:jc w:val="left"/>
        <w:rPr>
          <w:rFonts w:ascii="黑体" w:hAnsi="黑体" w:eastAsia="黑体" w:cs="黑体"/>
          <w:color w:val="000000"/>
          <w:sz w:val="32"/>
        </w:rPr>
      </w:pPr>
      <w:r>
        <w:rPr>
          <w:rFonts w:ascii="黑体" w:hAnsi="黑体" w:eastAsia="黑体" w:cs="黑体"/>
          <w:color w:val="000000"/>
          <w:sz w:val="32"/>
        </w:rPr>
        <w:t>2021年度“三公”经费财政拨款支出预算为3.51万元，支出决算为3.51万元，完成预算的100%，其中：</w:t>
      </w:r>
    </w:p>
    <w:p>
      <w:pPr>
        <w:ind w:firstLine="800"/>
        <w:jc w:val="left"/>
        <w:rPr>
          <w:rFonts w:ascii="黑体" w:hAnsi="黑体" w:eastAsia="黑体" w:cs="黑体"/>
          <w:color w:val="000000"/>
          <w:sz w:val="32"/>
        </w:rPr>
      </w:pPr>
      <w:r>
        <w:rPr>
          <w:rFonts w:ascii="黑体" w:hAnsi="黑体" w:eastAsia="黑体" w:cs="黑体"/>
          <w:color w:val="000000"/>
          <w:sz w:val="32"/>
        </w:rPr>
        <w:t>因公出国（境）费支出预算为0万元，支出决算为0万元，完成预算的0%，决算数等于年初预算数，与上年相比减少（增加）0万元，减少（增长）0%,无减少（增长）。</w:t>
      </w:r>
    </w:p>
    <w:p>
      <w:pPr>
        <w:ind w:firstLine="800"/>
        <w:jc w:val="left"/>
        <w:rPr>
          <w:rFonts w:ascii="黑体" w:hAnsi="黑体" w:eastAsia="黑体" w:cs="黑体"/>
          <w:color w:val="000000"/>
          <w:sz w:val="32"/>
        </w:rPr>
      </w:pPr>
      <w:r>
        <w:rPr>
          <w:rFonts w:ascii="黑体" w:hAnsi="黑体" w:eastAsia="黑体" w:cs="黑体"/>
          <w:color w:val="000000"/>
          <w:sz w:val="32"/>
        </w:rPr>
        <w:t>公务接待费支出预算为1.39万元，支出决算为1.39万元，完成预算的100%，决算数等于年初预算数，与上年相比减少0.53万元，减少27.6%,减少的主要原因厉行节约。</w:t>
      </w:r>
    </w:p>
    <w:p>
      <w:pPr>
        <w:ind w:firstLine="640"/>
        <w:jc w:val="left"/>
        <w:rPr>
          <w:rFonts w:ascii="黑体" w:hAnsi="黑体" w:eastAsia="黑体" w:cs="黑体"/>
          <w:color w:val="000000"/>
          <w:sz w:val="32"/>
        </w:rPr>
      </w:pPr>
      <w:r>
        <w:rPr>
          <w:rFonts w:ascii="黑体" w:hAnsi="黑体" w:eastAsia="黑体" w:cs="黑体"/>
          <w:color w:val="000000"/>
          <w:sz w:val="32"/>
        </w:rPr>
        <w:t>公务用车购置费支出预算为0万元，支出决算为0万元，完成预算的0%，决算数等于年初预算数，与上年相比减少（增加）0万元，减少（增长）0%,无减少（增长）。</w:t>
      </w:r>
    </w:p>
    <w:p>
      <w:pPr>
        <w:ind w:firstLine="640"/>
        <w:jc w:val="left"/>
        <w:rPr>
          <w:rFonts w:ascii="黑体" w:hAnsi="黑体" w:eastAsia="黑体" w:cs="黑体"/>
          <w:color w:val="000000"/>
          <w:sz w:val="32"/>
        </w:rPr>
      </w:pPr>
      <w:r>
        <w:rPr>
          <w:rFonts w:ascii="黑体" w:hAnsi="黑体" w:eastAsia="黑体" w:cs="黑体"/>
          <w:color w:val="000000"/>
          <w:sz w:val="32"/>
        </w:rPr>
        <w:t>公务用车运行维护费支出预算为2.12万元，支出决算为2.12万元，完成预算的100%，决算数等于年初预算数，与上年相比增加0.83万元，增长64.34%,增长的主要原因是油价上涨。</w:t>
      </w:r>
    </w:p>
    <w:p>
      <w:pPr>
        <w:jc w:val="left"/>
        <w:rPr>
          <w:rFonts w:ascii="黑体" w:hAnsi="黑体" w:eastAsia="黑体" w:cs="黑体"/>
          <w:b/>
          <w:color w:val="000000"/>
          <w:sz w:val="32"/>
        </w:rPr>
      </w:pPr>
      <w:r>
        <w:rPr>
          <w:rFonts w:ascii="黑体" w:hAnsi="黑体" w:eastAsia="黑体" w:cs="黑体"/>
          <w:b/>
          <w:color w:val="000000"/>
          <w:sz w:val="32"/>
        </w:rPr>
        <w:t>（二）“三公”经费财政拨款支出决算具体情况说明</w:t>
      </w:r>
    </w:p>
    <w:p>
      <w:pPr>
        <w:ind w:firstLine="640"/>
        <w:jc w:val="left"/>
        <w:rPr>
          <w:rFonts w:ascii="黑体" w:hAnsi="黑体" w:eastAsia="黑体" w:cs="黑体"/>
          <w:color w:val="000000"/>
          <w:sz w:val="32"/>
        </w:rPr>
      </w:pPr>
      <w:r>
        <w:rPr>
          <w:rFonts w:ascii="黑体" w:hAnsi="黑体" w:eastAsia="黑体" w:cs="黑体"/>
          <w:color w:val="000000"/>
          <w:sz w:val="32"/>
        </w:rPr>
        <w:t>2021年度“三公”经费财政拨款支出决算中，公务接待费支出决算1.39万元，占39.6%,因公出国（境）费支出决算0万元，占0%,公务用车购置费及运行维护费支出决算2.12万元，占60.4%。其中：</w:t>
      </w:r>
    </w:p>
    <w:p>
      <w:pPr>
        <w:ind w:firstLine="640"/>
        <w:jc w:val="left"/>
        <w:rPr>
          <w:rFonts w:ascii="黑体" w:hAnsi="黑体" w:eastAsia="黑体" w:cs="黑体"/>
          <w:b/>
          <w:color w:val="000000"/>
          <w:sz w:val="32"/>
        </w:rPr>
      </w:pPr>
      <w:r>
        <w:rPr>
          <w:rFonts w:ascii="黑体" w:hAnsi="黑体" w:eastAsia="黑体" w:cs="黑体"/>
          <w:color w:val="000000"/>
          <w:sz w:val="32"/>
        </w:rPr>
        <w:t>1、因公出国（境）费支出决算为0万元，全年安排因公出国（境）团组0个，累计0人次,开支内容包括：无。</w:t>
      </w:r>
    </w:p>
    <w:p>
      <w:pPr>
        <w:ind w:firstLine="800"/>
        <w:jc w:val="left"/>
        <w:rPr>
          <w:rFonts w:ascii="黑体" w:hAnsi="黑体" w:eastAsia="黑体" w:cs="黑体"/>
          <w:color w:val="FF0000"/>
          <w:sz w:val="32"/>
        </w:rPr>
      </w:pPr>
      <w:r>
        <w:rPr>
          <w:rFonts w:ascii="黑体" w:hAnsi="黑体" w:eastAsia="黑体" w:cs="黑体"/>
          <w:sz w:val="32"/>
        </w:rPr>
        <w:t>2、公务接待费支出决算为1.39万元，全年共接待来访团组</w:t>
      </w:r>
      <w:r>
        <w:rPr>
          <w:rFonts w:hint="eastAsia" w:ascii="黑体" w:hAnsi="黑体" w:eastAsia="黑体" w:cs="黑体"/>
          <w:sz w:val="32"/>
        </w:rPr>
        <w:t>33</w:t>
      </w:r>
      <w:r>
        <w:rPr>
          <w:rFonts w:ascii="黑体" w:hAnsi="黑体" w:eastAsia="黑体" w:cs="黑体"/>
          <w:sz w:val="32"/>
        </w:rPr>
        <w:t>个、来宾</w:t>
      </w:r>
      <w:r>
        <w:rPr>
          <w:rFonts w:hint="eastAsia" w:ascii="黑体" w:hAnsi="黑体" w:eastAsia="黑体" w:cs="黑体"/>
          <w:sz w:val="32"/>
        </w:rPr>
        <w:t>157</w:t>
      </w:r>
      <w:r>
        <w:rPr>
          <w:rFonts w:ascii="黑体" w:hAnsi="黑体" w:eastAsia="黑体" w:cs="黑体"/>
          <w:sz w:val="32"/>
        </w:rPr>
        <w:t>人次，主要是</w:t>
      </w:r>
      <w:r>
        <w:rPr>
          <w:rFonts w:hint="eastAsia" w:ascii="黑体" w:hAnsi="黑体" w:eastAsia="黑体" w:cs="黑体"/>
          <w:sz w:val="32"/>
        </w:rPr>
        <w:t>协调指导文旅工作、调研退役军人保障工作、督查易地扶贫搬迁工作、对接社会事务服务工作、脱贫攻坚与乡村振兴专题调研、指导特色文旅小镇建设、对接湖南省民主法治示范村创建工作、调研同心美丽乡村创建工作、督查危房改造工作等</w:t>
      </w:r>
      <w:r>
        <w:rPr>
          <w:rFonts w:ascii="黑体" w:hAnsi="黑体" w:eastAsia="黑体" w:cs="黑体"/>
          <w:sz w:val="32"/>
        </w:rPr>
        <w:t>发生的接待支出。</w:t>
      </w:r>
    </w:p>
    <w:p>
      <w:pPr>
        <w:ind w:firstLine="800"/>
        <w:rPr>
          <w:rFonts w:ascii="黑体" w:hAnsi="黑体" w:eastAsia="黑体" w:cs="Calibri"/>
          <w:color w:val="000000"/>
          <w:sz w:val="32"/>
        </w:rPr>
      </w:pPr>
      <w:r>
        <w:rPr>
          <w:rFonts w:ascii="黑体" w:hAnsi="黑体" w:eastAsia="黑体" w:cs="Calibri"/>
          <w:sz w:val="32"/>
        </w:rPr>
        <w:t>3</w:t>
      </w:r>
      <w:r>
        <w:rPr>
          <w:rFonts w:ascii="黑体" w:hAnsi="黑体" w:eastAsia="黑体" w:cs="宋体"/>
          <w:sz w:val="32"/>
        </w:rPr>
        <w:t>、公务用车购置费及运行维护费支出决算为</w:t>
      </w:r>
      <w:r>
        <w:rPr>
          <w:rFonts w:ascii="黑体" w:hAnsi="黑体" w:eastAsia="黑体" w:cs="Calibri"/>
          <w:sz w:val="32"/>
        </w:rPr>
        <w:t>2.12</w:t>
      </w:r>
      <w:r>
        <w:rPr>
          <w:rFonts w:ascii="黑体" w:hAnsi="黑体" w:eastAsia="黑体" w:cs="宋体"/>
          <w:sz w:val="32"/>
        </w:rPr>
        <w:t>万元，其中：公务用车购置费</w:t>
      </w:r>
      <w:r>
        <w:rPr>
          <w:rFonts w:ascii="黑体" w:hAnsi="黑体" w:eastAsia="黑体" w:cs="Calibri"/>
          <w:sz w:val="32"/>
        </w:rPr>
        <w:t>0</w:t>
      </w:r>
      <w:r>
        <w:rPr>
          <w:rFonts w:ascii="黑体" w:hAnsi="黑体" w:eastAsia="黑体" w:cs="宋体"/>
          <w:sz w:val="32"/>
        </w:rPr>
        <w:t>万元，溆浦县北斗溪镇人民政府更新公务用车</w:t>
      </w:r>
      <w:r>
        <w:rPr>
          <w:rFonts w:ascii="黑体" w:hAnsi="黑体" w:eastAsia="黑体" w:cs="Calibri"/>
          <w:sz w:val="32"/>
        </w:rPr>
        <w:t>0</w:t>
      </w:r>
      <w:r>
        <w:rPr>
          <w:rFonts w:ascii="黑体" w:hAnsi="黑体" w:eastAsia="黑体" w:cs="宋体"/>
          <w:sz w:val="32"/>
        </w:rPr>
        <w:t>辆</w:t>
      </w:r>
      <w:r>
        <w:rPr>
          <w:rFonts w:ascii="黑体" w:hAnsi="黑体" w:eastAsia="黑体" w:cs="宋体"/>
          <w:color w:val="000000"/>
          <w:sz w:val="32"/>
        </w:rPr>
        <w:t>。</w:t>
      </w:r>
      <w:r>
        <w:rPr>
          <w:rFonts w:ascii="黑体" w:hAnsi="黑体" w:eastAsia="黑体" w:cs="宋体"/>
          <w:sz w:val="32"/>
        </w:rPr>
        <w:t>公务用车运行维护费</w:t>
      </w:r>
      <w:r>
        <w:rPr>
          <w:rFonts w:ascii="黑体" w:hAnsi="黑体" w:eastAsia="黑体" w:cs="Calibri"/>
          <w:sz w:val="32"/>
        </w:rPr>
        <w:t>2</w:t>
      </w:r>
      <w:r>
        <w:rPr>
          <w:rFonts w:hint="eastAsia" w:ascii="黑体" w:hAnsi="黑体" w:eastAsia="黑体" w:cs="Calibri"/>
          <w:sz w:val="32"/>
        </w:rPr>
        <w:t>.12</w:t>
      </w:r>
      <w:r>
        <w:rPr>
          <w:rFonts w:ascii="黑体" w:hAnsi="黑体" w:eastAsia="黑体" w:cs="宋体"/>
          <w:sz w:val="32"/>
        </w:rPr>
        <w:t>万元，主要是公务用车油卡充值支出及公务用车维修维护费支出，截止</w:t>
      </w:r>
      <w:r>
        <w:rPr>
          <w:rFonts w:ascii="黑体" w:hAnsi="黑体" w:eastAsia="黑体" w:cs="Calibri"/>
          <w:sz w:val="32"/>
        </w:rPr>
        <w:t>2021</w:t>
      </w:r>
      <w:r>
        <w:rPr>
          <w:rFonts w:ascii="黑体" w:hAnsi="黑体" w:eastAsia="黑体" w:cs="宋体"/>
          <w:sz w:val="32"/>
        </w:rPr>
        <w:t>年</w:t>
      </w:r>
      <w:r>
        <w:rPr>
          <w:rFonts w:ascii="黑体" w:hAnsi="黑体" w:eastAsia="黑体" w:cs="Calibri"/>
          <w:sz w:val="32"/>
        </w:rPr>
        <w:t>12</w:t>
      </w:r>
      <w:r>
        <w:rPr>
          <w:rFonts w:ascii="黑体" w:hAnsi="黑体" w:eastAsia="黑体" w:cs="宋体"/>
          <w:sz w:val="32"/>
        </w:rPr>
        <w:t>月</w:t>
      </w:r>
      <w:r>
        <w:rPr>
          <w:rFonts w:ascii="黑体" w:hAnsi="黑体" w:eastAsia="黑体" w:cs="Calibri"/>
          <w:sz w:val="32"/>
        </w:rPr>
        <w:t>31</w:t>
      </w:r>
      <w:r>
        <w:rPr>
          <w:rFonts w:ascii="黑体" w:hAnsi="黑体" w:eastAsia="黑体" w:cs="宋体"/>
          <w:sz w:val="32"/>
        </w:rPr>
        <w:t>日，我单位开支财政拨款的公务用车保有量为</w:t>
      </w:r>
      <w:r>
        <w:rPr>
          <w:rFonts w:ascii="黑体" w:hAnsi="黑体" w:eastAsia="黑体" w:cs="Calibri"/>
          <w:sz w:val="32"/>
        </w:rPr>
        <w:t>2</w:t>
      </w:r>
      <w:r>
        <w:rPr>
          <w:rFonts w:ascii="黑体" w:hAnsi="黑体" w:eastAsia="黑体" w:cs="宋体"/>
          <w:sz w:val="32"/>
        </w:rPr>
        <w:t>辆。</w:t>
      </w:r>
    </w:p>
    <w:p>
      <w:pPr>
        <w:jc w:val="left"/>
        <w:rPr>
          <w:rFonts w:ascii="黑体" w:hAnsi="黑体" w:eastAsia="黑体" w:cs="黑体"/>
          <w:b/>
          <w:color w:val="000000"/>
          <w:sz w:val="32"/>
        </w:rPr>
      </w:pPr>
      <w:r>
        <w:rPr>
          <w:rFonts w:ascii="黑体" w:hAnsi="黑体" w:eastAsia="黑体" w:cs="黑体"/>
          <w:b/>
          <w:color w:val="000000"/>
          <w:sz w:val="32"/>
        </w:rPr>
        <w:t>八、政府性基金预算收入支出决算情况</w:t>
      </w:r>
    </w:p>
    <w:p>
      <w:pPr>
        <w:jc w:val="left"/>
        <w:rPr>
          <w:rFonts w:ascii="黑体" w:hAnsi="黑体" w:eastAsia="黑体" w:cs="黑体"/>
          <w:i/>
          <w:color w:val="FF0000"/>
          <w:sz w:val="32"/>
        </w:rPr>
      </w:pPr>
      <w:r>
        <w:rPr>
          <w:rFonts w:ascii="黑体" w:hAnsi="黑体" w:eastAsia="黑体" w:cs="黑体"/>
          <w:color w:val="000000"/>
          <w:sz w:val="32"/>
        </w:rPr>
        <w:t xml:space="preserve">     2021年度政府性基金预算财政拨款收入6.4万元；年初结转和结余0万元；支出6.4万元，其中基本支出0万元，项目支出6.4万元；年末结转和结余0万元。具体情况如下：</w:t>
      </w:r>
      <w:r>
        <w:rPr>
          <w:rFonts w:ascii="黑体" w:hAnsi="黑体" w:eastAsia="黑体" w:cs="黑体"/>
          <w:i/>
          <w:color w:val="FF0000"/>
          <w:sz w:val="32"/>
        </w:rPr>
        <w:t xml:space="preserve"> </w:t>
      </w:r>
    </w:p>
    <w:p>
      <w:pPr>
        <w:ind w:firstLine="640"/>
        <w:jc w:val="left"/>
        <w:rPr>
          <w:rFonts w:ascii="黑体" w:hAnsi="黑体" w:eastAsia="黑体" w:cs="黑体"/>
          <w:color w:val="000000"/>
          <w:sz w:val="32"/>
        </w:rPr>
      </w:pPr>
      <w:r>
        <w:rPr>
          <w:rFonts w:ascii="黑体" w:hAnsi="黑体" w:eastAsia="黑体" w:cs="黑体"/>
          <w:color w:val="000000"/>
          <w:sz w:val="32"/>
        </w:rPr>
        <w:t>1、城乡社区支出（类）国有土地使用权出让收入安排的支出（款）农村基础设施建设支出（项）。</w:t>
      </w:r>
    </w:p>
    <w:p>
      <w:pPr>
        <w:ind w:firstLine="640"/>
        <w:jc w:val="left"/>
        <w:rPr>
          <w:rFonts w:ascii="黑体" w:hAnsi="黑体" w:eastAsia="黑体" w:cs="黑体"/>
          <w:color w:val="000000"/>
          <w:sz w:val="32"/>
        </w:rPr>
      </w:pPr>
      <w:r>
        <w:rPr>
          <w:rFonts w:ascii="黑体" w:hAnsi="黑体" w:eastAsia="黑体" w:cs="黑体"/>
          <w:color w:val="000000"/>
          <w:sz w:val="32"/>
        </w:rPr>
        <w:t>年初预算为2万元，支出决算为2万元，完成年初预算的100%，决算数等于年初预算数。</w:t>
      </w:r>
    </w:p>
    <w:p>
      <w:pPr>
        <w:ind w:firstLine="640"/>
        <w:jc w:val="left"/>
        <w:rPr>
          <w:rFonts w:ascii="黑体" w:hAnsi="黑体" w:eastAsia="黑体" w:cs="黑体"/>
          <w:color w:val="000000"/>
          <w:sz w:val="32"/>
        </w:rPr>
      </w:pPr>
      <w:r>
        <w:rPr>
          <w:rFonts w:ascii="黑体" w:hAnsi="黑体" w:eastAsia="黑体" w:cs="黑体"/>
          <w:color w:val="000000"/>
          <w:sz w:val="32"/>
        </w:rPr>
        <w:t>2、其他支出（类）彩票公益金安排的支出（款）用于体育事业的彩票公益金支出（项）。</w:t>
      </w:r>
    </w:p>
    <w:p>
      <w:pPr>
        <w:ind w:firstLine="640"/>
        <w:jc w:val="left"/>
        <w:rPr>
          <w:rFonts w:ascii="黑体" w:hAnsi="黑体" w:eastAsia="黑体" w:cs="黑体"/>
          <w:color w:val="000000"/>
          <w:sz w:val="32"/>
        </w:rPr>
      </w:pPr>
      <w:r>
        <w:rPr>
          <w:rFonts w:ascii="黑体" w:hAnsi="黑体" w:eastAsia="黑体" w:cs="黑体"/>
          <w:color w:val="000000"/>
          <w:sz w:val="32"/>
        </w:rPr>
        <w:t>年初预算为4.4万元，支出决算为4.4万元，完成年初预算的100%，决算数等于年初预算数。</w:t>
      </w:r>
    </w:p>
    <w:p>
      <w:pPr>
        <w:jc w:val="left"/>
        <w:rPr>
          <w:rFonts w:ascii="黑体" w:hAnsi="黑体" w:eastAsia="黑体" w:cs="黑体"/>
          <w:b/>
          <w:color w:val="000000"/>
          <w:sz w:val="32"/>
        </w:rPr>
      </w:pPr>
      <w:r>
        <w:rPr>
          <w:rFonts w:ascii="黑体" w:hAnsi="黑体" w:eastAsia="黑体" w:cs="黑体"/>
          <w:b/>
          <w:color w:val="000000"/>
          <w:sz w:val="32"/>
        </w:rPr>
        <w:t>九、机关运行经费支出说明</w:t>
      </w:r>
    </w:p>
    <w:p>
      <w:pPr>
        <w:ind w:firstLine="640"/>
        <w:jc w:val="left"/>
        <w:rPr>
          <w:rFonts w:ascii="黑体" w:hAnsi="黑体" w:eastAsia="黑体" w:cs="黑体"/>
          <w:color w:val="000000"/>
          <w:sz w:val="32"/>
        </w:rPr>
      </w:pPr>
      <w:r>
        <w:rPr>
          <w:rFonts w:ascii="黑体" w:hAnsi="黑体" w:eastAsia="黑体" w:cs="黑体"/>
          <w:color w:val="000000"/>
          <w:sz w:val="32"/>
        </w:rPr>
        <w:t>本部门2021年度机关运行经费支出259.86万元，比上年决算数减少305.56 万元，降低54.04%。主要原因是：商品和服务支出费用减少。</w:t>
      </w:r>
    </w:p>
    <w:p>
      <w:pPr>
        <w:jc w:val="left"/>
        <w:rPr>
          <w:rFonts w:ascii="黑体" w:hAnsi="黑体" w:eastAsia="黑体" w:cs="黑体"/>
          <w:b/>
          <w:color w:val="000000"/>
          <w:sz w:val="32"/>
        </w:rPr>
      </w:pPr>
      <w:r>
        <w:rPr>
          <w:rFonts w:ascii="黑体" w:hAnsi="黑体" w:eastAsia="黑体" w:cs="黑体"/>
          <w:b/>
          <w:color w:val="000000"/>
          <w:sz w:val="32"/>
        </w:rPr>
        <w:t>十、一般性支出情况说明</w:t>
      </w:r>
    </w:p>
    <w:p>
      <w:pPr>
        <w:ind w:firstLine="640"/>
        <w:jc w:val="left"/>
        <w:rPr>
          <w:rFonts w:ascii="黑体" w:hAnsi="黑体" w:eastAsia="黑体" w:cs="黑体"/>
          <w:color w:val="FF0000"/>
          <w:sz w:val="32"/>
        </w:rPr>
      </w:pPr>
      <w:r>
        <w:rPr>
          <w:rFonts w:ascii="黑体" w:hAnsi="黑体" w:eastAsia="黑体" w:cs="黑体"/>
          <w:sz w:val="32"/>
        </w:rPr>
        <w:t>2021年本部门开支会议费1.86万元，</w:t>
      </w:r>
      <w:r>
        <w:rPr>
          <w:rFonts w:hint="eastAsia" w:ascii="黑体" w:hAnsi="黑体" w:eastAsia="黑体" w:cs="黑体"/>
          <w:sz w:val="32"/>
        </w:rPr>
        <w:t>用于召开规划委员会议，人数20人，内容为规划北斗溪镇房屋建设；用于召开人居环境整治会议，每次人数为38人，内容为环卫清扫整治脏乱差建设美丽乡村；用于召开河长制工作会议，人数35人，内容为定期巡河，维护河长治理；</w:t>
      </w:r>
      <w:r>
        <w:rPr>
          <w:rFonts w:ascii="黑体" w:hAnsi="黑体" w:eastAsia="黑体" w:cs="黑体"/>
          <w:sz w:val="32"/>
        </w:rPr>
        <w:t>用于召开</w:t>
      </w:r>
      <w:r>
        <w:rPr>
          <w:rFonts w:hint="eastAsia" w:ascii="黑体" w:hAnsi="黑体" w:eastAsia="黑体" w:cs="黑体"/>
          <w:sz w:val="32"/>
        </w:rPr>
        <w:t>村“两委”换届</w:t>
      </w:r>
      <w:r>
        <w:rPr>
          <w:rFonts w:ascii="黑体" w:hAnsi="黑体" w:eastAsia="黑体" w:cs="黑体"/>
          <w:sz w:val="32"/>
        </w:rPr>
        <w:t>会议，人数</w:t>
      </w:r>
      <w:r>
        <w:rPr>
          <w:rFonts w:hint="eastAsia" w:ascii="黑体" w:hAnsi="黑体" w:eastAsia="黑体" w:cs="黑体"/>
          <w:sz w:val="32"/>
        </w:rPr>
        <w:t>55</w:t>
      </w:r>
      <w:r>
        <w:rPr>
          <w:rFonts w:ascii="黑体" w:hAnsi="黑体" w:eastAsia="黑体" w:cs="黑体"/>
          <w:sz w:val="32"/>
        </w:rPr>
        <w:t>人，内容为</w:t>
      </w:r>
      <w:r>
        <w:rPr>
          <w:rFonts w:hint="eastAsia" w:ascii="黑体" w:hAnsi="黑体" w:eastAsia="黑体" w:cs="黑体"/>
          <w:sz w:val="32"/>
        </w:rPr>
        <w:t>村“两委”换届配套组织等工作安排</w:t>
      </w:r>
      <w:r>
        <w:rPr>
          <w:rFonts w:ascii="黑体" w:hAnsi="黑体" w:eastAsia="黑体" w:cs="黑体"/>
          <w:sz w:val="32"/>
        </w:rPr>
        <w:t>；</w:t>
      </w:r>
      <w:r>
        <w:rPr>
          <w:rFonts w:hint="eastAsia" w:ascii="黑体" w:hAnsi="黑体" w:eastAsia="黑体" w:cs="黑体"/>
          <w:sz w:val="32"/>
        </w:rPr>
        <w:t>用于召开巡查反馈会议，人数90人，内容委第一巡查组对北斗溪镇“巡乡带村”工作反馈；用于召开春节前工作会议，人数72人，内容为2021年春节前工作安排部署；用于召开北斗溪镇第一届人民代表大会第五次会议，人数115人，内容为进行人大会各项议程；用于召开消防安全隐患排查工作会议，人数58人，内容为冬季取暖加强安全隐患排查；用于召开十二届委员会会议精神传达，人数77人，内容为学习会议精神及安排部署现阶段重点工作；用于召开十九届五中全会精神宣讲会，人数90人，内容为学习贯彻党的十九届五中全会精神及县委宣讲报告；用于召开疫情防控推进会，人数35人，内容为严防死守，压实四方责任，筑牢疫情防控防线；用于召开平安溆浦视频会议，人数88人，内容为平安溆浦创建工作安排部署；用于召开民族团结专题会，人数60人，内容为加强民族团结意识增进民族团结创建；用于召开疫情防控工作会议，人数22人，内容为关于开展第二次基线抽样调查部署；用于召开每周全体干部职工例会，人数70人，内容为总结上周工作及本周工作安排部署等会议。</w:t>
      </w:r>
      <w:r>
        <w:rPr>
          <w:rFonts w:ascii="黑体" w:hAnsi="黑体" w:eastAsia="黑体" w:cs="黑体"/>
          <w:sz w:val="32"/>
        </w:rPr>
        <w:t>开支培训费0.06万元，用于开展</w:t>
      </w:r>
      <w:r>
        <w:rPr>
          <w:rFonts w:hint="eastAsia" w:ascii="黑体" w:hAnsi="黑体" w:eastAsia="黑体" w:cs="黑体"/>
          <w:sz w:val="32"/>
        </w:rPr>
        <w:t>党校中青班</w:t>
      </w:r>
      <w:r>
        <w:rPr>
          <w:rFonts w:ascii="黑体" w:hAnsi="黑体" w:eastAsia="黑体" w:cs="黑体"/>
          <w:sz w:val="32"/>
        </w:rPr>
        <w:t>培训，人数</w:t>
      </w:r>
      <w:r>
        <w:rPr>
          <w:rFonts w:hint="eastAsia" w:ascii="黑体" w:hAnsi="黑体" w:eastAsia="黑体" w:cs="黑体"/>
          <w:sz w:val="32"/>
        </w:rPr>
        <w:t>1</w:t>
      </w:r>
      <w:r>
        <w:rPr>
          <w:rFonts w:ascii="黑体" w:hAnsi="黑体" w:eastAsia="黑体" w:cs="黑体"/>
          <w:sz w:val="32"/>
        </w:rPr>
        <w:t>人，内容为</w:t>
      </w:r>
      <w:r>
        <w:rPr>
          <w:rFonts w:hint="eastAsia" w:ascii="黑体" w:hAnsi="黑体" w:eastAsia="黑体" w:cs="黑体"/>
          <w:sz w:val="32"/>
        </w:rPr>
        <w:t>提高中青年干部的政策理论水平和实际工作能力，以适应新形势、新任务的需要。</w:t>
      </w:r>
    </w:p>
    <w:p>
      <w:pPr>
        <w:jc w:val="left"/>
        <w:rPr>
          <w:rFonts w:ascii="黑体" w:hAnsi="黑体" w:eastAsia="黑体" w:cs="黑体"/>
          <w:b/>
          <w:color w:val="000000"/>
          <w:sz w:val="32"/>
        </w:rPr>
      </w:pPr>
      <w:r>
        <w:rPr>
          <w:rFonts w:ascii="黑体" w:hAnsi="黑体" w:eastAsia="黑体" w:cs="黑体"/>
          <w:b/>
          <w:color w:val="000000"/>
          <w:sz w:val="32"/>
        </w:rPr>
        <w:t>十一、政府采购支出说明</w:t>
      </w:r>
    </w:p>
    <w:p>
      <w:pPr>
        <w:ind w:firstLine="640"/>
        <w:jc w:val="left"/>
        <w:rPr>
          <w:rFonts w:ascii="黑体" w:hAnsi="黑体" w:eastAsia="黑体" w:cs="黑体"/>
          <w:color w:val="000000"/>
          <w:sz w:val="32"/>
        </w:rPr>
      </w:pPr>
      <w:r>
        <w:rPr>
          <w:rFonts w:ascii="黑体" w:hAnsi="黑体" w:eastAsia="黑体" w:cs="黑体"/>
          <w:color w:val="000000"/>
          <w:sz w:val="32"/>
        </w:rPr>
        <w:t>本部门2021年度政府采购支出总额370万元，其中：政府采购货物支出0万元、政府采购工程支出370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100%，服务采购授予中小企业合同金额占服务支出金额的0%。</w:t>
      </w:r>
    </w:p>
    <w:p>
      <w:pPr>
        <w:jc w:val="left"/>
        <w:rPr>
          <w:rFonts w:ascii="黑体" w:hAnsi="黑体" w:eastAsia="黑体" w:cs="黑体"/>
          <w:b/>
          <w:color w:val="000000"/>
          <w:sz w:val="32"/>
        </w:rPr>
      </w:pPr>
      <w:r>
        <w:rPr>
          <w:rFonts w:ascii="黑体" w:hAnsi="黑体" w:eastAsia="黑体" w:cs="黑体"/>
          <w:b/>
          <w:color w:val="000000"/>
          <w:sz w:val="32"/>
        </w:rPr>
        <w:t>十二、国有资产占用情况说明</w:t>
      </w:r>
    </w:p>
    <w:p>
      <w:pPr>
        <w:ind w:firstLine="640"/>
        <w:jc w:val="left"/>
        <w:rPr>
          <w:rFonts w:ascii="黑体" w:hAnsi="黑体" w:eastAsia="黑体" w:cs="黑体"/>
          <w:color w:val="000000"/>
          <w:sz w:val="32"/>
        </w:rPr>
      </w:pPr>
      <w:r>
        <w:rPr>
          <w:rFonts w:ascii="黑体" w:hAnsi="黑体" w:eastAsia="黑体" w:cs="黑体"/>
          <w:color w:val="000000"/>
          <w:sz w:val="32"/>
        </w:rPr>
        <w:t>截至2021年12月31日，部门（单位）共有车辆2辆，其中，主要领导干部用车2辆，机要通信用车0辆、应急保障用车0辆、执法执勤用车0辆、特种专业技术用车0辆、其他用车0辆；单位价值50万元以上通用设备0台（套）；单位价值100万元以上专用设备0台（套）。</w:t>
      </w:r>
    </w:p>
    <w:p>
      <w:pPr>
        <w:jc w:val="left"/>
        <w:rPr>
          <w:rFonts w:ascii="黑体" w:hAnsi="黑体" w:eastAsia="黑体" w:cs="黑体"/>
          <w:b/>
          <w:color w:val="000000"/>
          <w:sz w:val="32"/>
        </w:rPr>
      </w:pPr>
      <w:r>
        <w:rPr>
          <w:rFonts w:ascii="黑体" w:hAnsi="黑体" w:eastAsia="黑体" w:cs="黑体"/>
          <w:b/>
          <w:color w:val="000000"/>
          <w:sz w:val="32"/>
        </w:rPr>
        <w:t>十三、2021年度预算绩效情况说明</w:t>
      </w:r>
    </w:p>
    <w:p>
      <w:pPr>
        <w:rPr>
          <w:rFonts w:ascii="黑体" w:hAnsi="黑体" w:eastAsia="黑体" w:cs="黑体"/>
          <w:color w:val="000000"/>
          <w:sz w:val="30"/>
          <w:szCs w:val="30"/>
        </w:rPr>
      </w:pPr>
      <w:r>
        <w:rPr>
          <w:rFonts w:hint="eastAsia" w:ascii="黑体" w:hAnsi="黑体" w:eastAsia="黑体" w:cs="黑体"/>
          <w:color w:val="000000"/>
          <w:sz w:val="30"/>
          <w:szCs w:val="30"/>
        </w:rPr>
        <w:t>（1）绩效管理评价工作开展情况。</w:t>
      </w:r>
    </w:p>
    <w:p>
      <w:pPr>
        <w:ind w:firstLine="450" w:firstLineChars="150"/>
        <w:rPr>
          <w:rFonts w:ascii="黑体" w:hAnsi="黑体" w:eastAsia="黑体" w:cs="黑体"/>
          <w:color w:val="000000"/>
          <w:sz w:val="30"/>
          <w:szCs w:val="30"/>
        </w:rPr>
      </w:pPr>
      <w:r>
        <w:rPr>
          <w:rFonts w:hint="eastAsia" w:ascii="黑体" w:hAnsi="黑体" w:eastAsia="黑体" w:cs="黑体"/>
          <w:color w:val="000000"/>
          <w:sz w:val="30"/>
          <w:szCs w:val="30"/>
        </w:rPr>
        <w:t>根据预算绩效管理要求，我部门组织对2021年度一般公共预算项目支出全面开展绩效自评，其中，一级项目0个，二级项目0个，共涉及资金0万元，占一般公共预算项目支出总额的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ind w:firstLine="450" w:firstLineChars="150"/>
        <w:rPr>
          <w:rFonts w:ascii="黑体" w:hAnsi="黑体" w:eastAsia="黑体" w:cs="黑体"/>
          <w:color w:val="000000"/>
          <w:sz w:val="30"/>
          <w:szCs w:val="30"/>
        </w:rPr>
      </w:pPr>
      <w:r>
        <w:rPr>
          <w:rFonts w:hint="eastAsia" w:ascii="黑体" w:hAnsi="黑体" w:eastAsia="黑体" w:cs="黑体"/>
          <w:color w:val="000000"/>
          <w:sz w:val="30"/>
          <w:szCs w:val="30"/>
        </w:rPr>
        <w:t>组织对0个项目开展了部门评价，涉及一般公共预算支出0万元，政府性基金预算支出0万元，国有资本经营预算支出0万元。</w:t>
      </w:r>
    </w:p>
    <w:p>
      <w:pPr>
        <w:ind w:firstLine="450" w:firstLineChars="150"/>
        <w:rPr>
          <w:rFonts w:ascii="黑体" w:hAnsi="黑体" w:eastAsia="黑体" w:cs="黑体"/>
          <w:color w:val="000000"/>
          <w:sz w:val="30"/>
          <w:szCs w:val="30"/>
        </w:rPr>
      </w:pPr>
      <w:r>
        <w:rPr>
          <w:rFonts w:hint="eastAsia" w:ascii="黑体" w:hAnsi="黑体" w:eastAsia="黑体" w:cs="黑体"/>
          <w:color w:val="000000"/>
          <w:sz w:val="30"/>
          <w:szCs w:val="30"/>
        </w:rPr>
        <w:t>组织对本单位开展整体支出绩效评价，涉及一般公共预算支出</w:t>
      </w:r>
      <w:r>
        <w:rPr>
          <w:rFonts w:hint="eastAsia" w:ascii="黑体" w:hAnsi="黑体" w:eastAsia="黑体" w:cs="黑体"/>
          <w:color w:val="000000"/>
          <w:sz w:val="30"/>
          <w:szCs w:val="30"/>
          <w:lang w:val="en-US" w:eastAsia="zh-CN"/>
        </w:rPr>
        <w:t>2334.61</w:t>
      </w:r>
      <w:r>
        <w:rPr>
          <w:rFonts w:hint="eastAsia" w:ascii="黑体" w:hAnsi="黑体" w:eastAsia="黑体" w:cs="黑体"/>
          <w:color w:val="000000"/>
          <w:sz w:val="30"/>
          <w:szCs w:val="30"/>
        </w:rPr>
        <w:t>万元，政府性基金预算支出</w:t>
      </w:r>
      <w:r>
        <w:rPr>
          <w:rFonts w:hint="eastAsia" w:ascii="黑体" w:hAnsi="黑体" w:eastAsia="黑体" w:cs="黑体"/>
          <w:color w:val="000000"/>
          <w:sz w:val="30"/>
          <w:szCs w:val="30"/>
          <w:lang w:val="en-US" w:eastAsia="zh-CN"/>
        </w:rPr>
        <w:t>6.4</w:t>
      </w:r>
      <w:r>
        <w:rPr>
          <w:rFonts w:hint="eastAsia" w:ascii="黑体" w:hAnsi="黑体" w:eastAsia="黑体" w:cs="黑体"/>
          <w:color w:val="000000"/>
          <w:sz w:val="30"/>
          <w:szCs w:val="30"/>
        </w:rPr>
        <w:t>万元。从评价情况来看，本单位以“乡村振兴”为首要任务，落实精准乡村振兴工作；以党建工作为依托，加强财政事务中心内部管理，深化非税征管体制改革，完善乡镇财政财务管理制度，强化监督管理职能，完成绩效考核目标任务。</w:t>
      </w:r>
    </w:p>
    <w:p>
      <w:pPr>
        <w:rPr>
          <w:rFonts w:ascii="黑体" w:hAnsi="黑体" w:eastAsia="黑体" w:cs="黑体"/>
          <w:color w:val="000000"/>
          <w:sz w:val="30"/>
          <w:szCs w:val="30"/>
        </w:rPr>
      </w:pPr>
      <w:r>
        <w:rPr>
          <w:rFonts w:hint="eastAsia" w:ascii="黑体" w:hAnsi="黑体" w:eastAsia="黑体" w:cs="黑体"/>
          <w:color w:val="000000"/>
          <w:sz w:val="30"/>
          <w:szCs w:val="30"/>
        </w:rPr>
        <w:t>（2）部门决算中项目绩效自评结果。</w:t>
      </w:r>
    </w:p>
    <w:p>
      <w:pPr>
        <w:ind w:firstLine="450" w:firstLineChars="150"/>
        <w:rPr>
          <w:rFonts w:ascii="黑体" w:hAnsi="黑体" w:eastAsia="黑体" w:cs="黑体"/>
          <w:color w:val="000000"/>
          <w:sz w:val="30"/>
          <w:szCs w:val="30"/>
        </w:rPr>
      </w:pPr>
      <w:r>
        <w:rPr>
          <w:rFonts w:hint="eastAsia" w:ascii="黑体" w:hAnsi="黑体" w:eastAsia="黑体" w:cs="黑体"/>
          <w:color w:val="000000"/>
          <w:sz w:val="30"/>
          <w:szCs w:val="30"/>
        </w:rPr>
        <w:t>2021年度一般公共预算中无项目支出，部门决算中无项目绩效自评结果。</w:t>
      </w:r>
    </w:p>
    <w:p>
      <w:pPr>
        <w:rPr>
          <w:rFonts w:ascii="黑体" w:hAnsi="黑体" w:eastAsia="黑体" w:cs="黑体"/>
          <w:color w:val="000000"/>
          <w:sz w:val="30"/>
          <w:szCs w:val="30"/>
        </w:rPr>
      </w:pPr>
      <w:r>
        <w:rPr>
          <w:rFonts w:hint="eastAsia" w:ascii="黑体" w:hAnsi="黑体" w:eastAsia="黑体" w:cs="黑体"/>
          <w:color w:val="000000"/>
          <w:sz w:val="30"/>
          <w:szCs w:val="30"/>
        </w:rPr>
        <w:t>（3）部门评价项目绩效评价结果。</w:t>
      </w:r>
    </w:p>
    <w:p>
      <w:pPr>
        <w:ind w:firstLine="450" w:firstLineChars="150"/>
        <w:rPr>
          <w:rFonts w:ascii="黑体" w:hAnsi="黑体" w:eastAsia="黑体" w:cs="黑体"/>
          <w:color w:val="000000"/>
          <w:sz w:val="30"/>
          <w:szCs w:val="30"/>
        </w:rPr>
      </w:pPr>
      <w:r>
        <w:rPr>
          <w:rFonts w:hint="eastAsia" w:ascii="黑体" w:hAnsi="黑体" w:eastAsia="黑体" w:cs="黑体"/>
          <w:color w:val="000000"/>
          <w:sz w:val="30"/>
          <w:szCs w:val="30"/>
        </w:rPr>
        <w:t>2021年度一般公共预算中无项目支出，部门决算中无项目绩效自评结果。</w:t>
      </w: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r>
        <w:rPr>
          <w:rFonts w:ascii="黑体" w:hAnsi="黑体" w:eastAsia="黑体" w:cs="黑体"/>
          <w:color w:val="000000"/>
          <w:sz w:val="72"/>
        </w:rPr>
        <w:t>第四部分</w:t>
      </w:r>
    </w:p>
    <w:p>
      <w:pPr>
        <w:ind w:firstLine="2450" w:firstLineChars="350"/>
        <w:rPr>
          <w:rFonts w:ascii="黑体" w:hAnsi="黑体" w:eastAsia="黑体" w:cs="黑体"/>
          <w:color w:val="000000"/>
          <w:sz w:val="70"/>
        </w:rPr>
      </w:pPr>
    </w:p>
    <w:p>
      <w:pPr>
        <w:ind w:firstLine="2450" w:firstLineChars="350"/>
        <w:rPr>
          <w:rFonts w:ascii="黑体" w:hAnsi="黑体" w:eastAsia="黑体" w:cs="黑体"/>
          <w:color w:val="000000"/>
          <w:sz w:val="70"/>
        </w:rPr>
      </w:pPr>
      <w:r>
        <w:rPr>
          <w:rFonts w:ascii="黑体" w:hAnsi="黑体" w:eastAsia="黑体" w:cs="黑体"/>
          <w:color w:val="000000"/>
          <w:sz w:val="70"/>
        </w:rPr>
        <w:t>名词解释</w:t>
      </w:r>
    </w:p>
    <w:p>
      <w:pPr>
        <w:ind w:firstLine="2450" w:firstLineChars="350"/>
        <w:rPr>
          <w:rFonts w:ascii="黑体" w:hAnsi="黑体" w:eastAsia="黑体" w:cs="黑体"/>
          <w:color w:val="000000"/>
          <w:sz w:val="70"/>
        </w:rPr>
      </w:pPr>
    </w:p>
    <w:p>
      <w:pPr>
        <w:ind w:firstLine="2450" w:firstLineChars="350"/>
        <w:rPr>
          <w:rFonts w:ascii="黑体" w:hAnsi="黑体" w:eastAsia="黑体" w:cs="黑体"/>
          <w:color w:val="000000"/>
          <w:sz w:val="70"/>
        </w:rPr>
      </w:pPr>
    </w:p>
    <w:p>
      <w:pPr>
        <w:ind w:firstLine="2450" w:firstLineChars="350"/>
        <w:rPr>
          <w:rFonts w:ascii="黑体" w:hAnsi="黑体" w:eastAsia="黑体" w:cs="黑体"/>
          <w:color w:val="000000"/>
          <w:sz w:val="70"/>
        </w:rPr>
      </w:pPr>
    </w:p>
    <w:p>
      <w:pPr>
        <w:ind w:firstLine="2450" w:firstLineChars="350"/>
        <w:rPr>
          <w:rFonts w:ascii="黑体" w:hAnsi="黑体" w:eastAsia="黑体" w:cs="黑体"/>
          <w:color w:val="000000"/>
          <w:sz w:val="70"/>
        </w:rPr>
      </w:pPr>
    </w:p>
    <w:p>
      <w:pPr>
        <w:ind w:firstLine="2450" w:firstLineChars="350"/>
        <w:rPr>
          <w:rFonts w:ascii="黑体" w:hAnsi="黑体" w:eastAsia="黑体" w:cs="黑体"/>
          <w:color w:val="000000"/>
          <w:sz w:val="70"/>
        </w:rPr>
      </w:pPr>
    </w:p>
    <w:p>
      <w:pPr>
        <w:ind w:firstLine="2450" w:firstLineChars="350"/>
        <w:rPr>
          <w:rFonts w:ascii="黑体" w:hAnsi="黑体" w:eastAsia="黑体" w:cs="黑体"/>
          <w:color w:val="000000"/>
          <w:sz w:val="70"/>
        </w:rPr>
      </w:pPr>
    </w:p>
    <w:p>
      <w:pPr>
        <w:pStyle w:val="8"/>
        <w:numPr>
          <w:numId w:val="0"/>
        </w:numPr>
        <w:ind w:left="640" w:leftChars="0"/>
        <w:jc w:val="left"/>
        <w:rPr>
          <w:rFonts w:hint="eastAsia" w:ascii="宋体" w:hAnsi="宋体" w:eastAsia="宋体" w:cs="Calibri"/>
          <w:color w:val="000000"/>
          <w:sz w:val="28"/>
          <w:szCs w:val="28"/>
          <w:lang w:val="en-US" w:eastAsia="zh-CN"/>
        </w:rPr>
      </w:pPr>
    </w:p>
    <w:p>
      <w:pPr>
        <w:pStyle w:val="8"/>
        <w:numPr>
          <w:numId w:val="0"/>
        </w:numPr>
        <w:ind w:left="640" w:leftChars="0"/>
        <w:jc w:val="left"/>
        <w:rPr>
          <w:rFonts w:ascii="宋体" w:hAnsi="宋体" w:eastAsia="宋体" w:cs="Calibri"/>
          <w:color w:val="000000"/>
          <w:sz w:val="28"/>
          <w:szCs w:val="28"/>
        </w:rPr>
      </w:pPr>
      <w:r>
        <w:rPr>
          <w:rFonts w:hint="eastAsia" w:ascii="宋体" w:hAnsi="宋体" w:eastAsia="宋体" w:cs="Calibri"/>
          <w:color w:val="000000"/>
          <w:sz w:val="28"/>
          <w:szCs w:val="28"/>
          <w:lang w:val="en-US" w:eastAsia="zh-CN"/>
        </w:rPr>
        <w:t>1.</w:t>
      </w:r>
      <w:r>
        <w:rPr>
          <w:rFonts w:hint="eastAsia" w:ascii="宋体" w:hAnsi="宋体" w:eastAsia="宋体" w:cs="Calibri"/>
          <w:color w:val="000000"/>
          <w:sz w:val="28"/>
          <w:szCs w:val="28"/>
        </w:rPr>
        <w:t>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pPr>
        <w:pStyle w:val="8"/>
        <w:numPr>
          <w:numId w:val="0"/>
        </w:numPr>
        <w:ind w:left="640" w:leftChars="0"/>
        <w:jc w:val="left"/>
        <w:rPr>
          <w:rFonts w:ascii="宋体" w:hAnsi="宋体" w:eastAsia="宋体" w:cs="Calibri"/>
          <w:color w:val="000000"/>
          <w:sz w:val="28"/>
          <w:szCs w:val="28"/>
        </w:rPr>
      </w:pPr>
      <w:r>
        <w:rPr>
          <w:rFonts w:hint="eastAsia" w:ascii="宋体" w:hAnsi="宋体" w:eastAsia="宋体" w:cs="Calibri"/>
          <w:color w:val="000000"/>
          <w:sz w:val="28"/>
          <w:szCs w:val="28"/>
          <w:lang w:val="en-US" w:eastAsia="zh-CN"/>
        </w:rPr>
        <w:t>2.</w:t>
      </w:r>
      <w:r>
        <w:rPr>
          <w:rFonts w:hint="eastAsia" w:ascii="宋体" w:hAnsi="宋体" w:eastAsia="宋体" w:cs="Calibri"/>
          <w:color w:val="000000"/>
          <w:sz w:val="28"/>
          <w:szCs w:val="28"/>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jc w:val="cente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rPr>
          <w:rFonts w:ascii="黑体" w:hAnsi="黑体" w:eastAsia="黑体" w:cs="黑体"/>
          <w:color w:val="000000"/>
          <w:sz w:val="72"/>
        </w:rPr>
      </w:pPr>
    </w:p>
    <w:p>
      <w:pPr>
        <w:jc w:val="center"/>
        <w:rPr>
          <w:rFonts w:ascii="黑体" w:hAnsi="黑体" w:eastAsia="黑体" w:cs="黑体"/>
          <w:color w:val="000000"/>
          <w:sz w:val="72"/>
        </w:rPr>
      </w:pPr>
      <w:r>
        <w:rPr>
          <w:rFonts w:ascii="黑体" w:hAnsi="黑体" w:eastAsia="黑体" w:cs="黑体"/>
          <w:color w:val="000000"/>
          <w:sz w:val="72"/>
        </w:rPr>
        <w:t>第五部分</w:t>
      </w:r>
    </w:p>
    <w:p>
      <w:pPr>
        <w:jc w:val="center"/>
        <w:rPr>
          <w:rFonts w:ascii="黑体" w:hAnsi="黑体" w:eastAsia="黑体" w:cs="黑体"/>
          <w:color w:val="000000"/>
          <w:sz w:val="70"/>
        </w:rPr>
      </w:pPr>
    </w:p>
    <w:p>
      <w:pPr>
        <w:jc w:val="center"/>
        <w:rPr>
          <w:rFonts w:ascii="黑体" w:hAnsi="黑体" w:eastAsia="黑体" w:cs="黑体"/>
          <w:color w:val="000000"/>
          <w:sz w:val="70"/>
        </w:rPr>
      </w:pPr>
      <w:r>
        <w:rPr>
          <w:rFonts w:ascii="黑体" w:hAnsi="黑体" w:eastAsia="黑体" w:cs="黑体"/>
          <w:color w:val="000000"/>
          <w:sz w:val="70"/>
        </w:rPr>
        <w:t>附件</w:t>
      </w:r>
    </w:p>
    <w:p>
      <w:pPr>
        <w:jc w:val="center"/>
        <w:rPr>
          <w:rFonts w:ascii="黑体" w:hAnsi="黑体" w:eastAsia="黑体" w:cs="黑体"/>
          <w:color w:val="000000"/>
          <w:sz w:val="70"/>
        </w:rPr>
      </w:pPr>
    </w:p>
    <w:p>
      <w:pPr>
        <w:jc w:val="center"/>
        <w:rPr>
          <w:rFonts w:ascii="黑体" w:hAnsi="黑体" w:eastAsia="黑体" w:cs="黑体"/>
          <w:color w:val="000000"/>
          <w:sz w:val="70"/>
        </w:rPr>
      </w:pPr>
    </w:p>
    <w:p>
      <w:pPr>
        <w:jc w:val="center"/>
        <w:rPr>
          <w:rFonts w:ascii="黑体" w:hAnsi="黑体" w:eastAsia="黑体" w:cs="黑体"/>
          <w:color w:val="000000"/>
          <w:sz w:val="70"/>
        </w:rPr>
      </w:pPr>
    </w:p>
    <w:p>
      <w:pPr>
        <w:jc w:val="center"/>
        <w:rPr>
          <w:rFonts w:ascii="黑体" w:hAnsi="黑体" w:eastAsia="黑体" w:cs="黑体"/>
          <w:color w:val="000000"/>
          <w:sz w:val="70"/>
        </w:rPr>
      </w:pPr>
    </w:p>
    <w:p>
      <w:pPr>
        <w:ind w:firstLine="643"/>
        <w:jc w:val="center"/>
        <w:rPr>
          <w:rFonts w:ascii="Calibri" w:hAnsi="Calibri" w:eastAsia="Calibri" w:cs="Calibri"/>
          <w:b/>
          <w:color w:val="000000"/>
          <w:sz w:val="32"/>
        </w:rPr>
      </w:pPr>
    </w:p>
    <w:p>
      <w:pPr>
        <w:ind w:firstLine="643"/>
        <w:jc w:val="center"/>
        <w:rPr>
          <w:rFonts w:ascii="Calibri" w:hAnsi="Calibri" w:eastAsia="Calibri" w:cs="Calibri"/>
          <w:b/>
          <w:color w:val="000000"/>
          <w:sz w:val="32"/>
        </w:rPr>
      </w:pPr>
      <w:r>
        <w:rPr>
          <w:rFonts w:ascii="Calibri" w:hAnsi="Calibri" w:eastAsia="Calibri" w:cs="Calibri"/>
          <w:b/>
          <w:color w:val="000000"/>
          <w:sz w:val="32"/>
        </w:rPr>
        <w:t>2021</w:t>
      </w:r>
      <w:r>
        <w:rPr>
          <w:rFonts w:ascii="黑体" w:hAnsi="黑体" w:eastAsia="黑体" w:cs="黑体"/>
          <w:b/>
          <w:color w:val="000000"/>
          <w:sz w:val="32"/>
        </w:rPr>
        <w:t>年度部门整体支出绩效评价报告</w:t>
      </w:r>
    </w:p>
    <w:p>
      <w:pPr>
        <w:ind w:firstLine="479" w:firstLineChars="149"/>
        <w:rPr>
          <w:rFonts w:ascii="仿宋" w:hAnsi="仿宋" w:eastAsia="仿宋" w:cs="Times New Roman"/>
          <w:b/>
          <w:sz w:val="32"/>
          <w:szCs w:val="32"/>
        </w:rPr>
      </w:pPr>
      <w:bookmarkStart w:id="1" w:name="_GoBack"/>
      <w:bookmarkEnd w:id="1"/>
      <w:r>
        <w:rPr>
          <w:rFonts w:hint="eastAsia" w:ascii="仿宋" w:hAnsi="仿宋" w:eastAsia="仿宋" w:cs="Times New Roman"/>
          <w:b/>
          <w:sz w:val="32"/>
          <w:szCs w:val="32"/>
        </w:rPr>
        <w:t>一、部门概况</w:t>
      </w:r>
    </w:p>
    <w:p>
      <w:pPr>
        <w:ind w:firstLine="476" w:firstLineChars="149"/>
        <w:rPr>
          <w:rFonts w:ascii="仿宋" w:hAnsi="仿宋" w:eastAsia="仿宋" w:cs="Times New Roman"/>
          <w:color w:val="333333"/>
          <w:sz w:val="32"/>
          <w:szCs w:val="32"/>
        </w:rPr>
      </w:pPr>
      <w:r>
        <w:rPr>
          <w:rFonts w:hint="eastAsia" w:ascii="仿宋" w:hAnsi="仿宋" w:eastAsia="仿宋" w:cs="Times New Roman"/>
          <w:color w:val="333333"/>
          <w:sz w:val="32"/>
          <w:szCs w:val="32"/>
        </w:rPr>
        <w:t>（一）部门基本情况</w:t>
      </w:r>
    </w:p>
    <w:p>
      <w:pPr>
        <w:ind w:firstLine="640" w:firstLineChars="200"/>
        <w:rPr>
          <w:rFonts w:ascii="仿宋" w:hAnsi="仿宋" w:eastAsia="仿宋" w:cs="宋体"/>
          <w:color w:val="FF0000"/>
          <w:kern w:val="0"/>
          <w:sz w:val="32"/>
          <w:szCs w:val="32"/>
        </w:rPr>
      </w:pPr>
      <w:r>
        <w:rPr>
          <w:rFonts w:hint="eastAsia" w:ascii="仿宋" w:hAnsi="仿宋" w:eastAsia="仿宋" w:cs="Times New Roman"/>
          <w:sz w:val="32"/>
          <w:szCs w:val="32"/>
        </w:rPr>
        <w:t>北斗溪镇政府隶属溆浦县人民政府，行政单位，全额拨</w:t>
      </w:r>
      <w:r>
        <w:rPr>
          <w:rFonts w:hint="eastAsia" w:ascii="仿宋" w:hAnsi="仿宋" w:eastAsia="仿宋" w:cs="宋体"/>
          <w:kern w:val="0"/>
          <w:sz w:val="32"/>
          <w:szCs w:val="32"/>
        </w:rPr>
        <w:t>款单位。</w:t>
      </w:r>
      <w:r>
        <w:rPr>
          <w:rFonts w:hint="eastAsia" w:ascii="仿宋" w:hAnsi="仿宋" w:eastAsia="仿宋" w:cs="Times New Roman"/>
          <w:sz w:val="32"/>
          <w:szCs w:val="32"/>
        </w:rPr>
        <w:t>北斗溪镇现有行政编干部27名，机关工勤干部2人，事业编干部、职工39人，共计68人。</w:t>
      </w:r>
      <w:r>
        <w:rPr>
          <w:rFonts w:hint="eastAsia" w:ascii="仿宋" w:hAnsi="仿宋" w:eastAsia="仿宋" w:cs="宋体"/>
          <w:kern w:val="0"/>
          <w:sz w:val="32"/>
          <w:szCs w:val="32"/>
        </w:rPr>
        <w:t>主要职能</w:t>
      </w:r>
      <w:r>
        <w:rPr>
          <w:rFonts w:hint="eastAsia" w:ascii="仿宋" w:hAnsi="仿宋" w:eastAsia="仿宋" w:cs="Times New Roman"/>
          <w:sz w:val="32"/>
          <w:szCs w:val="32"/>
        </w:rPr>
        <w:t>是</w:t>
      </w:r>
      <w:r>
        <w:rPr>
          <w:rFonts w:ascii="仿宋" w:hAnsi="仿宋" w:eastAsia="仿宋" w:cs="宋体"/>
          <w:kern w:val="0"/>
          <w:sz w:val="28"/>
          <w:szCs w:val="28"/>
        </w:rPr>
        <w:t>(1)</w:t>
      </w:r>
      <w:r>
        <w:rPr>
          <w:rFonts w:ascii="仿宋" w:hAnsi="仿宋" w:eastAsia="仿宋" w:cs="宋体"/>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（二）收支情况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2021年本年收入2341.01万元万元，本年支出2341.01万元，收支基本平衡。</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二、资金使用及管理情况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（一）基本支出</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2021年基本支出1049.42万元万元,其中工资福利支出718.23万元，商品和服务支出259.86万元，对个人和家庭的补助支出71.33万元。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（二）项目支出</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2021年项目支出1291.59万元。主要用于乡村振兴项目的小城镇基础设施建设、农村环境示范创建、农村公路维修、农村水渠等小型基础设施的建设。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（三）三公经费及管理情况</w:t>
      </w:r>
    </w:p>
    <w:p>
      <w:pPr>
        <w:ind w:firstLine="787" w:firstLineChars="246"/>
        <w:rPr>
          <w:rFonts w:ascii="仿宋" w:hAnsi="仿宋" w:eastAsia="仿宋" w:cs="Times New Roman"/>
          <w:sz w:val="32"/>
          <w:szCs w:val="32"/>
        </w:rPr>
      </w:pPr>
      <w:r>
        <w:rPr>
          <w:rFonts w:hint="eastAsia" w:ascii="仿宋" w:hAnsi="仿宋" w:eastAsia="仿宋" w:cs="Times New Roman"/>
          <w:sz w:val="32"/>
          <w:szCs w:val="32"/>
        </w:rPr>
        <w:t>2021年“三公”支出3.5万元，其中公务接待费1.38万元、公车运行维护费2.12万元。三公经费管理认真贯彻中央的”八项规定”，全面落实厉行节约，反对铺张浪费，努力降低行政运行成本，推进三公经费管理长期化，规范化和制度化。</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三、资产管理情况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2021年有固定资产674.13万元，包括房屋、车辆、电脑、打印机、空调等通用设备、办公桌椅、文件柜等办公用具。</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四、整体支出绩效情况</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2021</w:t>
      </w:r>
      <w:r>
        <w:rPr>
          <w:rFonts w:ascii="仿宋" w:hAnsi="仿宋" w:eastAsia="仿宋" w:cs="Times New Roman"/>
          <w:sz w:val="32"/>
          <w:szCs w:val="32"/>
        </w:rPr>
        <w:t>年，</w:t>
      </w:r>
      <w:r>
        <w:rPr>
          <w:rFonts w:hint="eastAsia" w:ascii="仿宋" w:hAnsi="仿宋" w:eastAsia="仿宋" w:cs="Times New Roman"/>
          <w:sz w:val="32"/>
          <w:szCs w:val="32"/>
        </w:rPr>
        <w:t>我镇</w:t>
      </w:r>
      <w:r>
        <w:rPr>
          <w:rFonts w:ascii="仿宋" w:hAnsi="仿宋" w:eastAsia="仿宋" w:cs="Times New Roman"/>
          <w:sz w:val="32"/>
          <w:szCs w:val="32"/>
        </w:rPr>
        <w:t>积极履职，强化管理，较好的完成了年度工作目标。部门整体支出绩效情况如下：</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Times New Roman"/>
          <w:sz w:val="32"/>
          <w:szCs w:val="32"/>
        </w:rPr>
        <w:t xml:space="preserve">   </w:t>
      </w:r>
      <w:r>
        <w:rPr>
          <w:rFonts w:hint="eastAsia" w:ascii="仿宋" w:hAnsi="仿宋" w:eastAsia="仿宋" w:cs="楷体_GB2312"/>
          <w:sz w:val="32"/>
          <w:szCs w:val="32"/>
        </w:rPr>
        <w:t>（一）落实意识形态工作。</w:t>
      </w:r>
      <w:r>
        <w:rPr>
          <w:rFonts w:hint="eastAsia" w:ascii="仿宋" w:hAnsi="仿宋" w:eastAsia="仿宋" w:cs="仿宋_GB2312"/>
          <w:sz w:val="32"/>
          <w:szCs w:val="32"/>
        </w:rPr>
        <w:t>全年已开展党委理论学习中心组12次，深入学习了习近平总书记在党史教育动员大会上的重要讲话精神等有关重要论述。开展党委意识形态领域形式专题分析研判2次。完善了网评制度和网络信息管理员制度。坚持利用“学习强国”平台学习不放松，学习成绩与干部及村级绩效目标管理考核挂钩。持续推进新时代文明实践服务工作，结合疫情防控、乡村振兴、民生保障等方面开展志愿服务230余次。</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（二）抓基层党组织建设工作。</w:t>
      </w:r>
      <w:r>
        <w:rPr>
          <w:rFonts w:hint="eastAsia" w:ascii="仿宋" w:hAnsi="仿宋" w:eastAsia="仿宋" w:cs="仿宋_GB2312"/>
          <w:sz w:val="32"/>
          <w:szCs w:val="32"/>
        </w:rPr>
        <w:t>一是围绕政治建设，筑牢党建根本。完善干部绩效考核各项制度，研究制定《北斗溪镇2021年度村级绩效考核工作方案》，对镇村干部全面规范管理。各级党支部完成党史学习教育专题研讨会60次。扎实推进“三会一课”、双述双评、组织生活会、党员春训等日常工作。按程序严格把关，培养入党积极分子28人，发展对象16人。开展建党100周年系列活动，共进行困难党员春节、疫情、七一等慰问105人次。二是筑牢基层战斗堡垒。选优配强镇村两级班子，14个村“两委”全部实现“一肩挑”，党组织书记大专以上学历达92.86%，“两委”班子致富能人达73%。镇党委、政府、人大班子成员均满票当选。通过参加全省乡镇长进修班、全市乡村振兴专题班、全县乡镇领导干部履职能力提升班等专题培训，对新当选的村“两委”干部推行“一对一”导师帮带，不断提升干部队伍能力。三是持续加强党风廉政建设。制定《北斗溪镇村级绩效考核工作方案》《党员管理十条红线》，高标准开展节前廉政谈话、防止“四风”问题反弹，切实抓好换届风气监督工作。全年共立案4起5人，办结案件3件，办理中2件，给予党内警告处分3人，提醒谈话1人，约谈1人，追缴死亡人员违规领取养老保险94102.39元。</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（三）疫情防控工作成效显著。</w:t>
      </w:r>
      <w:r>
        <w:rPr>
          <w:rFonts w:hint="eastAsia" w:ascii="仿宋" w:hAnsi="仿宋" w:eastAsia="仿宋" w:cs="仿宋_GB2312"/>
          <w:sz w:val="32"/>
          <w:szCs w:val="32"/>
        </w:rPr>
        <w:t>今年疫情反复以来，我镇在第一时间组织召开了新冠肺炎疫情防控紧急会议，加强在溆浦南站值班守卡力量，党委班子带头轮班，明确专人专班，累计排查中高风险地区返乡人员2621人，其中境外返乡48人，发现黄码22人，红码1人。一年多来，溆浦南站疫情防控检测点人员不减、防守不松，常态化疫情防控落实有力。完成推进疫苗接种8858人，加强针1507剂。干群联动，多点配合共同发力，筑牢抗疫防疫的“铜墙铁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楷体_GB2312"/>
          <w:sz w:val="32"/>
          <w:szCs w:val="32"/>
        </w:rPr>
        <w:t>（四）</w:t>
      </w:r>
      <w:bookmarkStart w:id="0" w:name="_Toc31886"/>
      <w:r>
        <w:rPr>
          <w:rFonts w:ascii="仿宋" w:hAnsi="仿宋" w:eastAsia="仿宋" w:cs="楷体_GB2312"/>
          <w:sz w:val="32"/>
          <w:szCs w:val="32"/>
        </w:rPr>
        <w:t>巩固脱贫成果，推进乡村振兴。</w:t>
      </w:r>
      <w:r>
        <w:rPr>
          <w:rFonts w:ascii="仿宋" w:hAnsi="仿宋" w:eastAsia="仿宋" w:cs="仿宋_GB2312"/>
          <w:sz w:val="32"/>
          <w:szCs w:val="32"/>
        </w:rPr>
        <w:t>一是按时按点落实巩固脱贫攻坚成果后评估和乡村振兴实地考核工作，全镇农业户籍人口5380户17918人，其中2021年已脱贫户1347户，4892人，现有档内未消除风险监测对象40户78人。深入开展“危房歼灭战”，2021年改造26户，全年发放小额贷款83笔296万元，满足脱贫户、监测户家庭增收、致富项目、生产经营的融资需求，累计完成贴息125.95万余元。</w:t>
      </w:r>
      <w:r>
        <w:rPr>
          <w:rFonts w:ascii="仿宋" w:hAnsi="仿宋" w:eastAsia="仿宋" w:cs="仿宋_GB2312"/>
          <w:b/>
          <w:bCs/>
          <w:sz w:val="32"/>
          <w:szCs w:val="32"/>
        </w:rPr>
        <w:t>二是</w:t>
      </w:r>
      <w:r>
        <w:rPr>
          <w:rFonts w:ascii="仿宋" w:hAnsi="仿宋" w:eastAsia="仿宋" w:cs="仿宋_GB2312"/>
          <w:sz w:val="32"/>
          <w:szCs w:val="32"/>
        </w:rPr>
        <w:t>着力补齐环卫基础设施短板。共配备垃圾车12辆，保洁员35名，垃圾中转站1座，对5个村开展垃圾分类管理。推进实施净化槽项目和厕所革命，共完成145座</w:t>
      </w:r>
      <w:r>
        <w:rPr>
          <w:rFonts w:hint="eastAsia" w:ascii="仿宋" w:hAnsi="仿宋" w:eastAsia="仿宋" w:cs="仿宋_GB2312"/>
          <w:sz w:val="32"/>
          <w:szCs w:val="32"/>
        </w:rPr>
        <w:t>。</w:t>
      </w:r>
      <w:r>
        <w:rPr>
          <w:rFonts w:ascii="仿宋" w:hAnsi="仿宋" w:eastAsia="仿宋" w:cs="仿宋_GB2312"/>
          <w:sz w:val="32"/>
          <w:szCs w:val="32"/>
        </w:rPr>
        <w:t>建成人工湿地污水处理池5个、污水处理厂1个，全镇污水治理率达到81%，坪溪、茅坡等镇核心区无害化厕所普及率达100%</w:t>
      </w:r>
      <w:r>
        <w:rPr>
          <w:rFonts w:hint="eastAsia" w:ascii="仿宋" w:hAnsi="仿宋" w:eastAsia="仿宋" w:cs="仿宋_GB2312"/>
          <w:sz w:val="32"/>
          <w:szCs w:val="32"/>
        </w:rPr>
        <w:t>。以镇内主干道沿线村落为示范，推进美化、绿化、亮化和危旧建筑拆除，累计绿化26000余平方米，拆除违章、危旧建筑9000平方米，改造门头招牌167幅。</w:t>
      </w:r>
      <w:r>
        <w:rPr>
          <w:rFonts w:ascii="仿宋" w:hAnsi="仿宋" w:eastAsia="仿宋" w:cs="仿宋_GB2312"/>
          <w:b/>
          <w:bCs/>
          <w:sz w:val="32"/>
          <w:szCs w:val="32"/>
        </w:rPr>
        <w:t>三是</w:t>
      </w:r>
      <w:r>
        <w:rPr>
          <w:rFonts w:ascii="仿宋" w:hAnsi="仿宋" w:eastAsia="仿宋" w:cs="仿宋_GB2312"/>
          <w:sz w:val="32"/>
          <w:szCs w:val="32"/>
        </w:rPr>
        <w:t>发挥优势，切实培育特色文旅产业。建成湘西地区规模最大、功能最全的研学营地</w:t>
      </w:r>
      <w:r>
        <w:rPr>
          <w:rFonts w:hint="eastAsia" w:ascii="仿宋" w:hAnsi="仿宋" w:eastAsia="仿宋" w:cs="仿宋_GB2312"/>
          <w:sz w:val="32"/>
          <w:szCs w:val="32"/>
        </w:rPr>
        <w:t>，</w:t>
      </w:r>
      <w:r>
        <w:rPr>
          <w:rFonts w:ascii="仿宋" w:hAnsi="仿宋" w:eastAsia="仿宋" w:cs="仿宋_GB2312"/>
          <w:sz w:val="32"/>
          <w:szCs w:val="32"/>
        </w:rPr>
        <w:t>今年累计接待3.9万人次，先后承接举办全省机关党支部书记党务培训示范班、全市教育、卫健等系统党务工作培训班，为村集体创收10万元，群众增收65万元</w:t>
      </w:r>
      <w:r>
        <w:rPr>
          <w:rFonts w:hint="eastAsia" w:ascii="仿宋" w:hAnsi="仿宋" w:eastAsia="仿宋" w:cs="仿宋_GB2312"/>
          <w:sz w:val="32"/>
          <w:szCs w:val="32"/>
        </w:rPr>
        <w:t>，并荣获2021年度湖南省研学旅游（示范）基地称号。</w:t>
      </w:r>
    </w:p>
    <w:bookmarkEnd w:id="0"/>
    <w:p>
      <w:pPr>
        <w:spacing w:line="560" w:lineRule="exact"/>
        <w:ind w:firstLine="640" w:firstLineChars="200"/>
        <w:rPr>
          <w:rFonts w:ascii="仿宋" w:hAnsi="仿宋" w:eastAsia="仿宋" w:cs="楷体_GB2312"/>
          <w:b/>
          <w:bCs/>
          <w:sz w:val="32"/>
          <w:szCs w:val="32"/>
        </w:rPr>
      </w:pPr>
      <w:r>
        <w:rPr>
          <w:rFonts w:hint="eastAsia" w:ascii="仿宋" w:hAnsi="仿宋" w:eastAsia="仿宋" w:cs="楷体_GB2312"/>
          <w:sz w:val="32"/>
          <w:szCs w:val="32"/>
        </w:rPr>
        <w:t>（五）提升民生保障，共享发展成果。</w:t>
      </w:r>
      <w:r>
        <w:rPr>
          <w:rFonts w:hint="eastAsia" w:ascii="仿宋" w:hAnsi="仿宋" w:eastAsia="仿宋" w:cs="仿宋_GB2312"/>
          <w:sz w:val="32"/>
          <w:szCs w:val="32"/>
        </w:rPr>
        <w:t>一是落实民政社保各项政策。实现城镇新增就业160人；政府补贴性职业技能培训120人次；农村转移就业劳动者培训50人次。</w:t>
      </w:r>
      <w:r>
        <w:rPr>
          <w:rFonts w:hint="eastAsia" w:ascii="仿宋" w:hAnsi="仿宋" w:eastAsia="仿宋" w:cs="仿宋_GB2312"/>
          <w:sz w:val="32"/>
          <w:szCs w:val="32"/>
          <w:lang w:val="zh-CN"/>
        </w:rPr>
        <w:t>完成城乡居民医保收缴及信息录入1</w:t>
      </w:r>
      <w:r>
        <w:rPr>
          <w:rFonts w:hint="eastAsia" w:ascii="仿宋" w:hAnsi="仿宋" w:eastAsia="仿宋" w:cs="仿宋_GB2312"/>
          <w:sz w:val="32"/>
          <w:szCs w:val="32"/>
        </w:rPr>
        <w:t>7321</w:t>
      </w:r>
      <w:r>
        <w:rPr>
          <w:rFonts w:hint="eastAsia" w:ascii="仿宋" w:hAnsi="仿宋" w:eastAsia="仿宋" w:cs="仿宋_GB2312"/>
          <w:sz w:val="32"/>
          <w:szCs w:val="32"/>
          <w:lang w:val="zh-CN"/>
        </w:rPr>
        <w:t>人，参合率达90%。全面执行优抚政策，完成2</w:t>
      </w:r>
      <w:r>
        <w:rPr>
          <w:rFonts w:hint="eastAsia" w:ascii="仿宋" w:hAnsi="仿宋" w:eastAsia="仿宋" w:cs="仿宋_GB2312"/>
          <w:sz w:val="32"/>
          <w:szCs w:val="32"/>
        </w:rPr>
        <w:t>60</w:t>
      </w:r>
      <w:r>
        <w:rPr>
          <w:rFonts w:hint="eastAsia" w:ascii="仿宋" w:hAnsi="仿宋" w:eastAsia="仿宋" w:cs="仿宋_GB2312"/>
          <w:sz w:val="32"/>
          <w:szCs w:val="32"/>
          <w:lang w:val="zh-CN"/>
        </w:rPr>
        <w:t>名</w:t>
      </w:r>
      <w:r>
        <w:rPr>
          <w:rFonts w:hint="eastAsia" w:ascii="仿宋" w:hAnsi="仿宋" w:eastAsia="仿宋" w:cs="仿宋_GB2312"/>
          <w:sz w:val="32"/>
          <w:szCs w:val="32"/>
        </w:rPr>
        <w:t>退役</w:t>
      </w:r>
      <w:r>
        <w:rPr>
          <w:rFonts w:hint="eastAsia" w:ascii="仿宋" w:hAnsi="仿宋" w:eastAsia="仿宋" w:cs="仿宋_GB2312"/>
          <w:sz w:val="32"/>
          <w:szCs w:val="32"/>
          <w:lang w:val="zh-CN"/>
        </w:rPr>
        <w:t>军人采集，发放低保金129</w:t>
      </w:r>
      <w:r>
        <w:rPr>
          <w:rFonts w:hint="eastAsia" w:ascii="仿宋" w:hAnsi="仿宋" w:eastAsia="仿宋" w:cs="仿宋_GB2312"/>
          <w:sz w:val="32"/>
          <w:szCs w:val="32"/>
        </w:rPr>
        <w:t>.4万</w:t>
      </w:r>
      <w:r>
        <w:rPr>
          <w:rFonts w:hint="eastAsia" w:ascii="仿宋" w:hAnsi="仿宋" w:eastAsia="仿宋" w:cs="仿宋_GB2312"/>
          <w:sz w:val="32"/>
          <w:szCs w:val="32"/>
          <w:lang w:val="zh-CN"/>
        </w:rPr>
        <w:t>元；残疾人两项补贴资金35</w:t>
      </w:r>
      <w:r>
        <w:rPr>
          <w:rFonts w:hint="eastAsia" w:ascii="仿宋" w:hAnsi="仿宋" w:eastAsia="仿宋" w:cs="仿宋_GB2312"/>
          <w:sz w:val="32"/>
          <w:szCs w:val="32"/>
        </w:rPr>
        <w:t>.8万</w:t>
      </w:r>
      <w:r>
        <w:rPr>
          <w:rFonts w:hint="eastAsia" w:ascii="仿宋" w:hAnsi="仿宋" w:eastAsia="仿宋" w:cs="仿宋_GB2312"/>
          <w:sz w:val="32"/>
          <w:szCs w:val="32"/>
          <w:lang w:val="zh-CN"/>
        </w:rPr>
        <w:t>元；优抚68</w:t>
      </w:r>
      <w:r>
        <w:rPr>
          <w:rFonts w:hint="eastAsia" w:ascii="仿宋" w:hAnsi="仿宋" w:eastAsia="仿宋" w:cs="仿宋_GB2312"/>
          <w:sz w:val="32"/>
          <w:szCs w:val="32"/>
        </w:rPr>
        <w:t>.</w:t>
      </w:r>
      <w:r>
        <w:rPr>
          <w:rFonts w:hint="eastAsia" w:ascii="仿宋" w:hAnsi="仿宋" w:eastAsia="仿宋" w:cs="仿宋_GB2312"/>
          <w:sz w:val="32"/>
          <w:szCs w:val="32"/>
          <w:lang w:val="zh-CN"/>
        </w:rPr>
        <w:t>4</w:t>
      </w:r>
      <w:r>
        <w:rPr>
          <w:rFonts w:hint="eastAsia" w:ascii="仿宋" w:hAnsi="仿宋" w:eastAsia="仿宋" w:cs="仿宋_GB2312"/>
          <w:sz w:val="32"/>
          <w:szCs w:val="32"/>
        </w:rPr>
        <w:t>万</w:t>
      </w:r>
      <w:r>
        <w:rPr>
          <w:rFonts w:hint="eastAsia" w:ascii="仿宋" w:hAnsi="仿宋" w:eastAsia="仿宋" w:cs="仿宋_GB2312"/>
          <w:sz w:val="32"/>
          <w:szCs w:val="32"/>
          <w:lang w:val="zh-CN"/>
        </w:rPr>
        <w:t>元；临时救助42</w:t>
      </w:r>
      <w:r>
        <w:rPr>
          <w:rFonts w:hint="eastAsia" w:ascii="仿宋" w:hAnsi="仿宋" w:eastAsia="仿宋" w:cs="仿宋_GB2312"/>
          <w:sz w:val="32"/>
          <w:szCs w:val="32"/>
        </w:rPr>
        <w:t>.2万</w:t>
      </w:r>
      <w:r>
        <w:rPr>
          <w:rFonts w:hint="eastAsia" w:ascii="仿宋" w:hAnsi="仿宋" w:eastAsia="仿宋" w:cs="仿宋_GB2312"/>
          <w:sz w:val="32"/>
          <w:szCs w:val="32"/>
          <w:lang w:val="zh-CN"/>
        </w:rPr>
        <w:t>元。彻底清查特困对象特困供养人员，应养尽养158户163人，全年发放分散供养金1800人次91万元。</w:t>
      </w:r>
      <w:r>
        <w:rPr>
          <w:rFonts w:hint="eastAsia" w:ascii="仿宋" w:hAnsi="仿宋" w:eastAsia="仿宋" w:cs="仿宋_GB2312"/>
          <w:sz w:val="32"/>
          <w:szCs w:val="32"/>
        </w:rPr>
        <w:t>二是严格落实溆浦健康行动工作，组织开展万步有约、工间操、发放健康素养倡议书等活动。建设完成北斗溪镇卫生院中医药馆并投入运行；</w:t>
      </w:r>
      <w:r>
        <w:rPr>
          <w:rFonts w:hint="eastAsia" w:ascii="仿宋" w:hAnsi="仿宋" w:eastAsia="仿宋" w:cs="仿宋_GB2312"/>
          <w:color w:val="000000"/>
          <w:sz w:val="32"/>
          <w:szCs w:val="32"/>
        </w:rPr>
        <w:t>完成孕产妇免费产前筛查94人次，参检率达到100%。</w:t>
      </w:r>
      <w:r>
        <w:rPr>
          <w:rFonts w:hint="eastAsia" w:ascii="仿宋" w:hAnsi="仿宋" w:eastAsia="仿宋" w:cs="仿宋_GB2312"/>
          <w:sz w:val="32"/>
          <w:szCs w:val="32"/>
        </w:rPr>
        <w:t>三是完成乡镇应急能力建设。建立北斗溪镇应急指挥中心分会场，实施乡村“雪亮工程”，完成乡村公共部位安防设备50个，确保社会安定有序。</w:t>
      </w:r>
    </w:p>
    <w:p>
      <w:pPr>
        <w:snapToGrid w:val="0"/>
        <w:spacing w:line="560" w:lineRule="exact"/>
        <w:ind w:firstLine="640" w:firstLineChars="200"/>
        <w:jc w:val="left"/>
        <w:rPr>
          <w:rFonts w:ascii="仿宋" w:hAnsi="仿宋" w:eastAsia="仿宋" w:cs="黑体"/>
          <w:sz w:val="32"/>
          <w:szCs w:val="32"/>
        </w:rPr>
      </w:pPr>
      <w:r>
        <w:rPr>
          <w:rFonts w:hint="eastAsia" w:ascii="仿宋" w:hAnsi="仿宋" w:eastAsia="仿宋" w:cs="楷体_GB2312"/>
          <w:sz w:val="32"/>
          <w:szCs w:val="32"/>
        </w:rPr>
        <w:t>（六）其他各项工作，顺利有序推进。</w:t>
      </w:r>
      <w:r>
        <w:rPr>
          <w:rFonts w:hint="eastAsia" w:ascii="仿宋" w:hAnsi="仿宋" w:eastAsia="仿宋" w:cs="仿宋_GB2312"/>
          <w:sz w:val="32"/>
          <w:szCs w:val="32"/>
        </w:rPr>
        <w:t>扎实开展“安全生产月”活动，悬挂安全生产宣传横幅标语140条，发放安全生产知识宣传单约1200余份，营造了生命至上、安全发展的氛围。全年共开展安全生产各类检查200余次。法治工作卓有成效，对全镇76名吸毒人员和20位肇事精神病人实行“四包一”责任管控，对7名重点上访人员进行“五包一”责任管控；加强“一村一辅警”建设管理。镇村干部完成综治走访5次。从严落实《北斗溪镇领导班子成员接访制度》，今年以来，我镇共受理纠纷及信访案件35宗，办理35宗，办结35宗。</w:t>
      </w:r>
    </w:p>
    <w:p>
      <w:pPr>
        <w:ind w:firstLine="643"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五、存在的主要问题</w:t>
      </w:r>
    </w:p>
    <w:p>
      <w:pPr>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存在一些突出问题：一是村集体经济发展实力不足。发展投入相对不足，村集体产业培植难度大，农业产业化程度不高，规模经营化水平低，农民增收渠道仍然不宽。二是干部作风有待加强。个别干部为民服务意识比较淡薄，工作作风不够扎实，执行力不够强，工作落实不到位。三是收支矛盾比较突出。镇村两级财源严重缺乏，经济社会建设投入相对不足。</w:t>
      </w:r>
    </w:p>
    <w:p>
      <w:pPr>
        <w:ind w:firstLine="643" w:firstLineChars="200"/>
        <w:textAlignment w:val="baseline"/>
        <w:rPr>
          <w:rFonts w:ascii="仿宋" w:hAnsi="仿宋" w:eastAsia="仿宋" w:cs="仿宋"/>
          <w:b/>
          <w:bCs/>
          <w:color w:val="000000"/>
          <w:sz w:val="32"/>
          <w:szCs w:val="32"/>
        </w:rPr>
      </w:pPr>
    </w:p>
    <w:p>
      <w:pPr>
        <w:ind w:firstLine="482" w:firstLineChars="150"/>
        <w:textAlignment w:val="baseline"/>
        <w:rPr>
          <w:rFonts w:ascii="仿宋" w:hAnsi="仿宋" w:eastAsia="仿宋" w:cs="仿宋"/>
          <w:b/>
          <w:bCs/>
          <w:color w:val="000000"/>
          <w:sz w:val="32"/>
          <w:szCs w:val="32"/>
        </w:rPr>
      </w:pPr>
      <w:r>
        <w:rPr>
          <w:rFonts w:hint="eastAsia" w:ascii="仿宋" w:hAnsi="仿宋" w:eastAsia="仿宋" w:cs="仿宋"/>
          <w:b/>
          <w:bCs/>
          <w:color w:val="000000"/>
          <w:sz w:val="32"/>
          <w:szCs w:val="32"/>
        </w:rPr>
        <w:t>六、建议</w:t>
      </w:r>
    </w:p>
    <w:p>
      <w:pPr>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1、大力调整产业结构，增强乡镇政府经济实力；</w:t>
      </w:r>
    </w:p>
    <w:p>
      <w:pPr>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2、加大对乡镇的项目投入力度，以解决乡镇设施相对滞后和产业发展无力等问题；</w:t>
      </w:r>
    </w:p>
    <w:p>
      <w:pPr>
        <w:ind w:firstLine="640" w:firstLineChars="200"/>
        <w:textAlignment w:val="baseline"/>
        <w:rPr>
          <w:rFonts w:ascii="仿宋" w:hAnsi="仿宋" w:eastAsia="仿宋" w:cs="仿宋"/>
          <w:color w:val="000000"/>
          <w:sz w:val="32"/>
          <w:szCs w:val="32"/>
        </w:rPr>
      </w:pPr>
      <w:r>
        <w:rPr>
          <w:rFonts w:hint="eastAsia" w:ascii="仿宋" w:hAnsi="仿宋" w:eastAsia="仿宋" w:cs="仿宋"/>
          <w:color w:val="000000"/>
          <w:sz w:val="32"/>
          <w:szCs w:val="32"/>
        </w:rPr>
        <w:t>3、在安排运转经费时，加大对乡村两级的扶持力度。</w:t>
      </w:r>
    </w:p>
    <w:p>
      <w:pPr>
        <w:ind w:firstLine="640" w:firstLineChars="200"/>
        <w:textAlignment w:val="baseline"/>
        <w:rPr>
          <w:rFonts w:ascii="仿宋" w:hAnsi="仿宋" w:eastAsia="仿宋" w:cs="仿宋"/>
          <w:color w:val="000000"/>
          <w:sz w:val="32"/>
          <w:szCs w:val="32"/>
        </w:rPr>
      </w:pPr>
    </w:p>
    <w:p>
      <w:pPr>
        <w:ind w:firstLine="640"/>
        <w:jc w:val="left"/>
        <w:rPr>
          <w:rFonts w:ascii="Calibri" w:hAnsi="Calibri" w:cs="Calibri"/>
          <w:color w:val="000000"/>
          <w:sz w:val="32"/>
        </w:rPr>
      </w:pPr>
      <w:r>
        <w:rPr>
          <w:rFonts w:hint="eastAsia" w:ascii="Calibri" w:hAnsi="Calibri" w:cs="Calibri"/>
          <w:color w:val="000000"/>
          <w:sz w:val="32"/>
        </w:rPr>
        <w:t xml:space="preserve">       </w:t>
      </w:r>
    </w:p>
    <w:p>
      <w:pPr>
        <w:ind w:firstLine="640"/>
        <w:jc w:val="left"/>
        <w:rPr>
          <w:rFonts w:ascii="Calibri" w:hAnsi="Calibri" w:cs="Calibri"/>
          <w:color w:val="000000"/>
          <w:sz w:val="32"/>
        </w:rPr>
      </w:pPr>
      <w:r>
        <w:rPr>
          <w:rFonts w:hint="eastAsia" w:ascii="Calibri" w:hAnsi="Calibri" w:cs="Calibri"/>
          <w:color w:val="000000"/>
          <w:sz w:val="32"/>
        </w:rPr>
        <w:t xml:space="preserve">                                                     溆浦县北斗溪镇人民政府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25119"/>
    <w:multiLevelType w:val="multilevel"/>
    <w:tmpl w:val="5EE2511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jQ0MmQ0MTc5MDQ5ZDk2NjU3YjUxOTg0MGZhM2M3ZGQifQ=="/>
  </w:docVars>
  <w:rsids>
    <w:rsidRoot w:val="00F212CE"/>
    <w:rsid w:val="000129DF"/>
    <w:rsid w:val="00057C5E"/>
    <w:rsid w:val="00114FA2"/>
    <w:rsid w:val="001E2378"/>
    <w:rsid w:val="001F503D"/>
    <w:rsid w:val="00262669"/>
    <w:rsid w:val="00291F69"/>
    <w:rsid w:val="002A47D2"/>
    <w:rsid w:val="00357727"/>
    <w:rsid w:val="003704DE"/>
    <w:rsid w:val="003B5598"/>
    <w:rsid w:val="00436859"/>
    <w:rsid w:val="00480366"/>
    <w:rsid w:val="005029B5"/>
    <w:rsid w:val="0059507A"/>
    <w:rsid w:val="006139DA"/>
    <w:rsid w:val="00696142"/>
    <w:rsid w:val="00737709"/>
    <w:rsid w:val="00751902"/>
    <w:rsid w:val="00792DA4"/>
    <w:rsid w:val="007D1767"/>
    <w:rsid w:val="007F532C"/>
    <w:rsid w:val="00801890"/>
    <w:rsid w:val="00823D17"/>
    <w:rsid w:val="008B0546"/>
    <w:rsid w:val="009768D0"/>
    <w:rsid w:val="009A06CF"/>
    <w:rsid w:val="00AA43E3"/>
    <w:rsid w:val="00AD2530"/>
    <w:rsid w:val="00AF31BF"/>
    <w:rsid w:val="00B06E15"/>
    <w:rsid w:val="00B36CC4"/>
    <w:rsid w:val="00B44CFB"/>
    <w:rsid w:val="00BA4DCE"/>
    <w:rsid w:val="00BA7E1E"/>
    <w:rsid w:val="00BC5558"/>
    <w:rsid w:val="00BE5E42"/>
    <w:rsid w:val="00C27C0E"/>
    <w:rsid w:val="00C40239"/>
    <w:rsid w:val="00C95F49"/>
    <w:rsid w:val="00CD0A8B"/>
    <w:rsid w:val="00CF485D"/>
    <w:rsid w:val="00D17383"/>
    <w:rsid w:val="00D23938"/>
    <w:rsid w:val="00D4582C"/>
    <w:rsid w:val="00E741EE"/>
    <w:rsid w:val="00F212CE"/>
    <w:rsid w:val="00F25606"/>
    <w:rsid w:val="00F25AB5"/>
    <w:rsid w:val="00FE0608"/>
    <w:rsid w:val="39E8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BB776D-5E15-4EDF-8109-FEA4E6F0931F}">
  <ds:schemaRefs/>
</ds:datastoreItem>
</file>

<file path=docProps/app.xml><?xml version="1.0" encoding="utf-8"?>
<Properties xmlns="http://schemas.openxmlformats.org/officeDocument/2006/extended-properties" xmlns:vt="http://schemas.openxmlformats.org/officeDocument/2006/docPropsVTypes">
  <Template>Normal</Template>
  <Pages>59</Pages>
  <Words>18074</Words>
  <Characters>24149</Characters>
  <Lines>217</Lines>
  <Paragraphs>61</Paragraphs>
  <TotalTime>204</TotalTime>
  <ScaleCrop>false</ScaleCrop>
  <LinksUpToDate>false</LinksUpToDate>
  <CharactersWithSpaces>26125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2022-08-29T02:23:00Z</dcterms:created>
  <dc:creator>Administrator</dc:creator>
  <cp:lastModifiedBy>cry1416141497</cp:lastModifiedBy>
  <dcterms:modified xsi:type="dcterms:W3CDTF">2022-09-07T09:17:54Z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4A00F8BFD30E44689B3F726099950FAD</vt:lpwstr>
  </property>
</Properties>
</file>