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rFonts w:hint="eastAsia"/>
          <w:sz w:val="56"/>
          <w:szCs w:val="56"/>
        </w:rPr>
      </w:pPr>
    </w:p>
    <w:p>
      <w:pPr>
        <w:pStyle w:val="9"/>
        <w:jc w:val="center"/>
        <w:rPr>
          <w:rFonts w:hint="eastAsia"/>
          <w:sz w:val="84"/>
          <w:szCs w:val="84"/>
        </w:rPr>
      </w:pPr>
    </w:p>
    <w:p>
      <w:pPr>
        <w:pStyle w:val="9"/>
        <w:jc w:val="center"/>
        <w:rPr>
          <w:rFonts w:hint="eastAsia"/>
          <w:sz w:val="84"/>
          <w:szCs w:val="84"/>
        </w:rPr>
      </w:pPr>
    </w:p>
    <w:p>
      <w:pPr>
        <w:pStyle w:val="9"/>
        <w:jc w:val="center"/>
        <w:rPr>
          <w:rFonts w:hint="eastAsia"/>
          <w:sz w:val="84"/>
          <w:szCs w:val="84"/>
        </w:rPr>
      </w:pPr>
      <w:r>
        <w:rPr>
          <w:rFonts w:hint="eastAsia"/>
          <w:sz w:val="84"/>
          <w:szCs w:val="84"/>
        </w:rPr>
        <w:t>2020年度</w:t>
      </w:r>
    </w:p>
    <w:p>
      <w:pPr>
        <w:pStyle w:val="9"/>
        <w:jc w:val="center"/>
        <w:rPr>
          <w:rFonts w:hint="eastAsia"/>
          <w:sz w:val="84"/>
          <w:szCs w:val="84"/>
        </w:rPr>
      </w:pPr>
      <w:r>
        <w:rPr>
          <w:rFonts w:hint="eastAsia"/>
          <w:sz w:val="84"/>
          <w:szCs w:val="84"/>
        </w:rPr>
        <w:t>溆浦县北斗溪镇人民政府部门决算</w:t>
      </w: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jc w:val="center"/>
        <w:rPr>
          <w:rFonts w:hint="eastAsia"/>
          <w:sz w:val="32"/>
          <w:szCs w:val="32"/>
        </w:rPr>
      </w:pPr>
    </w:p>
    <w:p>
      <w:pPr>
        <w:pStyle w:val="9"/>
        <w:jc w:val="center"/>
        <w:rPr>
          <w:rFonts w:hint="eastAsia"/>
          <w:sz w:val="32"/>
          <w:szCs w:val="32"/>
        </w:rPr>
      </w:pPr>
    </w:p>
    <w:p>
      <w:pPr>
        <w:pStyle w:val="9"/>
        <w:jc w:val="center"/>
        <w:rPr>
          <w:rFonts w:hint="eastAsia"/>
          <w:sz w:val="32"/>
          <w:szCs w:val="32"/>
        </w:rPr>
      </w:pPr>
    </w:p>
    <w:p>
      <w:pPr>
        <w:pStyle w:val="9"/>
        <w:spacing w:line="540" w:lineRule="exact"/>
        <w:jc w:val="center"/>
        <w:rPr>
          <w:rFonts w:hint="eastAsia"/>
          <w:sz w:val="56"/>
          <w:szCs w:val="56"/>
        </w:rPr>
      </w:pPr>
    </w:p>
    <w:p>
      <w:pPr>
        <w:pStyle w:val="9"/>
        <w:spacing w:line="500" w:lineRule="exact"/>
        <w:jc w:val="center"/>
        <w:rPr>
          <w:rFonts w:hint="eastAsia"/>
          <w:b/>
          <w:sz w:val="36"/>
          <w:szCs w:val="28"/>
        </w:rPr>
      </w:pPr>
    </w:p>
    <w:p>
      <w:pPr>
        <w:pStyle w:val="9"/>
        <w:spacing w:line="500" w:lineRule="exact"/>
        <w:jc w:val="center"/>
        <w:rPr>
          <w:rFonts w:hint="eastAsia"/>
          <w:b/>
          <w:sz w:val="36"/>
          <w:szCs w:val="28"/>
        </w:rPr>
      </w:pPr>
    </w:p>
    <w:p>
      <w:pPr>
        <w:pStyle w:val="9"/>
        <w:spacing w:line="500" w:lineRule="exact"/>
        <w:jc w:val="center"/>
        <w:rPr>
          <w:rFonts w:hint="eastAsia"/>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第一部分溆浦县北斗溪镇人民政府概况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rPr>
          <w:rFonts w:hint="eastAsia"/>
          <w:sz w:val="72"/>
          <w:szCs w:val="72"/>
        </w:rPr>
      </w:pPr>
    </w:p>
    <w:p>
      <w:pPr>
        <w:pStyle w:val="9"/>
        <w:jc w:val="center"/>
        <w:rPr>
          <w:rFonts w:hint="eastAsia"/>
          <w:sz w:val="84"/>
          <w:szCs w:val="84"/>
        </w:rPr>
      </w:pPr>
      <w:r>
        <w:rPr>
          <w:rFonts w:hint="eastAsia"/>
          <w:sz w:val="84"/>
          <w:szCs w:val="84"/>
        </w:rPr>
        <w:t>第一部分</w:t>
      </w:r>
      <w:r>
        <w:rPr>
          <w:sz w:val="84"/>
          <w:szCs w:val="84"/>
        </w:rPr>
        <w:t xml:space="preserve"> </w:t>
      </w:r>
    </w:p>
    <w:p>
      <w:pPr>
        <w:pStyle w:val="9"/>
        <w:jc w:val="center"/>
        <w:rPr>
          <w:rFonts w:hint="eastAsia"/>
          <w:sz w:val="84"/>
          <w:szCs w:val="84"/>
        </w:rPr>
      </w:pPr>
    </w:p>
    <w:p>
      <w:pPr>
        <w:pStyle w:val="9"/>
        <w:jc w:val="center"/>
        <w:rPr>
          <w:rFonts w:hint="eastAsia"/>
          <w:sz w:val="84"/>
          <w:szCs w:val="84"/>
        </w:rPr>
      </w:pPr>
      <w:r>
        <w:rPr>
          <w:rFonts w:hint="eastAsia"/>
          <w:sz w:val="84"/>
          <w:szCs w:val="84"/>
        </w:rPr>
        <w:t>溆浦县北斗溪镇人民政府概况</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lang w:eastAsia="zh-CN"/>
        </w:rPr>
        <w:t>镇</w:t>
      </w:r>
      <w:r>
        <w:rPr>
          <w:rFonts w:hint="eastAsia" w:asciiTheme="minorEastAsia" w:hAnsiTheme="minorEastAsia"/>
          <w:sz w:val="32"/>
          <w:szCs w:val="32"/>
        </w:rPr>
        <w:t>党政机构具有党委和政府两种职能，党委领导政府工作。主要是政治思想和方针政策的领导，干部的选拔，考核和监督，经济和行政工作中重大问题的决策。乡政府是基层国家行政机关，行使本行政区的行政职能。</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党委工作职责：（1）保证党的路线、方针、政策的坚决贯彻执行。（2）保证监督职能。（3）教育和管理职能。（4）服从和服务于经济建设的职能。（5）负责抓好本乡 党建工作、群团工作、精神文明建设工作、新闻宣传工作。（6）完成县委、县政府交给的其他工作任务。</w:t>
      </w:r>
    </w:p>
    <w:p>
      <w:pPr>
        <w:numPr>
          <w:ilvl w:val="0"/>
          <w:numId w:val="2"/>
        </w:numPr>
        <w:jc w:val="left"/>
        <w:rPr>
          <w:rFonts w:hint="eastAsia" w:asciiTheme="minorEastAsia" w:hAnsiTheme="minorEastAsia"/>
          <w:b/>
          <w:bCs/>
          <w:sz w:val="32"/>
          <w:szCs w:val="32"/>
        </w:rPr>
      </w:pPr>
      <w:r>
        <w:rPr>
          <w:rFonts w:hint="eastAsia" w:asciiTheme="minorEastAsia" w:hAnsiTheme="minorEastAsia"/>
          <w:b/>
          <w:bCs/>
          <w:sz w:val="32"/>
          <w:szCs w:val="32"/>
        </w:rPr>
        <w:t>政府职能</w:t>
      </w:r>
    </w:p>
    <w:p>
      <w:pPr>
        <w:numPr>
          <w:ilvl w:val="0"/>
          <w:numId w:val="0"/>
        </w:numPr>
        <w:ind w:firstLine="640" w:firstLineChars="200"/>
        <w:jc w:val="left"/>
        <w:rPr>
          <w:rFonts w:hint="eastAsia" w:asciiTheme="minorEastAsia" w:hAnsiTheme="minorEastAsia"/>
          <w:sz w:val="32"/>
          <w:szCs w:val="32"/>
        </w:rPr>
      </w:pPr>
      <w:r>
        <w:rPr>
          <w:rFonts w:hint="eastAsia" w:asciiTheme="minorEastAsia" w:hAnsiTheme="minorEastAsia"/>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溆浦县北斗溪镇人民政府设机构包括：党政办公室、党建办公室、经济发展办公室（扶贫工作站、乡村振兴办公室、农业农村工作室）、社会事务办公室（退役军人服务站）、资源资源和生态环境办公室、社会治安和应急管理办公室、社会事务综合服务中心（文化旅游和计划生育卫生健康服务站）、农业综合服务中心、政务服务中心、综合行政执法大队、纪检监察办公室、高铁广场管理办公室、财政所、派出所、市场监督管理所、自然资源所、危改办、司法所。</w:t>
      </w:r>
    </w:p>
    <w:p>
      <w:pPr>
        <w:widowControl/>
        <w:numPr>
          <w:ilvl w:val="0"/>
          <w:numId w:val="3"/>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kern w:val="0"/>
          <w:sz w:val="32"/>
          <w:szCs w:val="32"/>
        </w:rPr>
      </w:pPr>
      <w:r>
        <w:rPr>
          <w:rFonts w:hint="eastAsia"/>
          <w:sz w:val="32"/>
          <w:szCs w:val="32"/>
        </w:rPr>
        <w:t>溆浦县北斗溪镇人民政府</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20年部门决算汇总公开单位构成包括：溆浦县北斗溪镇人民政府本级。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r>
        <w:rPr>
          <w:rFonts w:hint="eastAsia"/>
          <w:sz w:val="72"/>
          <w:szCs w:val="72"/>
        </w:rPr>
        <w:t>第二部分</w:t>
      </w:r>
    </w:p>
    <w:p>
      <w:pPr>
        <w:jc w:val="center"/>
        <w:rPr>
          <w:rFonts w:hint="eastAsia"/>
          <w:sz w:val="72"/>
          <w:szCs w:val="72"/>
        </w:rPr>
      </w:pPr>
    </w:p>
    <w:p>
      <w:pPr>
        <w:jc w:val="center"/>
        <w:rPr>
          <w:rFonts w:hint="eastAsia"/>
          <w:sz w:val="72"/>
          <w:szCs w:val="72"/>
        </w:rPr>
      </w:pPr>
      <w:r>
        <w:rPr>
          <w:rFonts w:hint="eastAsia"/>
          <w:sz w:val="72"/>
          <w:szCs w:val="72"/>
        </w:rPr>
        <w:t>部门决算表</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left"/>
        <w:rPr>
          <w:rFonts w:hint="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部门：溆浦县北斗溪镇人民政府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1950.61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745.07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57.73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28.44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103.86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55.62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47.84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201.61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xml:space="preserve">                         705.15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　                         7.00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4.00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十八、资源资源海洋气象等支出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13.94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32.25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Cs/>
                <w:kern w:val="0"/>
                <w:sz w:val="22"/>
              </w:rPr>
            </w:pPr>
            <w:r>
              <w:rPr>
                <w:rFonts w:hint="eastAsia" w:ascii="宋体" w:hAnsi="宋体" w:eastAsia="宋体" w:cs="宋体"/>
                <w:bCs/>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55.73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2008.34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2008.34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2008.34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　                     2008.34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3900" w:type="dxa"/>
        <w:tblInd w:w="0" w:type="dxa"/>
        <w:tblLayout w:type="autofit"/>
        <w:tblCellMar>
          <w:top w:w="0" w:type="dxa"/>
          <w:left w:w="0" w:type="dxa"/>
          <w:bottom w:w="0" w:type="dxa"/>
          <w:right w:w="0" w:type="dxa"/>
        </w:tblCellMar>
      </w:tblPr>
      <w:tblGrid>
        <w:gridCol w:w="529"/>
        <w:gridCol w:w="446"/>
        <w:gridCol w:w="4020"/>
        <w:gridCol w:w="1640"/>
        <w:gridCol w:w="1640"/>
        <w:gridCol w:w="1222"/>
        <w:gridCol w:w="1222"/>
        <w:gridCol w:w="1222"/>
        <w:gridCol w:w="1222"/>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color w:val="000000"/>
                <w:szCs w:val="21"/>
              </w:rPr>
            </w:pPr>
            <w:r>
              <w:rPr>
                <w:rFonts w:hint="eastAsia" w:asciiTheme="minorEastAsia" w:hAnsiTheme="minorEastAsia"/>
                <w:color w:val="000000"/>
                <w:szCs w:val="21"/>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420"/>
              <w:jc w:val="left"/>
              <w:rPr>
                <w:rFonts w:cs="宋体" w:asciiTheme="minorEastAsia" w:hAnsiTheme="minorEastAsia"/>
                <w:szCs w:val="21"/>
              </w:rPr>
            </w:pPr>
            <w:r>
              <w:rPr>
                <w:rFonts w:hint="eastAsia" w:asciiTheme="minorEastAsia" w:hAnsiTheme="minorEastAsia"/>
                <w:szCs w:val="21"/>
              </w:rPr>
              <w:t>溆浦县北斗溪镇人民政府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color w:val="000000"/>
                <w:szCs w:val="21"/>
              </w:rPr>
            </w:pPr>
            <w:r>
              <w:rPr>
                <w:rFonts w:hint="eastAsia" w:asciiTheme="minorEastAsia" w:hAnsiTheme="minorEastAsia"/>
                <w:color w:val="000000"/>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cs="宋体" w:asciiTheme="minorEastAsia" w:hAnsiTheme="minorEastAsia"/>
                <w:color w:val="000000"/>
                <w:szCs w:val="21"/>
              </w:rPr>
            </w:pPr>
            <w:r>
              <w:rPr>
                <w:rFonts w:hint="eastAsia" w:asciiTheme="minorEastAsia" w:hAnsiTheme="minorEastAsia"/>
                <w:color w:val="000000"/>
                <w:szCs w:val="21"/>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ordWrap w:val="0"/>
              <w:jc w:val="left"/>
              <w:rPr>
                <w:rFonts w:cs="宋体" w:asciiTheme="minorEastAsia" w:hAnsiTheme="minorEastAsia"/>
                <w:szCs w:val="21"/>
              </w:rPr>
            </w:pPr>
            <w:r>
              <w:rPr>
                <w:rFonts w:hint="eastAsia" w:cs="宋体" w:asciiTheme="minorEastAsia" w:hAnsiTheme="minorEastAsia"/>
                <w:szCs w:val="21"/>
              </w:rPr>
              <w:t>2008.34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2008.34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315"/>
              <w:jc w:val="left"/>
              <w:rPr>
                <w:rFonts w:cs="宋体" w:asciiTheme="minorEastAsia" w:hAnsiTheme="minorEastAsia"/>
                <w:szCs w:val="21"/>
              </w:rPr>
            </w:pPr>
            <w:r>
              <w:rPr>
                <w:rFonts w:hint="eastAsia" w:asciiTheme="minorEastAsia" w:hAnsiTheme="minorEastAsia"/>
                <w:szCs w:val="21"/>
              </w:rPr>
              <w:t>　745.07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745.07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20103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政府办公厅（室）及相关机构事务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679.64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679.64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494.88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494.88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2010302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37.60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37.60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2010308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信访事务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142.16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142.16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统计信息事务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2010507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专项普查活动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财政事务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42.20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42.20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2010601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行政运行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40.94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40.94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2010602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纪检监察事务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20132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组织事务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2013202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20134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统战事务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2013499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其他统战事务支出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公安</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2040202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2040299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其他公安支出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17.72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103.86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103.86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98.42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98.42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98.42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98.42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特困人员救助供养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农村特困人员救助供养支出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财政对基本养老保险基金的补助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财政对其他基本养老保险基金的补助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退役军人管理事务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2082899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其他退役军人事务管理支出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2089901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卫生健康管理事务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2.31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2.31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其他卫生健康管理事务支出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2.31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2.31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公共卫生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2100404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精神卫生机构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2100408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基本公共卫生服务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计划生育事务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49.73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49.73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2100716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计划生育机构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41.44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41.44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其他计划生育事务支出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8.29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8.29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21104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自然生态保护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2110402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农村环境保护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47.84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201.61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城乡社区管理事务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6.00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城乡社区公共设施</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小城镇机车设施建设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31.32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31.32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其他城乡社区公共设施支出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24.32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24.32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城乡社区环境卫生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137.97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137.97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城乡社区环境卫生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137.97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137.97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国有土地使用权出让收入安排的支出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2120804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农村基础设施建设支出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705.15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705.15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2130124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农村合作经济</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2130142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农村道路建设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其他农业农村支出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林业和草原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91.13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91.13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87.71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87.71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森林资源管理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2130316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210.37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2130504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140.57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140.57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生产发展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29.80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29.80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农村综合改革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358.01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358.01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2130705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对村民委员会和村党支部的补助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284.01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2130706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对村集体经济组织的补助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2130707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农村综合改革示范试点补助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9.00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其他农村综合改革支出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2139999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7.00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21401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公路水路运输</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2140199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其他公路水路运输支出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21499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其他交通运输支出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2149999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资源勘探工业信息等支出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资源勘探开发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2150199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其他资源勘探业支出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商业服务业等支出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21602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商业流通事务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22001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自然资源事务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2200102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灾害防治及应急管理支出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32.25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32.25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消防事务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其他消防事务支出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自然灾害救灾及恢复重建支出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28.00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2240704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自然灾害灾后重建补助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2240799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其他自然灾害救灾及恢复重建支出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13.00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22960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彩票公益金安排的支出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55.73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2296002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用于社会福利的彩票公益金支出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53.33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53.33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2296004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用于教育事业的彩票公益金支出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r>
              <w:rPr>
                <w:rFonts w:hint="eastAsia" w:asciiTheme="minorEastAsia" w:hAnsiTheme="minorEastAsia"/>
                <w:szCs w:val="21"/>
              </w:rPr>
              <w:t>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asciiTheme="minorEastAsia" w:hAnsiTheme="minorEastAsia"/>
                <w:szCs w:val="21"/>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021" w:type="dxa"/>
        <w:tblInd w:w="93" w:type="dxa"/>
        <w:tblLayout w:type="autofit"/>
        <w:tblCellMar>
          <w:top w:w="0" w:type="dxa"/>
          <w:left w:w="108" w:type="dxa"/>
          <w:bottom w:w="0" w:type="dxa"/>
          <w:right w:w="108" w:type="dxa"/>
        </w:tblCellMar>
      </w:tblPr>
      <w:tblGrid>
        <w:gridCol w:w="1042"/>
        <w:gridCol w:w="697"/>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北斗溪镇人民政府</w:t>
            </w:r>
          </w:p>
        </w:tc>
        <w:tc>
          <w:tcPr>
            <w:tcW w:w="60" w:type="dxa"/>
            <w:tcBorders>
              <w:top w:val="nil"/>
              <w:left w:val="nil"/>
              <w:bottom w:val="nil"/>
              <w:right w:val="nil"/>
            </w:tcBorders>
            <w:shd w:val="clear" w:color="000000" w:fill="FFFFFF"/>
            <w:noWrap/>
            <w:vAlign w:val="center"/>
          </w:tcPr>
          <w:p>
            <w:pPr>
              <w:widowControl/>
              <w:ind w:right="480"/>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2008.34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1690.65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317.69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745.07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706.20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38.87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20103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679.64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642.03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37.60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2010301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494.88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494.88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2010302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37.60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37.60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2010308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信访事务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2010399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142.16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142.16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统计信息事务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2010507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专项普查活动</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财政事务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2010601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2010602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20111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纪检监察事务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2011101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组织事务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2013202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统战事务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2013499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其他统战事务支出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公共安全支出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公安</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2040299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其他公安支出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文化旅游文化与传媒支出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p>
            <w:pPr>
              <w:widowControl/>
              <w:ind w:right="120"/>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103.86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103.86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98.42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98.42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98.42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98.42</w:t>
            </w:r>
          </w:p>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特困人员救助供养</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农村特困人员救助供养支出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财政对基本养老保险基金的补助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2082699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财政对其他基本养老保险基金的补助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退役军人管理事务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2082899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其他退役军人事务管理支出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2089901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卫生健康管理事务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其他卫生健康管理事务支出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2.31</w:t>
            </w:r>
          </w:p>
        </w:tc>
        <w:tc>
          <w:tcPr>
            <w:tcW w:w="1679" w:type="dxa"/>
            <w:tcBorders>
              <w:top w:val="nil"/>
              <w:left w:val="nil"/>
              <w:bottom w:val="single" w:color="auto" w:sz="4" w:space="0"/>
              <w:right w:val="single" w:color="auto" w:sz="4" w:space="0"/>
            </w:tcBorders>
            <w:shd w:val="clear" w:color="auto" w:fill="auto"/>
            <w:noWrap/>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2.31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公共卫生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2100404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精神卫生机构</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2100408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基本公共卫生服务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计划生育事务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2100716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计划生育机构</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2100799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其他计划生育事务支出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21104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自然生态保护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2110402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农村环境保护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47.84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201.61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199.61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城乡社区管理事务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2120101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城乡社区公务设施</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2120303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小城镇基础设施建设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31.32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2120399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其他城乡社区公共设施支出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21208</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2120804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农村基础设施建设支出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705.15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494.78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210.37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2130124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农村合作经济</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2130142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农村道路建设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其他农业农村支出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林业和草原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91.13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91.13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87.71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2130207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森林资源管理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2130316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210.37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210.37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农村基础设施建设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140.57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140.57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生产发展</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2130599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358.01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358.01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2130705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284.01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284.01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2130706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对村集体经济组织的补助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2130707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农村综合改革示范试点补助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2130799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其他农村综合改革支出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2139999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交通运输支出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21401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公路水路运顺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2140199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其他公路水利运输支出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21499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其他交通运输支出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2149999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其他交通运输支出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215</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资源勘探工业信息等支出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21501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资源勘探开发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2150199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其他资源勘探业支出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216</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商业服务业等支出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21602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商业流通事务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2160201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自然资源海洋气象等支出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22001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自然资源事务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2200102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2210201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住房公积金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消防事务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2240201</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2.50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2240299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其他消防事务支出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22407</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自然灾害救灾及恢复重建支出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2240704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自然灾害灾后重建补助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2240799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其他自然灾害救灾及恢复重建支出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229</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22960</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2296002</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用于社会福利的彩票公益金支出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53.33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53.33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2296004</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用于教育事业的彩票公益金支出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部门：溆浦县北斗溪镇人民政府</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1950.61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745.07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745.07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57.73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28.44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28.44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103.86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103.86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55.62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55.62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47.84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47.84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201.61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199.61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705.15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705.15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55.73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55.73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2008.34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2008.34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1950.61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57.73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2008.34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2008.34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1950.61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kern w:val="0"/>
                <w:sz w:val="22"/>
              </w:rPr>
            </w:pPr>
            <w:r>
              <w:rPr>
                <w:rFonts w:hint="eastAsia" w:ascii="宋体" w:hAnsi="宋体" w:eastAsia="宋体" w:cs="宋体"/>
                <w:b/>
                <w:bCs/>
                <w:kern w:val="0"/>
                <w:sz w:val="22"/>
              </w:rPr>
              <w:t xml:space="preserve">　 </w:t>
            </w:r>
            <w:r>
              <w:rPr>
                <w:rFonts w:hint="eastAsia" w:ascii="宋体" w:hAnsi="宋体" w:eastAsia="宋体" w:cs="宋体"/>
                <w:bCs/>
                <w:kern w:val="0"/>
                <w:sz w:val="22"/>
              </w:rPr>
              <w:t xml:space="preserve"> 57.73</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溆浦县北斗溪镇人民政府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1950.61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1690.65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259.96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745.07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706.20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679.64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642.03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494.88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494.88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37.60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37.60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信访事务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142.16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142.16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统计信息事务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专项普查活动</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财政事务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42.20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40.94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40.94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纪检监察事务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2011101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组织事务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2013202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统战事务</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2013499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其他统战事务支出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20.00</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公共安全支出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28.44</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公安</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2040202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10.72</w:t>
            </w: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其他公安支出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文化和旅游</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其他文化和旅游支出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103.86</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103.86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98.42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98.42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98.42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98.42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特困人员救助供养</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农村特困人员救助供养支出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财政对基本养老保险基金的补助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2082699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财政对其他基本养老保险基金的补助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55.62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55.62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其他卫生健康管理事务支出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公共卫生</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2100404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精神卫生机构</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1.38</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2100408</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基本公共卫生服务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计划生育事务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49.73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49.73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2100716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计划生育机构</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41.44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41.44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2100799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其他计划生育事务支出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自然生态保护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2110402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农村环境保护</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47.84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城乡社区公共设施</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55.64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55.64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小城镇基础设施建设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31.32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31.32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其他城乡社区公共设施支出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24.32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24.32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城乡社区环境卫生</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137.97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137.97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城乡社区环境卫生</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137.97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137.97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705.15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494.78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农业农村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2130124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农村合作经济</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2130142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农村道路建设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其他农业农村支出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28.63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28.63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林业和裁员</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91.13</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91.13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87.71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87.71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2130207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森林资源管理</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2130316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农村水利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扶贫</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210.37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农村基础设施建设</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140.57</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140.57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生产发展</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其他扶贫支出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29.80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农村综合改革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358.01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358.01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284.04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2130706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对村集体经济组织的补助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农村综合改革示范试点补助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其他农村综合改革支出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2139999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其他农林水支出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0.01</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公路水路运输</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其他公路水域运输支出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2149999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其他交通运输支出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21501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资源勘探开发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2150199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其他资源勘探业支出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商业服务业等支出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商业流通事务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自然资源海洋气象等支出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自然资源事务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2200102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消防事务</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其他消防事务支出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22407</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2240704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自然灾害灾后重建补助</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2240799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13.00</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959"/>
        <w:gridCol w:w="2880"/>
        <w:gridCol w:w="1161"/>
        <w:gridCol w:w="920"/>
        <w:gridCol w:w="2316"/>
        <w:gridCol w:w="1056"/>
        <w:gridCol w:w="1022"/>
        <w:gridCol w:w="4206"/>
        <w:gridCol w:w="1056"/>
      </w:tblGrid>
      <w:tr>
        <w:tblPrEx>
          <w:tblCellMar>
            <w:top w:w="0" w:type="dxa"/>
            <w:left w:w="108" w:type="dxa"/>
            <w:bottom w:w="0" w:type="dxa"/>
            <w:right w:w="108" w:type="dxa"/>
          </w:tblCellMar>
        </w:tblPrEx>
        <w:trPr>
          <w:trHeight w:val="113" w:hRule="atLeast"/>
        </w:trPr>
        <w:tc>
          <w:tcPr>
            <w:tcW w:w="1517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：溆浦县北斗溪镇人民政府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657.02</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255.08</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451.72</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95.38</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29.11</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7.44</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80.65</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310.35</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26.38</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310.35</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15.18</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21.82</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35.91</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14.40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18.07</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468.21</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1.99</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1.93</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7.21</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87.53</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278.69</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0.32</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1.75</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12.85</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15.00</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19.00</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1.29</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6.50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67.98</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59.21</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8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1125.23</w:t>
            </w:r>
          </w:p>
        </w:tc>
        <w:tc>
          <w:tcPr>
            <w:tcW w:w="9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565.42</w:t>
            </w:r>
          </w:p>
        </w:tc>
      </w:tr>
      <w:tr>
        <w:tblPrEx>
          <w:tblCellMar>
            <w:top w:w="0" w:type="dxa"/>
            <w:left w:w="108" w:type="dxa"/>
            <w:bottom w:w="0" w:type="dxa"/>
            <w:right w:w="108" w:type="dxa"/>
          </w:tblCellMar>
        </w:tblPrEx>
        <w:trPr>
          <w:trHeight w:val="284" w:hRule="exact"/>
        </w:trPr>
        <w:tc>
          <w:tcPr>
            <w:tcW w:w="1517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部门：溆浦县北斗溪镇人民政府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1155"/>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13.41</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8.07</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8.07</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5.34</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3.21</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1.29</w:t>
            </w:r>
          </w:p>
        </w:tc>
        <w:tc>
          <w:tcPr>
            <w:tcW w:w="1220" w:type="dxa"/>
            <w:tcBorders>
              <w:top w:val="nil"/>
              <w:left w:val="nil"/>
              <w:bottom w:val="single" w:color="auto" w:sz="8"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hint="eastAsia"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21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溆浦县北斗溪镇人民政府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公开08表</w:t>
      </w:r>
    </w:p>
    <w:p>
      <w:pPr>
        <w:widowControl/>
        <w:ind w:right="315"/>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left"/>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57.73</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57.73</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21208</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国有土地使用权出让收入安排的支出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2120804</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农村基础设施建设还真粗</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55.73</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55.73</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22960</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彩票公益金安排的支出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55.73</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55.73</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2296002</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用于社会福利的彩票公益金支出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53.33</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53.33</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2296004</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用于教育事业的彩票公益金支出</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2.40</w:t>
            </w: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部门：溆浦县北斗溪镇人民政府</w:t>
            </w:r>
          </w:p>
        </w:tc>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rFonts w:hint="eastAsia"/>
          <w:sz w:val="72"/>
          <w:szCs w:val="72"/>
        </w:rPr>
        <w:sectPr>
          <w:pgSz w:w="16838" w:h="11906" w:orient="landscape"/>
          <w:pgMar w:top="720" w:right="720" w:bottom="720" w:left="720" w:header="851" w:footer="992" w:gutter="0"/>
          <w:cols w:space="425" w:num="1"/>
          <w:docGrid w:type="lines" w:linePitch="312" w:charSpace="0"/>
        </w:sectPr>
      </w:pPr>
    </w:p>
    <w:p>
      <w:pPr>
        <w:pStyle w:val="9"/>
        <w:rPr>
          <w:rFonts w:hint="eastAsia"/>
          <w:sz w:val="72"/>
          <w:szCs w:val="72"/>
        </w:rPr>
      </w:pPr>
    </w:p>
    <w:p>
      <w:pPr>
        <w:pStyle w:val="9"/>
        <w:rPr>
          <w:rFonts w:hint="eastAsia"/>
          <w:sz w:val="72"/>
          <w:szCs w:val="72"/>
        </w:rPr>
      </w:pPr>
    </w:p>
    <w:p>
      <w:pPr>
        <w:pStyle w:val="9"/>
        <w:rPr>
          <w:rFonts w:hint="eastAsia"/>
          <w:sz w:val="72"/>
          <w:szCs w:val="72"/>
        </w:rPr>
      </w:pPr>
    </w:p>
    <w:p>
      <w:pPr>
        <w:pStyle w:val="9"/>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第三部分</w:t>
      </w:r>
    </w:p>
    <w:p>
      <w:pPr>
        <w:pStyle w:val="9"/>
        <w:jc w:val="center"/>
        <w:rPr>
          <w:rFonts w:hint="eastAsia"/>
          <w:sz w:val="70"/>
          <w:szCs w:val="70"/>
        </w:rPr>
      </w:pPr>
    </w:p>
    <w:p>
      <w:pPr>
        <w:pStyle w:val="9"/>
        <w:jc w:val="center"/>
        <w:rPr>
          <w:rFonts w:hint="eastAsia"/>
          <w:sz w:val="70"/>
          <w:szCs w:val="70"/>
        </w:rPr>
      </w:pPr>
      <w:r>
        <w:rPr>
          <w:sz w:val="70"/>
          <w:szCs w:val="70"/>
        </w:rPr>
        <w:t>20</w:t>
      </w:r>
      <w:r>
        <w:rPr>
          <w:rFonts w:hint="eastAsia"/>
          <w:sz w:val="70"/>
          <w:szCs w:val="70"/>
        </w:rPr>
        <w:t>20年度部门决算情况说明</w:t>
      </w:r>
    </w:p>
    <w:p>
      <w:pPr>
        <w:widowControl/>
        <w:jc w:val="left"/>
        <w:rPr>
          <w:rFonts w:hint="eastAsia"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2020年度收、支总计2008.34万元。与上年相比，增加141.13万元，增长7.55%，主要是因为增加了彩票公益金项目。</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本年收入合计2008.34万元，其中：财政拨款收入2008.34万元，占100%；上级补助收入0万元，占0%；事业收入0万元，占0%；经营收入0万元，占0%；附属单位上缴收入0万元，占0%；其他收入0万元，占0%。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本年支出合计2008.34万元，其中：基本支出1690.65万元，占84.18%；项目支出317.69万元，占15.82%；上缴上级支出0万元，占0%；经营支出0万元，占0%；对附属单位补助支出0万元，占0%。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2020年度财政拨款收、支总计2008.34万元，与上年相比，增加141.13万元，增长7.55%，主要是因为增加了彩票公益金项目。</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1950.61</w:t>
      </w:r>
      <w:r>
        <w:rPr>
          <w:rFonts w:hint="eastAsia" w:asciiTheme="minorEastAsia" w:hAnsiTheme="minorEastAsia" w:eastAsiaTheme="minorEastAsia"/>
          <w:sz w:val="32"/>
          <w:szCs w:val="32"/>
        </w:rPr>
        <w:t>万元，占本年支出合计的100%，与上年相比，财政拨款支出增加</w:t>
      </w:r>
      <w:r>
        <w:rPr>
          <w:rFonts w:hint="eastAsia" w:asciiTheme="minorEastAsia" w:hAnsiTheme="minorEastAsia" w:eastAsiaTheme="minorEastAsia"/>
          <w:sz w:val="32"/>
          <w:szCs w:val="32"/>
          <w:lang w:val="en-US" w:eastAsia="zh-CN"/>
        </w:rPr>
        <w:t>83.4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4.47</w:t>
      </w:r>
      <w:r>
        <w:rPr>
          <w:rFonts w:hint="eastAsia" w:asciiTheme="minorEastAsia" w:hAnsiTheme="minorEastAsia" w:eastAsiaTheme="minorEastAsia"/>
          <w:sz w:val="32"/>
          <w:szCs w:val="32"/>
        </w:rPr>
        <w:t>%，主要是因为增加了彩票公益金项目。</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1950.61</w:t>
      </w:r>
      <w:r>
        <w:rPr>
          <w:rFonts w:hint="eastAsia" w:asciiTheme="minorEastAsia" w:hAnsiTheme="minorEastAsia" w:eastAsiaTheme="minorEastAsia"/>
          <w:sz w:val="32"/>
          <w:szCs w:val="32"/>
        </w:rPr>
        <w:t>万元，主要用于以下方面：一般公共服务（类）支出745.07万元，占</w:t>
      </w:r>
      <w:r>
        <w:rPr>
          <w:rFonts w:hint="eastAsia" w:asciiTheme="minorEastAsia" w:hAnsiTheme="minorEastAsia" w:eastAsiaTheme="minorEastAsia"/>
          <w:sz w:val="32"/>
          <w:szCs w:val="32"/>
          <w:lang w:val="en-US" w:eastAsia="zh-CN"/>
        </w:rPr>
        <w:t>38.21</w:t>
      </w:r>
      <w:r>
        <w:rPr>
          <w:rFonts w:hint="eastAsia" w:asciiTheme="minorEastAsia" w:hAnsiTheme="minorEastAsia" w:eastAsiaTheme="minorEastAsia"/>
          <w:sz w:val="32"/>
          <w:szCs w:val="32"/>
        </w:rPr>
        <w:t>%；公共安全（类）支出28.44万元，占1.4</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%;文化旅游体育与传媒（类）支出5万元，占0.2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%；社会保障和就业（类）支出103.86万元，占5.</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%；卫生健康（类）支出55.62万元，占2.</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%；节能环保（类）支出47.84万元，占2.</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%；城乡社区（类）支出</w:t>
      </w:r>
      <w:r>
        <w:rPr>
          <w:rFonts w:hint="eastAsia" w:asciiTheme="minorEastAsia" w:hAnsiTheme="minorEastAsia" w:eastAsiaTheme="minorEastAsia"/>
          <w:sz w:val="32"/>
          <w:szCs w:val="32"/>
          <w:lang w:val="en-US" w:eastAsia="zh-CN"/>
        </w:rPr>
        <w:t>199.61，占</w:t>
      </w:r>
      <w:r>
        <w:rPr>
          <w:rFonts w:hint="eastAsia" w:asciiTheme="minorEastAsia" w:hAnsiTheme="minorEastAsia" w:eastAsiaTheme="minorEastAsia"/>
          <w:sz w:val="32"/>
          <w:szCs w:val="32"/>
        </w:rPr>
        <w:t>10.</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%；农林水（类）支出705.15万元，占</w:t>
      </w:r>
      <w:r>
        <w:rPr>
          <w:rFonts w:hint="eastAsia" w:asciiTheme="minorEastAsia" w:hAnsiTheme="minorEastAsia" w:eastAsiaTheme="minorEastAsia"/>
          <w:sz w:val="32"/>
          <w:szCs w:val="32"/>
          <w:lang w:val="en-US" w:eastAsia="zh-CN"/>
        </w:rPr>
        <w:t>36.15</w:t>
      </w:r>
      <w:r>
        <w:rPr>
          <w:rFonts w:hint="eastAsia" w:asciiTheme="minorEastAsia" w:hAnsiTheme="minorEastAsia" w:eastAsiaTheme="minorEastAsia"/>
          <w:sz w:val="32"/>
          <w:szCs w:val="32"/>
        </w:rPr>
        <w:t>%，交通运输（类）支出7万元，占0.3</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%；资源勘探工业信息等支出1.82万元，0.</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%；商业服务业等（类）支出4万元，占0.20%；自然资源海洋气象等（类）支出1万元，占0.05%；住房保障（类）支出13.94万元，占0.7</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%；灾害防治及应急救灾（类）支出32.25万元，占1.6%</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1950.61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1950.61</w:t>
      </w:r>
      <w:r>
        <w:rPr>
          <w:rFonts w:hint="eastAsia" w:asciiTheme="minorEastAsia" w:hAnsiTheme="minorEastAsia" w:eastAsiaTheme="minorEastAsia"/>
          <w:sz w:val="32"/>
          <w:szCs w:val="32"/>
        </w:rPr>
        <w:t>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1、一般公共服务（类）政府办公厅（室）及相关机构事务（款）行政运行（项）。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年初预算为494.88万元，支出决算为494.88万元，完成年初预算的100%，决算数等于年初预算数。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2、一般公共服务（类）政府办公厅（室）及相关机构事务（款）一般行政管理事务（项）。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年初预算为37.60万元，支出决算为37.60万元，完成年初预算的100%，决算数等于年初预算数。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3、一般公共服务（类）政府办公厅（室）及相关机构事务（款）信访事务（项）。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4、一般公共服务（类）政府办公厅（室）及相关机构事务（款）他政府办公厅（室）及相关机构事务支出（项）。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年初预算为142.16万元，支出决算为142.16万元，完成年初预算的100%，决算数等于年初预算数。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5、一般公共服务支出（类）统计信息事务（款）专项普查活动（项）。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6、一般公共服务（类）财政事务（款）行政运行（项）。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年初预算为40.94万元，支出决算为40.94万元，完成年初预算的100%，决算数等于年初预算数。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7、一般公共服务（类）财政事务（款）一般行政管理事务（项）。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年初预算为1.27万元，支出决算为1.27万元，完成年初预算的100%，决算数等于年初预算数。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8、一般公共服务（类）纪检监察事务（款）行政运行（项）。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年初预算为2.09万元，支出决算为2.09万元，完成年初预算的100%，决算数等于年初预算数。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9、一般公共服务（类）组织事务（款）一般行政管理事务（项）。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年初预算为0.15万元，支出决算为0.15万元，完成年初预算的100%，决算数等于年初预算数。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10、一般公共服务（类）统战事务（款）其他统战事务支出（项）。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年初预算为20万元，支出决算为20万元，完成年初预算的100%，决算数等于年初预算数。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11、公共安全支出（类）公安（款）一般行政管理事务（项）。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年初预算为10.72万元，支出决算为10.72万元，完成年初预算的100%，决算数等于年初预算数。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12、公共安全支出（类）公安（款）其他公安支出（项）。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年初预算为17.72万元，支出决算为17.72万元，完成年初预算的100%，决算数等于年初预算数。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13、文化旅游体育与传媒支出（类）文化和旅游（款）其他文化和旅游支出（项）。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14、社会保障和就业（类）抚恤（款）死亡抚恤（项）。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年初预算为98.42万元，支出决算为98.42万元，完成年初预算的100%，决算数等于年初预算数。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15、社会保障和就业（类）特困人员救助供养（款）农村特困人员救助供养支出（项）。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年初预算为2.6万元，支出决算为2.6万元，完成年初预算的100%，决算数等于年初预算数。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16、社会保障和就业（类）财政对基本养老保险基金的补助（款）财政对其他基本养老保险基金的补助（项）。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年初预算为1.2万元，支出决算为1.2万元，完成年初预算的100%，决算数等于年初预算数。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17、社会保障和就业（类）退役军人管理事务（（款）其他退役军人事务管理支出（项）。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年初预算为1.2万元，支出决算为1.2万元，完成年初预算的100%，决算数等于年初预算数。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18、社会保障和就业（类）其他社会保障和就业支出（款）其他社会保障和就业支出（项）。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年初预算为0.45万元，支出决算为0.45万元，完成年初预算的100%，决算数等于年初预算数。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19、卫生健康（类）卫生健康管理事务（款）其他卫生健康管理事务支出（项）。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年初预算为2.31万元，支出决算为2.31万元，完成年初预算的100%，决算数等于年初预算数。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20、卫生健康支出（类）公共卫生（款）精神卫生机构（项）。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年初预算为1.38万元，支出决算为1.38万元，完成年初预算的100%，决算数等于年初预算数。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21、卫生健康支出（类）公共卫生（款）基本公共卫生服务（项）。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年初预算为2.2万元，支出决算为2.2万元，完成年初预算的100%，决算数等于年初预算数。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22、卫生健康支出（类）计划生育事务（款）计划生育机构（项）。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年初预算为41.44万元，支出决算为41.44万元，完成年初预算的100%，决算数等于年初预算数。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23、卫生健康支出（类）计划生育事务（款）其他计划生育事务支出（项）。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年初预算为8.29万元，支出决算为8.29万元，完成年初预算的100%，决算数等于年初预算数。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24、节能环保支出（类）自然生态保护（款）农村环境保护（项）。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年初预算为47.84万元，支出决算为47.84万元，完成年初预算的100%，决算数等于年初预算数。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25、城乡社区支出（类）城乡社区管理事务（款）行政运行（项）。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年初预算为6万元，支出决算为6万元，完成年初预算的100%，决算数等于年初预算数。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26、城乡社区支出（类）城乡社区公共设施（款）小城镇基础设施建设（项）。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年初预算为31.32万元，支出决算为31.32万元，完成年初预算的100%，决算数等于年初预算数。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27、城乡社区支出（类）城乡社区公共设施（款）其他城乡社区公共设施支出（项）。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年初预算为24.32万元，支出决算为24.32万元，完成年初预算的100%，决算数等于年初预算数。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28、城乡社区支出（类）城乡社区环境卫生（款）城乡社区环境卫生（项）。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年初预算为137.97万元，支出决算为137.97万元，完成年初预算的100%，决算数等于年初预算数。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、农林水支出（类）农业农村（款）农村合作经济（项）。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、农林水支出（类）农业农村（款）农村道路建设（项）。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年初预算为3万元，支出决算为3万元，完成年初预算的100%，决算数等于年初预算数。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、农林水支出（类）农业农村（款）其他农业农村支出（项）。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年初预算为28.63万元，支出决算为28.63万元，完成年初预算的100%，决算数等于年初预算数。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、农林水支出（类）林业和草原（款）行政运行（项）。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年初预算为87.71万元，支出决算为87.71万元，完成年初预算的100%，决算数等于年初预算数。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、农林水支出（类）林业和草原（款）森林资源管理（项）。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年初预算为3.42元，支出决算为3.42万元，完成年初预算的100%，决算数等于年初预算数。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、农林水支出（类）水利（款）农村水利（项）。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年初预算为4万元，支出决算为4万元，完成年初预算的100%，决算数等于年初预算数。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、农林水支出（类）扶贫（款）农村基础设施建设（项）。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年初预算为140.57万元，支出决算为140.57万元，完成年初预算的100%，决算数等于年初预算数。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、农林水支出（类）扶贫（款）生产发展（项）。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年初预算为40万元，支出决算为40万元，完成年初预算的100%，决算数等于年初预算数。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、农林水支出（类）扶贫（款）其他扶贫支出（项）。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年初预算为29.80万元，支出决算为29.80万元，完成年初预算的100%，决算数等于年初预算数。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、农林水支出（类）农村综合改革（款）对村民委员会和村党支部的补助（项）。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年初预算为284.01万元，支出决算为284.01万元，完成年初预算的100%，决算数等于年初预算数。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、农林水支出（类）农村综合改革（款）对村集体经济组织的补助（项）。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年初预算为50万元，支出决算为50万元，完成年初预算的100%，决算数等于年初预算数。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、农林水支出（类）农村综合改革（款）农村综合改革示范试点补助（项）。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年初预算为9万元，支出决算为9万元，完成年初预算的100%，决算数等于年初预算数。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、农林水支出（类）农村综合改革（款）其他农村综合改革支出（项）。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年初预算为15万元，支出决算为15万元，完成年初预算的100%，决算数等于年初预算数。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、农林水支出（类）其他农林水支出（款）其他农林水支出（项）。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年初预算为0.01万元，支出决算为0.01万元，完成年初预算的100%，决算数等于年初预算数。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、交通运输支出（类）公路水路运输（款）其他公路水路运输支出（项）。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、交通运输支出（类）其他交通运输支出（款）其他交通运输支出（项）。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年初预算为2万元，支出决算为2万元，完成年初预算的100%，决算数等于年初预算数。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、资源勘探工业信息等支出（类）资源勘探开发（款）其他资源勘探业支出（项）。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年初预算为1.82万元，支出决算为1.82万元，完成年初预算的100%，决算数等于年初预算数。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、商业服务业等支出（类）商业流通事务（款）行政运行（项）。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年初预算为4万元，支出决算为4万元，完成年初预算的100%，决算数等于年初预算数。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、自然资源海洋气象等支出（类）自然资源事务（款）一般行政管理事务（项）。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、住房保障支出（类）住房改革支出（款）住房公积金（项）。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年初预算为13.94万元，支出决算为13.94万元，完成年初预算的100%，决算数等于年初预算数。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、灾害防治及应急管理支出（类）消防事务（款）行政运行（项）。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.5万元，支出决算为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、灾害防治及应急管理支出（类）消防事务（款）其他消防事务支出（项）。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年初预算为1.75万元，支出决算为1.75万元，完成年初预算的100%，决算数等于年初预算数。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、灾害防治及应急管理支出（类）自然灾害救灾及恢复重建支出（款）自然灾害灾后重建补助（项）。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年初预算为15万元，支出决算为15万元，完成年初预算的100%，决算数等于年初预算数。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、灾害防治及应急管理支出（类）自然灾害救灾及恢复重建支出（款）其他自然灾害救灾及恢复重建支出（项）。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年初预算为13万元，支出决算为13万元，完成年初预算的100%，决算数等于年初预算数。</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1690.65万元，其中：人员经费1125.23万元，占基本支出的66.56%,主要包括基本工资、津贴补贴、奖金、伙食补助费、职工基本医疗保险缴费、住房公积金、其他工资福利支出、抚恤金、生活补助、奖励金、个人农业生产补贴、其他对个人和家庭的补助；公用经费565.42万元，占基本支出的33.44%，主要包括办公费、印刷费、电费、邮电费、差旅费、维修（护）费、会议费、公务接待费、专用材料费、专用燃料费、劳务费、委托业务费、工会经费、公务用车运行维护费、其他交通费、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13.41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23.94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35.96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，主要原因是厉行节约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8.07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，主要原因是严格控制公务用车</w:t>
      </w:r>
      <w:r>
        <w:rPr>
          <w:rFonts w:hint="eastAsia" w:asciiTheme="minorEastAsia" w:hAnsiTheme="minorEastAsia" w:eastAsiaTheme="minorEastAsia"/>
          <w:sz w:val="32"/>
          <w:szCs w:val="32"/>
        </w:rPr>
        <w:t>。</w:t>
      </w:r>
      <w:bookmarkStart w:id="3" w:name="_GoBack"/>
      <w:bookmarkEnd w:id="3"/>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2020年度“三公”经费财政拨款支出决算中，公务接待费支出决算1.92万元，占59.81%,因公出国（境）费支出决算0万元，占0%,公务用车购置费及运行维护费支出决算1.29万元，占40.19%。其中：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1、因公出国（境）费支出决算为0万元，全年安排因公出国（境）团组0个，累计0人次,开支内容包括：无。</w:t>
      </w:r>
    </w:p>
    <w:p>
      <w:pPr>
        <w:pStyle w:val="9"/>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2、公务接待费支出决算为1.92万元，全年共接待来访团组40个、来宾192人次，主要是</w:t>
      </w:r>
      <w:r>
        <w:rPr>
          <w:rFonts w:hint="eastAsia" w:asciiTheme="minorEastAsia" w:hAnsiTheme="minorEastAsia" w:eastAsiaTheme="minorEastAsia"/>
          <w:sz w:val="32"/>
          <w:szCs w:val="32"/>
          <w:lang w:eastAsia="zh-CN"/>
        </w:rPr>
        <w:t>省文化和旅游厅党组成员在北斗溪镇调研指导文化旅游扶贫工；市委常委、纪委书记在北斗溪镇指导疫防控和新镇建设工作；市委副书记、市长在北斗溪镇调研指导脱贫攻坚和民宿旅游项目建设工作；副省长深入北斗溪镇调研指导民宿旅游项目建设；省人大常委会研究室主任在北斗溪镇调研指导基层人大工作；市委常委、宣传部部长在北斗溪镇调研指导特文旅小镇建设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3、公务用车购置费及运行维护费支出决算为1.29万元，其中：公务用车购置费0万元，溆浦县北斗溪镇人民政府更新公务用车0辆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公务用车运行维护费1.29万元，主要是公务用车油卡充值及日常维护支出，截止2020年12月31日，我单位开支财政拨款的公务用车保有量为2辆。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2020年度政府性基金预算财政拨款收入57.73万元；年初结转和结余0万元；支出0万元，其中基本支出0万元，项目支出57.73万元；年末结转和结余0万元。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本部门2020年度机关运行经费支出565.42万元，比年初预算数（或者上年决算数）增加339.12万元，增长149.85%。主要原因是：专用设备购置的增加。</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2020年本部门开支会议费1.99万元，用于召开</w:t>
      </w:r>
      <w:r>
        <w:rPr>
          <w:rFonts w:hint="eastAsia" w:asciiTheme="minorEastAsia" w:hAnsiTheme="minorEastAsia" w:eastAsiaTheme="minorEastAsia"/>
          <w:sz w:val="32"/>
          <w:szCs w:val="32"/>
          <w:lang w:eastAsia="zh-CN"/>
        </w:rPr>
        <w:t>十九届五中全会精神宣讲会</w:t>
      </w:r>
      <w:r>
        <w:rPr>
          <w:rFonts w:hint="eastAsia" w:asciiTheme="minorEastAsia" w:hAnsiTheme="minorEastAsia" w:eastAsiaTheme="minorEastAsia"/>
          <w:sz w:val="32"/>
          <w:szCs w:val="32"/>
        </w:rPr>
        <w:t>议，人数</w:t>
      </w:r>
      <w:r>
        <w:rPr>
          <w:rFonts w:hint="eastAsia" w:asciiTheme="minorEastAsia" w:hAnsiTheme="minorEastAsia" w:eastAsiaTheme="minorEastAsia"/>
          <w:sz w:val="32"/>
          <w:szCs w:val="32"/>
          <w:lang w:val="en-US" w:eastAsia="zh-CN"/>
        </w:rPr>
        <w:t>120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讲解十九届五中全会会议精神</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用于召开疫情防控会议，人数</w:t>
      </w:r>
      <w:r>
        <w:rPr>
          <w:rFonts w:hint="eastAsia" w:asciiTheme="minorEastAsia" w:hAnsiTheme="minorEastAsia" w:eastAsiaTheme="minorEastAsia"/>
          <w:sz w:val="32"/>
          <w:szCs w:val="32"/>
          <w:lang w:val="en-US" w:eastAsia="zh-CN"/>
        </w:rPr>
        <w:t>30人，内容为有效开展全民疫苗接种；用于召开脱贫攻坚推进视频会议，人数65人，内容为回顾脱贫攻坚成果，巩固脱贫攻坚成效；用于召开稳岗就业培训会议，人数45人，内容为积极开展各村就业创业服务；用于召社会治理推进、禁毒工作会议，内容为加大宣传维护社会安定以及全民禁毒；用于召开人口普查会议，人数46人，内容为全面做好人口普查工作；等会议。用于</w:t>
      </w:r>
      <w:r>
        <w:rPr>
          <w:rFonts w:hint="eastAsia" w:asciiTheme="minorEastAsia" w:hAnsiTheme="minorEastAsia" w:eastAsiaTheme="minorEastAsia"/>
          <w:sz w:val="32"/>
          <w:szCs w:val="32"/>
        </w:rPr>
        <w:t>开支培训费0万元，没有开展培训，人数0人，内容为0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重阳节关爱退休老干部等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0.78</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九九关爱退休老干部座谈会等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2辆，其中，主要领导干部用车2辆，机要通信用车0辆、应急保障用车0辆、执法执勤用车0辆、特种专业技术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pPr>
        <w:pStyle w:val="9"/>
        <w:ind w:firstLine="640" w:firstLineChars="200"/>
        <w:jc w:val="both"/>
        <w:rPr>
          <w:sz w:val="72"/>
          <w:szCs w:val="72"/>
        </w:rPr>
      </w:pPr>
      <w:r>
        <w:rPr>
          <w:rFonts w:hint="eastAsia" w:asciiTheme="minorEastAsia" w:hAnsiTheme="minorEastAsia" w:eastAsiaTheme="minorEastAsia"/>
          <w:sz w:val="32"/>
          <w:szCs w:val="32"/>
        </w:rPr>
        <w:t>本单位《20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年度整体支出绩效自评报告》见附件。</w:t>
      </w: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第四部分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、财政拨款收入：指县财政当年拨付的资金。</w:t>
      </w:r>
    </w:p>
    <w:p>
      <w:pPr>
        <w:pStyle w:val="9"/>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、基本支出：指部门为保障其机构正常运转、完成日常工作任务的年度基本支出，包括人员经费和公用经费两部分。</w:t>
      </w:r>
    </w:p>
    <w:p>
      <w:pPr>
        <w:pStyle w:val="9"/>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、“三公”经费</w:t>
      </w:r>
      <w:r>
        <w:rPr>
          <w:rFonts w:ascii="宋体" w:hAnsi="宋体" w:eastAsia="宋体"/>
          <w:sz w:val="32"/>
          <w:szCs w:val="32"/>
        </w:rPr>
        <w:t>:</w:t>
      </w:r>
      <w:r>
        <w:rPr>
          <w:rFonts w:hint="eastAsia" w:ascii="宋体" w:hAnsi="宋体" w:eastAsia="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ascii="仿宋_GB2312" w:eastAsia="宋体" w:cs="Times New Roman"/>
          <w:sz w:val="32"/>
          <w:szCs w:val="32"/>
        </w:rPr>
      </w:pPr>
      <w:r>
        <w:rPr>
          <w:rFonts w:ascii="宋体" w:hAnsi="宋体" w:eastAsia="宋体"/>
          <w:sz w:val="32"/>
          <w:szCs w:val="32"/>
        </w:rPr>
        <w:t>4</w:t>
      </w:r>
      <w:r>
        <w:rPr>
          <w:rFonts w:hint="eastAsia" w:ascii="宋体" w:hAnsi="宋体" w:eastAsia="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第五部分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p>
      <w:pPr>
        <w:jc w:val="center"/>
        <w:rPr>
          <w:rFonts w:hint="eastAsia"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溆浦县北斗溪镇人民政府</w:t>
      </w: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一、部门概况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（一）部门基本情况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溆浦县北斗溪镇</w:t>
      </w:r>
      <w:r>
        <w:rPr>
          <w:rFonts w:hint="eastAsia" w:cs="黑体" w:asciiTheme="minorEastAsia" w:hAnsiTheme="minorEastAsia"/>
          <w:color w:val="000000"/>
          <w:kern w:val="0"/>
          <w:sz w:val="32"/>
          <w:szCs w:val="32"/>
        </w:rPr>
        <w:t>人民政府隶属溆浦县人民政府，行政单位，全额拨款单位。其中，</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政府、</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事业单位、财政所、计生办，编制人员合计</w:t>
      </w:r>
      <w:r>
        <w:rPr>
          <w:rFonts w:hint="eastAsia" w:cs="黑体" w:asciiTheme="minorEastAsia" w:hAnsiTheme="minorEastAsia"/>
          <w:color w:val="000000"/>
          <w:kern w:val="0"/>
          <w:sz w:val="32"/>
          <w:szCs w:val="32"/>
          <w:lang w:val="en-US" w:eastAsia="zh-CN"/>
        </w:rPr>
        <w:t>80</w:t>
      </w:r>
      <w:r>
        <w:rPr>
          <w:rFonts w:hint="eastAsia" w:cs="黑体" w:asciiTheme="minorEastAsia" w:hAnsiTheme="minorEastAsia"/>
          <w:color w:val="000000"/>
          <w:kern w:val="0"/>
          <w:sz w:val="32"/>
          <w:szCs w:val="32"/>
        </w:rPr>
        <w:t>人，实际人数</w:t>
      </w:r>
      <w:r>
        <w:rPr>
          <w:rFonts w:hint="eastAsia" w:cs="黑体" w:asciiTheme="minorEastAsia" w:hAnsiTheme="minorEastAsia"/>
          <w:color w:val="000000"/>
          <w:kern w:val="0"/>
          <w:sz w:val="32"/>
          <w:szCs w:val="32"/>
          <w:lang w:val="en-US" w:eastAsia="zh-CN"/>
        </w:rPr>
        <w:t>71</w:t>
      </w:r>
      <w:r>
        <w:rPr>
          <w:rFonts w:hint="eastAsia" w:cs="黑体" w:asciiTheme="minorEastAsia" w:hAnsiTheme="minorEastAsia"/>
          <w:color w:val="000000"/>
          <w:kern w:val="0"/>
          <w:sz w:val="32"/>
          <w:szCs w:val="32"/>
        </w:rPr>
        <w:t>人。主要职能是：</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（2）制定并组织实施村乡建设规划，部署重点工程建设，地方道路建设及公共设施，水利设施的管理，负责土地、林木、水等自然资源和生态环境的保护，做好护林防火工作。</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（4）按计划组织本级财政收入和地方税的征收，完成国家财政计划，不断培植税源，管好财政资金，增强财政实力。</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（5）抓好精神文明建设，丰富群众文化生活，提倡移风易俗，反对封建迷信，树立社会主义新风尚。</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（6）完成上级政府交办的其它事项。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（二）收支情况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w:t>
      </w:r>
      <w:r>
        <w:rPr>
          <w:rFonts w:hint="eastAsia" w:cs="黑体" w:asciiTheme="minorEastAsia" w:hAnsiTheme="minorEastAsia"/>
          <w:color w:val="000000"/>
          <w:kern w:val="0"/>
          <w:sz w:val="32"/>
          <w:szCs w:val="32"/>
          <w:lang w:eastAsia="zh-CN"/>
        </w:rPr>
        <w:t>北斗溪镇</w:t>
      </w:r>
      <w:r>
        <w:rPr>
          <w:rFonts w:hint="eastAsia" w:cs="黑体" w:asciiTheme="minorEastAsia" w:hAnsiTheme="minorEastAsia"/>
          <w:color w:val="000000"/>
          <w:kern w:val="0"/>
          <w:sz w:val="32"/>
          <w:szCs w:val="32"/>
        </w:rPr>
        <w:t>收入为</w:t>
      </w:r>
      <w:r>
        <w:rPr>
          <w:rFonts w:hint="eastAsia" w:cs="黑体" w:asciiTheme="minorEastAsia" w:hAnsiTheme="minorEastAsia"/>
          <w:color w:val="000000"/>
          <w:kern w:val="0"/>
          <w:sz w:val="32"/>
          <w:szCs w:val="32"/>
          <w:lang w:val="en-US" w:eastAsia="zh-CN"/>
        </w:rPr>
        <w:t>2008.34</w:t>
      </w:r>
      <w:r>
        <w:rPr>
          <w:rFonts w:hint="eastAsia" w:cs="黑体" w:asciiTheme="minorEastAsia" w:hAnsiTheme="minorEastAsia"/>
          <w:color w:val="000000"/>
          <w:kern w:val="0"/>
          <w:sz w:val="32"/>
          <w:szCs w:val="32"/>
        </w:rPr>
        <w:t>万元，支出为</w:t>
      </w:r>
      <w:r>
        <w:rPr>
          <w:rFonts w:hint="eastAsia" w:cs="黑体" w:asciiTheme="minorEastAsia" w:hAnsiTheme="minorEastAsia"/>
          <w:color w:val="000000"/>
          <w:kern w:val="0"/>
          <w:sz w:val="32"/>
          <w:szCs w:val="32"/>
          <w:lang w:val="en-US" w:eastAsia="zh-CN"/>
        </w:rPr>
        <w:t>2008.34</w:t>
      </w:r>
      <w:r>
        <w:rPr>
          <w:rFonts w:hint="eastAsia" w:cs="黑体" w:asciiTheme="minorEastAsia" w:hAnsiTheme="minorEastAsia"/>
          <w:color w:val="000000"/>
          <w:kern w:val="0"/>
          <w:sz w:val="32"/>
          <w:szCs w:val="32"/>
        </w:rPr>
        <w:t>万元，收支基本平衡。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二、部门整体支出管理及使用情况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2020年基本支出</w:t>
      </w:r>
      <w:r>
        <w:rPr>
          <w:rFonts w:hint="eastAsia" w:cs="黑体" w:asciiTheme="minorEastAsia" w:hAnsiTheme="minorEastAsia"/>
          <w:color w:val="000000"/>
          <w:kern w:val="0"/>
          <w:sz w:val="32"/>
          <w:szCs w:val="32"/>
          <w:lang w:val="en-US" w:eastAsia="zh-CN"/>
        </w:rPr>
        <w:t>1690.65</w:t>
      </w:r>
      <w:r>
        <w:rPr>
          <w:rFonts w:hint="eastAsia" w:cs="黑体" w:asciiTheme="minorEastAsia" w:hAnsiTheme="minorEastAsia"/>
          <w:color w:val="000000"/>
          <w:kern w:val="0"/>
          <w:sz w:val="32"/>
          <w:szCs w:val="32"/>
        </w:rPr>
        <w:t>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1、支出按经济分类:工资福利支出</w:t>
      </w:r>
      <w:r>
        <w:rPr>
          <w:rFonts w:hint="eastAsia" w:cs="黑体" w:asciiTheme="minorEastAsia" w:hAnsiTheme="minorEastAsia"/>
          <w:color w:val="000000"/>
          <w:kern w:val="0"/>
          <w:sz w:val="32"/>
          <w:szCs w:val="32"/>
          <w:lang w:val="en-US" w:eastAsia="zh-CN"/>
        </w:rPr>
        <w:t>657.02</w:t>
      </w:r>
      <w:r>
        <w:rPr>
          <w:rFonts w:hint="eastAsia" w:cs="黑体" w:asciiTheme="minorEastAsia" w:hAnsiTheme="minorEastAsia"/>
          <w:color w:val="000000"/>
          <w:kern w:val="0"/>
          <w:sz w:val="32"/>
          <w:szCs w:val="32"/>
        </w:rPr>
        <w:t>万元、商品服务支出</w:t>
      </w:r>
      <w:r>
        <w:rPr>
          <w:rFonts w:hint="eastAsia" w:cs="黑体" w:asciiTheme="minorEastAsia" w:hAnsiTheme="minorEastAsia"/>
          <w:color w:val="000000"/>
          <w:kern w:val="0"/>
          <w:sz w:val="32"/>
          <w:szCs w:val="32"/>
          <w:lang w:val="en-US" w:eastAsia="zh-CN"/>
        </w:rPr>
        <w:t>565.42</w:t>
      </w:r>
      <w:r>
        <w:rPr>
          <w:rFonts w:hint="eastAsia" w:cs="黑体" w:asciiTheme="minorEastAsia" w:hAnsiTheme="minorEastAsia"/>
          <w:color w:val="000000"/>
          <w:kern w:val="0"/>
          <w:sz w:val="32"/>
          <w:szCs w:val="32"/>
        </w:rPr>
        <w:t>万元、对个人和家庭补助支出</w:t>
      </w:r>
      <w:r>
        <w:rPr>
          <w:rFonts w:hint="eastAsia" w:cs="黑体" w:asciiTheme="minorEastAsia" w:hAnsiTheme="minorEastAsia"/>
          <w:color w:val="000000"/>
          <w:kern w:val="0"/>
          <w:sz w:val="32"/>
          <w:szCs w:val="32"/>
          <w:lang w:val="en-US" w:eastAsia="zh-CN"/>
        </w:rPr>
        <w:t>468.21</w:t>
      </w:r>
      <w:r>
        <w:rPr>
          <w:rFonts w:hint="eastAsia" w:cs="黑体" w:asciiTheme="minorEastAsia" w:hAnsiTheme="minorEastAsia"/>
          <w:color w:val="000000"/>
          <w:kern w:val="0"/>
          <w:sz w:val="32"/>
          <w:szCs w:val="32"/>
        </w:rPr>
        <w:t>万元。</w:t>
      </w:r>
    </w:p>
    <w:p>
      <w:pPr>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2、支出按功能分类：1、一般公共服务支出</w:t>
      </w:r>
      <w:r>
        <w:rPr>
          <w:rFonts w:hint="eastAsia" w:cs="黑体" w:asciiTheme="minorEastAsia" w:hAnsiTheme="minorEastAsia"/>
          <w:color w:val="000000"/>
          <w:kern w:val="0"/>
          <w:sz w:val="32"/>
          <w:szCs w:val="32"/>
          <w:lang w:val="en-US" w:eastAsia="zh-CN"/>
        </w:rPr>
        <w:t>745.07</w:t>
      </w:r>
      <w:r>
        <w:rPr>
          <w:rFonts w:hint="eastAsia" w:cs="黑体" w:asciiTheme="minorEastAsia" w:hAnsiTheme="minorEastAsia"/>
          <w:color w:val="000000"/>
          <w:kern w:val="0"/>
          <w:sz w:val="32"/>
          <w:szCs w:val="32"/>
        </w:rPr>
        <w:t>万元；2、公共安全支出</w:t>
      </w:r>
      <w:r>
        <w:rPr>
          <w:rFonts w:hint="eastAsia" w:cs="黑体" w:asciiTheme="minorEastAsia" w:hAnsiTheme="minorEastAsia"/>
          <w:color w:val="000000"/>
          <w:kern w:val="0"/>
          <w:sz w:val="32"/>
          <w:szCs w:val="32"/>
          <w:lang w:val="en-US" w:eastAsia="zh-CN"/>
        </w:rPr>
        <w:t>28.44</w:t>
      </w:r>
      <w:r>
        <w:rPr>
          <w:rFonts w:hint="eastAsia" w:cs="黑体" w:asciiTheme="minorEastAsia" w:hAnsiTheme="minorEastAsia"/>
          <w:color w:val="000000"/>
          <w:kern w:val="0"/>
          <w:sz w:val="32"/>
          <w:szCs w:val="32"/>
        </w:rPr>
        <w:t>万元；3、</w:t>
      </w:r>
      <w:r>
        <w:rPr>
          <w:rFonts w:hint="eastAsia" w:cs="黑体" w:asciiTheme="minorEastAsia" w:hAnsiTheme="minorEastAsia"/>
          <w:color w:val="000000"/>
          <w:kern w:val="0"/>
          <w:sz w:val="32"/>
          <w:szCs w:val="32"/>
          <w:lang w:eastAsia="zh-CN"/>
        </w:rPr>
        <w:t>文化旅游体育与传媒支出</w:t>
      </w:r>
      <w:r>
        <w:rPr>
          <w:rFonts w:hint="eastAsia" w:cs="黑体" w:asciiTheme="minorEastAsia" w:hAnsiTheme="minorEastAsia"/>
          <w:color w:val="000000"/>
          <w:kern w:val="0"/>
          <w:sz w:val="32"/>
          <w:szCs w:val="32"/>
          <w:lang w:val="en-US" w:eastAsia="zh-CN"/>
        </w:rPr>
        <w:t>5.00万元</w:t>
      </w:r>
      <w:r>
        <w:rPr>
          <w:rFonts w:hint="eastAsia" w:cs="黑体" w:asciiTheme="minorEastAsia" w:hAnsiTheme="minorEastAsia"/>
          <w:color w:val="000000"/>
          <w:kern w:val="0"/>
          <w:sz w:val="32"/>
          <w:szCs w:val="32"/>
        </w:rPr>
        <w:t>；4、</w:t>
      </w:r>
      <w:r>
        <w:rPr>
          <w:rFonts w:hint="eastAsia" w:cs="黑体" w:asciiTheme="minorEastAsia" w:hAnsiTheme="minorEastAsia"/>
          <w:color w:val="000000"/>
          <w:kern w:val="0"/>
          <w:sz w:val="32"/>
          <w:szCs w:val="32"/>
          <w:lang w:eastAsia="zh-CN"/>
        </w:rPr>
        <w:t>社会保障和就业</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103.86</w:t>
      </w:r>
      <w:r>
        <w:rPr>
          <w:rFonts w:hint="eastAsia" w:cs="黑体" w:asciiTheme="minorEastAsia" w:hAnsiTheme="minorEastAsia"/>
          <w:color w:val="000000"/>
          <w:kern w:val="0"/>
          <w:sz w:val="32"/>
          <w:szCs w:val="32"/>
        </w:rPr>
        <w:t>万元；5、</w:t>
      </w:r>
      <w:r>
        <w:rPr>
          <w:rFonts w:hint="eastAsia" w:cs="黑体" w:asciiTheme="minorEastAsia" w:hAnsiTheme="minorEastAsia"/>
          <w:color w:val="000000"/>
          <w:kern w:val="0"/>
          <w:sz w:val="32"/>
          <w:szCs w:val="32"/>
          <w:lang w:eastAsia="zh-CN"/>
        </w:rPr>
        <w:t>卫生健康</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55.62</w:t>
      </w:r>
      <w:r>
        <w:rPr>
          <w:rFonts w:hint="eastAsia" w:cs="黑体" w:asciiTheme="minorEastAsia" w:hAnsiTheme="minorEastAsia"/>
          <w:color w:val="000000"/>
          <w:kern w:val="0"/>
          <w:sz w:val="32"/>
          <w:szCs w:val="32"/>
        </w:rPr>
        <w:t>万元；6、</w:t>
      </w:r>
      <w:r>
        <w:rPr>
          <w:rFonts w:hint="eastAsia" w:cs="黑体" w:asciiTheme="minorEastAsia" w:hAnsiTheme="minorEastAsia"/>
          <w:color w:val="000000"/>
          <w:kern w:val="0"/>
          <w:sz w:val="32"/>
          <w:szCs w:val="32"/>
          <w:lang w:eastAsia="zh-CN"/>
        </w:rPr>
        <w:t>节能环保</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47.84</w:t>
      </w:r>
      <w:r>
        <w:rPr>
          <w:rFonts w:hint="eastAsia" w:cs="黑体" w:asciiTheme="minorEastAsia" w:hAnsiTheme="minorEastAsia"/>
          <w:color w:val="000000"/>
          <w:kern w:val="0"/>
          <w:sz w:val="32"/>
          <w:szCs w:val="32"/>
        </w:rPr>
        <w:t>万元；7、</w:t>
      </w:r>
      <w:r>
        <w:rPr>
          <w:rFonts w:hint="eastAsia" w:cs="黑体" w:asciiTheme="minorEastAsia" w:hAnsiTheme="minorEastAsia"/>
          <w:color w:val="000000"/>
          <w:kern w:val="0"/>
          <w:sz w:val="32"/>
          <w:szCs w:val="32"/>
          <w:lang w:eastAsia="zh-CN"/>
        </w:rPr>
        <w:t>城乡社区</w:t>
      </w:r>
      <w:r>
        <w:rPr>
          <w:rFonts w:hint="eastAsia" w:cs="黑体" w:asciiTheme="minorEastAsia" w:hAnsiTheme="minorEastAsia"/>
          <w:color w:val="000000"/>
          <w:kern w:val="0"/>
          <w:sz w:val="32"/>
          <w:szCs w:val="32"/>
        </w:rPr>
        <w:t>支出20</w:t>
      </w:r>
      <w:r>
        <w:rPr>
          <w:rFonts w:hint="eastAsia" w:cs="黑体" w:asciiTheme="minorEastAsia" w:hAnsiTheme="minorEastAsia"/>
          <w:color w:val="000000"/>
          <w:kern w:val="0"/>
          <w:sz w:val="32"/>
          <w:szCs w:val="32"/>
          <w:lang w:val="en-US" w:eastAsia="zh-CN"/>
        </w:rPr>
        <w:t>1.61</w:t>
      </w:r>
      <w:r>
        <w:rPr>
          <w:rFonts w:hint="eastAsia" w:cs="黑体" w:asciiTheme="minorEastAsia" w:hAnsiTheme="minorEastAsia"/>
          <w:color w:val="000000"/>
          <w:kern w:val="0"/>
          <w:sz w:val="32"/>
          <w:szCs w:val="32"/>
        </w:rPr>
        <w:t>万元；8、</w:t>
      </w:r>
      <w:r>
        <w:rPr>
          <w:rFonts w:hint="eastAsia" w:cs="黑体" w:asciiTheme="minorEastAsia" w:hAnsiTheme="minorEastAsia"/>
          <w:color w:val="000000"/>
          <w:kern w:val="0"/>
          <w:sz w:val="32"/>
          <w:szCs w:val="32"/>
          <w:lang w:eastAsia="zh-CN"/>
        </w:rPr>
        <w:t>农林水</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val="en-US" w:eastAsia="zh-CN"/>
        </w:rPr>
        <w:t>705.15</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9、交通运输支出7.00万元；10、资源勘探工业信息等支出1.82万元；11、商业服务业等支出4.00万元；13、自然资源海洋气象等支出1.00万元；14、住房保障支出13.94万元；15、灾害防治及应急管理支出32.25万元；15、其他支出55.73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3、2020年三公经费支出</w:t>
      </w:r>
      <w:r>
        <w:rPr>
          <w:rFonts w:hint="eastAsia" w:cs="黑体" w:asciiTheme="minorEastAsia" w:hAnsiTheme="minorEastAsia"/>
          <w:color w:val="000000"/>
          <w:kern w:val="0"/>
          <w:sz w:val="32"/>
          <w:szCs w:val="32"/>
          <w:lang w:val="en-US" w:eastAsia="zh-CN"/>
        </w:rPr>
        <w:t>3.21</w:t>
      </w:r>
      <w:r>
        <w:rPr>
          <w:rFonts w:hint="eastAsia" w:cs="黑体" w:asciiTheme="minorEastAsia" w:hAnsiTheme="minorEastAsia"/>
          <w:color w:val="000000"/>
          <w:kern w:val="0"/>
          <w:sz w:val="32"/>
          <w:szCs w:val="32"/>
        </w:rPr>
        <w:t>万元。其中公务接待费</w:t>
      </w:r>
      <w:r>
        <w:rPr>
          <w:rFonts w:hint="eastAsia" w:cs="黑体" w:asciiTheme="minorEastAsia" w:hAnsiTheme="minorEastAsia"/>
          <w:color w:val="000000"/>
          <w:kern w:val="0"/>
          <w:sz w:val="32"/>
          <w:szCs w:val="32"/>
          <w:lang w:val="en-US" w:eastAsia="zh-CN"/>
        </w:rPr>
        <w:t>1.92</w:t>
      </w:r>
      <w:r>
        <w:rPr>
          <w:rFonts w:hint="eastAsia" w:cs="黑体" w:asciiTheme="minorEastAsia" w:hAnsiTheme="minorEastAsia"/>
          <w:color w:val="000000"/>
          <w:kern w:val="0"/>
          <w:sz w:val="32"/>
          <w:szCs w:val="32"/>
        </w:rPr>
        <w:t>万元、公车运行费</w:t>
      </w:r>
      <w:r>
        <w:rPr>
          <w:rFonts w:hint="eastAsia" w:cs="黑体" w:asciiTheme="minorEastAsia" w:hAnsiTheme="minorEastAsia"/>
          <w:color w:val="000000"/>
          <w:kern w:val="0"/>
          <w:sz w:val="32"/>
          <w:szCs w:val="32"/>
          <w:lang w:val="en-US" w:eastAsia="zh-CN"/>
        </w:rPr>
        <w:t>1.29</w:t>
      </w:r>
      <w:r>
        <w:rPr>
          <w:rFonts w:hint="eastAsia" w:cs="黑体" w:asciiTheme="minorEastAsia" w:hAnsiTheme="minorEastAsia"/>
          <w:color w:val="000000"/>
          <w:kern w:val="0"/>
          <w:sz w:val="32"/>
          <w:szCs w:val="32"/>
        </w:rPr>
        <w:t>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三公”经费较好地控制在范围之内。</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1.2020年专项资金收入</w:t>
      </w:r>
      <w:r>
        <w:rPr>
          <w:rFonts w:hint="eastAsia" w:cs="黑体" w:asciiTheme="minorEastAsia" w:hAnsiTheme="minorEastAsia"/>
          <w:color w:val="000000"/>
          <w:kern w:val="0"/>
          <w:sz w:val="32"/>
          <w:szCs w:val="32"/>
          <w:lang w:val="en-US" w:eastAsia="zh-CN"/>
        </w:rPr>
        <w:t>317.69</w:t>
      </w:r>
      <w:r>
        <w:rPr>
          <w:rFonts w:hint="eastAsia" w:cs="黑体" w:asciiTheme="minorEastAsia" w:hAnsiTheme="minorEastAsia"/>
          <w:color w:val="000000"/>
          <w:kern w:val="0"/>
          <w:sz w:val="32"/>
          <w:szCs w:val="32"/>
        </w:rPr>
        <w:t>万元，做到全部按文件内容及上级要求用于专项建设。</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2.2020年项目支出</w:t>
      </w:r>
      <w:r>
        <w:rPr>
          <w:rFonts w:hint="eastAsia" w:cs="黑体" w:asciiTheme="minorEastAsia" w:hAnsiTheme="minorEastAsia"/>
          <w:color w:val="000000"/>
          <w:kern w:val="0"/>
          <w:sz w:val="32"/>
          <w:szCs w:val="32"/>
          <w:lang w:val="en-US" w:eastAsia="zh-CN"/>
        </w:rPr>
        <w:t>317.69</w:t>
      </w:r>
      <w:r>
        <w:rPr>
          <w:rFonts w:hint="eastAsia" w:cs="黑体" w:asciiTheme="minorEastAsia" w:hAnsiTheme="minorEastAsia"/>
          <w:color w:val="000000"/>
          <w:kern w:val="0"/>
          <w:sz w:val="32"/>
          <w:szCs w:val="32"/>
        </w:rPr>
        <w:t>万元，其中工资福利支出</w:t>
      </w:r>
      <w:r>
        <w:rPr>
          <w:rFonts w:hint="eastAsia" w:cs="黑体" w:asciiTheme="minorEastAsia" w:hAnsiTheme="minorEastAsia"/>
          <w:color w:val="000000"/>
          <w:kern w:val="0"/>
          <w:sz w:val="32"/>
          <w:szCs w:val="32"/>
          <w:lang w:val="en-US" w:eastAsia="zh-CN"/>
        </w:rPr>
        <w:t>1.35</w:t>
      </w:r>
      <w:r>
        <w:rPr>
          <w:rFonts w:hint="eastAsia" w:cs="黑体" w:asciiTheme="minorEastAsia" w:hAnsiTheme="minorEastAsia"/>
          <w:color w:val="000000"/>
          <w:kern w:val="0"/>
          <w:sz w:val="32"/>
          <w:szCs w:val="32"/>
        </w:rPr>
        <w:t>万元；商品和服务支出</w:t>
      </w:r>
      <w:r>
        <w:rPr>
          <w:rFonts w:hint="eastAsia" w:cs="黑体" w:asciiTheme="minorEastAsia" w:hAnsiTheme="minorEastAsia"/>
          <w:color w:val="000000"/>
          <w:kern w:val="0"/>
          <w:sz w:val="32"/>
          <w:szCs w:val="32"/>
          <w:lang w:val="en-US" w:eastAsia="zh-CN"/>
        </w:rPr>
        <w:t>23.84</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对个人和家庭的补助</w:t>
      </w:r>
      <w:r>
        <w:rPr>
          <w:rFonts w:hint="eastAsia" w:cs="黑体" w:asciiTheme="minorEastAsia" w:hAnsiTheme="minorEastAsia"/>
          <w:color w:val="000000"/>
          <w:kern w:val="0"/>
          <w:sz w:val="32"/>
          <w:szCs w:val="32"/>
          <w:lang w:val="en-US" w:eastAsia="zh-CN"/>
        </w:rPr>
        <w:t>10.72万元；</w:t>
      </w:r>
      <w:r>
        <w:rPr>
          <w:rFonts w:hint="eastAsia" w:cs="黑体" w:asciiTheme="minorEastAsia" w:hAnsiTheme="minorEastAsia"/>
          <w:color w:val="000000"/>
          <w:kern w:val="0"/>
          <w:sz w:val="32"/>
          <w:szCs w:val="32"/>
        </w:rPr>
        <w:t>基础设施建设支出</w:t>
      </w:r>
      <w:r>
        <w:rPr>
          <w:rFonts w:hint="eastAsia" w:cs="黑体" w:asciiTheme="minorEastAsia" w:hAnsiTheme="minorEastAsia"/>
          <w:color w:val="000000"/>
          <w:kern w:val="0"/>
          <w:sz w:val="32"/>
          <w:szCs w:val="32"/>
          <w:lang w:val="en-US" w:eastAsia="zh-CN"/>
        </w:rPr>
        <w:t>281.78</w:t>
      </w:r>
      <w:r>
        <w:rPr>
          <w:rFonts w:hint="eastAsia" w:cs="黑体" w:asciiTheme="minorEastAsia" w:hAnsiTheme="minorEastAsia"/>
          <w:color w:val="000000"/>
          <w:kern w:val="0"/>
          <w:sz w:val="32"/>
          <w:szCs w:val="32"/>
        </w:rPr>
        <w:t>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3.我</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为严格把控专项资金流入及使用，对项目资金实行专人专账管理。确保资金的“三不一同”，即“不乱用，不借用，不挪用”，“资金与项目内容同步”。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三、部门专项组织实施情况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专项资金实行专人专账管理。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（一）专人管理：设立专项资金管理小组，专项资金严格按照审批流程进行报账。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（二）专账管理：专项资金设立专门账套，核算资金的流入流出。实行序时日记账，定期与银行对账，确保资金使用无误。</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四、资产管理情况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2020年有固定资产</w:t>
      </w:r>
      <w:r>
        <w:rPr>
          <w:rFonts w:hint="eastAsia" w:cs="黑体" w:asciiTheme="minorEastAsia" w:hAnsiTheme="minorEastAsia"/>
          <w:color w:val="000000"/>
          <w:kern w:val="0"/>
          <w:sz w:val="32"/>
          <w:szCs w:val="32"/>
          <w:lang w:val="en-US" w:eastAsia="zh-CN"/>
        </w:rPr>
        <w:t>229.45</w:t>
      </w:r>
      <w:r>
        <w:rPr>
          <w:rFonts w:hint="eastAsia" w:cs="黑体" w:asciiTheme="minorEastAsia" w:hAnsiTheme="minorEastAsia"/>
          <w:color w:val="000000"/>
          <w:kern w:val="0"/>
          <w:sz w:val="32"/>
          <w:szCs w:val="32"/>
        </w:rPr>
        <w:t>万元，包括房屋、车辆、空调，打印机、办公桌椅、文件柜等。对于我</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的固定资产分类造册、实行分类别分部门落实到人，从而确保固定资产不流失。2020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五、部门整体支出绩效情况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2020年，我</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积极履职，强化管理，较好的完成了年度工作目标。通过加强预算收支管理，不断建立健全内部管理制度，梳理内部管理流程，整体支出管理水平得到提升；各项绩效指标均达到了预期效果。</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六、当前工作存在的问题</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1.因业务水平有限，年初预算的编制支出类别上理解不够，比如基本支出和项目支出，在日常业务操作时容易出错。</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2.预决算项目支出编制需进一步明确、精细化。同时项目执行率需进一步提高。</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七、改进措施和建议</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1、细化预算编制工作，认真做好预算的编制。进一步加强内设机构的预算管理意识，严格按照预算编制的相关制度和要求进行预算编制。</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4、对相关人员加强培训，特别是针对《预算法》、《行政事业单位会计制度》等学习培训，规范部门预算收支核算，切实提高部门预算收支管理水平。</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A2CB47"/>
    <w:multiLevelType w:val="singleLevel"/>
    <w:tmpl w:val="48A2CB47"/>
    <w:lvl w:ilvl="0" w:tentative="0">
      <w:start w:val="2"/>
      <w:numFmt w:val="chineseCounting"/>
      <w:suff w:val="nothing"/>
      <w:lvlText w:val="（%1）"/>
      <w:lvlJc w:val="left"/>
      <w:rPr>
        <w:rFonts w:hint="eastAsia"/>
      </w:rPr>
    </w:lvl>
  </w:abstractNum>
  <w:abstractNum w:abstractNumId="2">
    <w:nsid w:val="50A311BD"/>
    <w:multiLevelType w:val="singleLevel"/>
    <w:tmpl w:val="50A311B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43757"/>
    <w:rsid w:val="00055DAA"/>
    <w:rsid w:val="00061F7B"/>
    <w:rsid w:val="000658A3"/>
    <w:rsid w:val="000661A0"/>
    <w:rsid w:val="00074155"/>
    <w:rsid w:val="000A3F69"/>
    <w:rsid w:val="000B584B"/>
    <w:rsid w:val="000F257F"/>
    <w:rsid w:val="00103957"/>
    <w:rsid w:val="0010751C"/>
    <w:rsid w:val="001416CA"/>
    <w:rsid w:val="00152C6D"/>
    <w:rsid w:val="00162D39"/>
    <w:rsid w:val="001656B4"/>
    <w:rsid w:val="001678BD"/>
    <w:rsid w:val="00183637"/>
    <w:rsid w:val="001A67DB"/>
    <w:rsid w:val="001C3C29"/>
    <w:rsid w:val="001D51E5"/>
    <w:rsid w:val="001E080D"/>
    <w:rsid w:val="001E306A"/>
    <w:rsid w:val="001E53D0"/>
    <w:rsid w:val="001E5525"/>
    <w:rsid w:val="001F0C3B"/>
    <w:rsid w:val="00202C82"/>
    <w:rsid w:val="00214427"/>
    <w:rsid w:val="00226CB7"/>
    <w:rsid w:val="00264552"/>
    <w:rsid w:val="00264EF9"/>
    <w:rsid w:val="00265724"/>
    <w:rsid w:val="0027426B"/>
    <w:rsid w:val="00294428"/>
    <w:rsid w:val="002C17D3"/>
    <w:rsid w:val="002D0B5D"/>
    <w:rsid w:val="002D3EB9"/>
    <w:rsid w:val="002E0A30"/>
    <w:rsid w:val="003130C4"/>
    <w:rsid w:val="00314B3A"/>
    <w:rsid w:val="00316C4B"/>
    <w:rsid w:val="0032192B"/>
    <w:rsid w:val="003479BD"/>
    <w:rsid w:val="0037197D"/>
    <w:rsid w:val="003768D5"/>
    <w:rsid w:val="00393AE6"/>
    <w:rsid w:val="003A5BA0"/>
    <w:rsid w:val="003B4736"/>
    <w:rsid w:val="003C47E6"/>
    <w:rsid w:val="003C4FC2"/>
    <w:rsid w:val="00416E61"/>
    <w:rsid w:val="00421FD8"/>
    <w:rsid w:val="0042790C"/>
    <w:rsid w:val="0043516F"/>
    <w:rsid w:val="004506F9"/>
    <w:rsid w:val="004717A2"/>
    <w:rsid w:val="00473DF3"/>
    <w:rsid w:val="00480487"/>
    <w:rsid w:val="00487911"/>
    <w:rsid w:val="00491741"/>
    <w:rsid w:val="004C6C8F"/>
    <w:rsid w:val="00500E5F"/>
    <w:rsid w:val="005122EF"/>
    <w:rsid w:val="0051441A"/>
    <w:rsid w:val="00517C33"/>
    <w:rsid w:val="0052219A"/>
    <w:rsid w:val="00523644"/>
    <w:rsid w:val="0054069E"/>
    <w:rsid w:val="00544866"/>
    <w:rsid w:val="005546CA"/>
    <w:rsid w:val="00560EA8"/>
    <w:rsid w:val="00562914"/>
    <w:rsid w:val="005672C7"/>
    <w:rsid w:val="005767CC"/>
    <w:rsid w:val="00590D9F"/>
    <w:rsid w:val="00595D26"/>
    <w:rsid w:val="005A74E6"/>
    <w:rsid w:val="005B404E"/>
    <w:rsid w:val="005D4D55"/>
    <w:rsid w:val="005D7349"/>
    <w:rsid w:val="005E2CFB"/>
    <w:rsid w:val="005F3D1C"/>
    <w:rsid w:val="00611584"/>
    <w:rsid w:val="00616EB8"/>
    <w:rsid w:val="0062378F"/>
    <w:rsid w:val="00641842"/>
    <w:rsid w:val="00651EEC"/>
    <w:rsid w:val="00664A56"/>
    <w:rsid w:val="00691E8C"/>
    <w:rsid w:val="006A22C4"/>
    <w:rsid w:val="006A351B"/>
    <w:rsid w:val="006B0422"/>
    <w:rsid w:val="006C1B53"/>
    <w:rsid w:val="006D7730"/>
    <w:rsid w:val="006E5284"/>
    <w:rsid w:val="006F3EB5"/>
    <w:rsid w:val="00702E34"/>
    <w:rsid w:val="00704395"/>
    <w:rsid w:val="00706BB0"/>
    <w:rsid w:val="00717621"/>
    <w:rsid w:val="00720FF1"/>
    <w:rsid w:val="00727A53"/>
    <w:rsid w:val="00754F93"/>
    <w:rsid w:val="007645FD"/>
    <w:rsid w:val="00787B42"/>
    <w:rsid w:val="007919EE"/>
    <w:rsid w:val="007C4539"/>
    <w:rsid w:val="007D6CF3"/>
    <w:rsid w:val="007D6E1A"/>
    <w:rsid w:val="007F3657"/>
    <w:rsid w:val="00812ED5"/>
    <w:rsid w:val="008277D9"/>
    <w:rsid w:val="0083616A"/>
    <w:rsid w:val="00836A6B"/>
    <w:rsid w:val="00841A30"/>
    <w:rsid w:val="0084478C"/>
    <w:rsid w:val="0086638C"/>
    <w:rsid w:val="008A3E8D"/>
    <w:rsid w:val="009237C4"/>
    <w:rsid w:val="00944C48"/>
    <w:rsid w:val="00950252"/>
    <w:rsid w:val="00967F5D"/>
    <w:rsid w:val="009868E8"/>
    <w:rsid w:val="00987DEE"/>
    <w:rsid w:val="009962B4"/>
    <w:rsid w:val="009A0F95"/>
    <w:rsid w:val="009B3ADF"/>
    <w:rsid w:val="009C3B52"/>
    <w:rsid w:val="009E6817"/>
    <w:rsid w:val="009E6E9A"/>
    <w:rsid w:val="00A01D2B"/>
    <w:rsid w:val="00A42218"/>
    <w:rsid w:val="00A70249"/>
    <w:rsid w:val="00A70B02"/>
    <w:rsid w:val="00A71D9F"/>
    <w:rsid w:val="00A92E9F"/>
    <w:rsid w:val="00AC2798"/>
    <w:rsid w:val="00AF4095"/>
    <w:rsid w:val="00B07DDA"/>
    <w:rsid w:val="00B10FAA"/>
    <w:rsid w:val="00B33BEA"/>
    <w:rsid w:val="00B57C9F"/>
    <w:rsid w:val="00B61DB4"/>
    <w:rsid w:val="00B63572"/>
    <w:rsid w:val="00B63916"/>
    <w:rsid w:val="00B72DB4"/>
    <w:rsid w:val="00B845B3"/>
    <w:rsid w:val="00B85D8B"/>
    <w:rsid w:val="00B95B7D"/>
    <w:rsid w:val="00BB4A40"/>
    <w:rsid w:val="00BC11B1"/>
    <w:rsid w:val="00BD6C3E"/>
    <w:rsid w:val="00BE3674"/>
    <w:rsid w:val="00C10681"/>
    <w:rsid w:val="00C3049A"/>
    <w:rsid w:val="00C31B1E"/>
    <w:rsid w:val="00C35BED"/>
    <w:rsid w:val="00C40871"/>
    <w:rsid w:val="00C64881"/>
    <w:rsid w:val="00C77645"/>
    <w:rsid w:val="00CB5F87"/>
    <w:rsid w:val="00CD1CCF"/>
    <w:rsid w:val="00CE04C3"/>
    <w:rsid w:val="00CE76A0"/>
    <w:rsid w:val="00D148C6"/>
    <w:rsid w:val="00D17A8A"/>
    <w:rsid w:val="00D415BA"/>
    <w:rsid w:val="00D644EE"/>
    <w:rsid w:val="00DD06FF"/>
    <w:rsid w:val="00DD5FE9"/>
    <w:rsid w:val="00E00C7A"/>
    <w:rsid w:val="00E37D6C"/>
    <w:rsid w:val="00E55B68"/>
    <w:rsid w:val="00E67BE6"/>
    <w:rsid w:val="00E8683C"/>
    <w:rsid w:val="00EA2B72"/>
    <w:rsid w:val="00EC722D"/>
    <w:rsid w:val="00F611CF"/>
    <w:rsid w:val="00F74360"/>
    <w:rsid w:val="00F82B42"/>
    <w:rsid w:val="00FB462F"/>
    <w:rsid w:val="00FC1B5C"/>
    <w:rsid w:val="00FE16FA"/>
    <w:rsid w:val="00FE328A"/>
    <w:rsid w:val="00FE6269"/>
    <w:rsid w:val="00FE6D09"/>
    <w:rsid w:val="08CC2E40"/>
    <w:rsid w:val="0959628D"/>
    <w:rsid w:val="0BA55409"/>
    <w:rsid w:val="0C263A5C"/>
    <w:rsid w:val="2593391F"/>
    <w:rsid w:val="27F20090"/>
    <w:rsid w:val="4060146E"/>
    <w:rsid w:val="63595C2F"/>
    <w:rsid w:val="6635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3F5F9-8327-4A2C-BE01-300F8757DB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3680</Words>
  <Characters>20976</Characters>
  <Lines>174</Lines>
  <Paragraphs>49</Paragraphs>
  <TotalTime>36</TotalTime>
  <ScaleCrop>false</ScaleCrop>
  <LinksUpToDate>false</LinksUpToDate>
  <CharactersWithSpaces>24607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2021-11-02T11:02:56Z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B326189D443145A59A47555AB6E6C1F9</vt:lpwstr>
  </property>
</Properties>
</file>