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EFED6">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44"/>
          <w:szCs w:val="32"/>
          <w:lang w:bidi="ar"/>
        </w:rPr>
      </w:pPr>
      <w:bookmarkStart w:id="0" w:name="_GoBack"/>
      <w:bookmarkEnd w:id="0"/>
      <w:r>
        <w:rPr>
          <w:rFonts w:hint="default" w:ascii="Times New Roman" w:hAnsi="Times New Roman" w:eastAsia="方正小标宋简体" w:cs="Times New Roman"/>
          <w:color w:val="auto"/>
          <w:kern w:val="0"/>
          <w:sz w:val="44"/>
          <w:szCs w:val="32"/>
          <w:lang w:bidi="ar"/>
        </w:rPr>
        <w:t>北斗溪镇2025年度政府工作报告</w:t>
      </w:r>
    </w:p>
    <w:p w14:paraId="6638F12D">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44"/>
          <w:szCs w:val="32"/>
          <w:lang w:bidi="ar"/>
        </w:rPr>
      </w:pPr>
    </w:p>
    <w:p w14:paraId="1C05C1CE">
      <w:pPr>
        <w:keepNext w:val="0"/>
        <w:keepLines w:val="0"/>
        <w:pageBreakBefore w:val="0"/>
        <w:widowControl/>
        <w:kinsoku/>
        <w:wordWrap/>
        <w:overflowPunct/>
        <w:topLinePunct w:val="0"/>
        <w:autoSpaceDE/>
        <w:autoSpaceDN/>
        <w:bidi w:val="0"/>
        <w:spacing w:line="560" w:lineRule="exact"/>
        <w:jc w:val="center"/>
        <w:textAlignment w:val="auto"/>
        <w:rPr>
          <w:rFonts w:hint="eastAsia"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北斗溪镇人民政府</w:t>
      </w:r>
    </w:p>
    <w:p w14:paraId="4FDE0379">
      <w:pPr>
        <w:keepNext w:val="0"/>
        <w:keepLines w:val="0"/>
        <w:pageBreakBefore w:val="0"/>
        <w:widowControl/>
        <w:kinsoku/>
        <w:wordWrap/>
        <w:overflowPunct/>
        <w:topLinePunct w:val="0"/>
        <w:autoSpaceDE/>
        <w:autoSpaceDN/>
        <w:bidi w:val="0"/>
        <w:spacing w:line="560" w:lineRule="exact"/>
        <w:jc w:val="center"/>
        <w:textAlignment w:val="auto"/>
        <w:rPr>
          <w:rFonts w:hint="eastAsia"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（202</w:t>
      </w:r>
      <w:r>
        <w:rPr>
          <w:rFonts w:hint="eastAsia" w:ascii="楷体_GB2312" w:hAnsi="楷体_GB2312" w:eastAsia="楷体_GB2312" w:cs="楷体_GB2312"/>
          <w:color w:val="auto"/>
          <w:kern w:val="0"/>
          <w:sz w:val="32"/>
          <w:szCs w:val="32"/>
          <w:lang w:val="en-US" w:eastAsia="zh-CN" w:bidi="ar"/>
        </w:rPr>
        <w:t>5</w:t>
      </w:r>
      <w:r>
        <w:rPr>
          <w:rFonts w:hint="eastAsia" w:ascii="楷体_GB2312" w:hAnsi="楷体_GB2312" w:eastAsia="楷体_GB2312" w:cs="楷体_GB2312"/>
          <w:color w:val="auto"/>
          <w:kern w:val="0"/>
          <w:sz w:val="32"/>
          <w:szCs w:val="32"/>
          <w:lang w:bidi="ar"/>
        </w:rPr>
        <w:t>年</w:t>
      </w:r>
      <w:r>
        <w:rPr>
          <w:rFonts w:hint="eastAsia" w:ascii="楷体_GB2312" w:hAnsi="楷体_GB2312" w:eastAsia="楷体_GB2312" w:cs="楷体_GB2312"/>
          <w:color w:val="auto"/>
          <w:kern w:val="0"/>
          <w:sz w:val="32"/>
          <w:szCs w:val="32"/>
          <w:lang w:val="en-US" w:eastAsia="zh-CN" w:bidi="ar"/>
        </w:rPr>
        <w:t>10</w:t>
      </w:r>
      <w:r>
        <w:rPr>
          <w:rFonts w:hint="eastAsia" w:ascii="楷体_GB2312" w:hAnsi="楷体_GB2312" w:eastAsia="楷体_GB2312" w:cs="楷体_GB2312"/>
          <w:color w:val="auto"/>
          <w:kern w:val="0"/>
          <w:sz w:val="32"/>
          <w:szCs w:val="32"/>
          <w:lang w:bidi="ar"/>
        </w:rPr>
        <w:t>月）</w:t>
      </w:r>
    </w:p>
    <w:p w14:paraId="14AA5C3A">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44"/>
          <w:szCs w:val="32"/>
          <w:lang w:bidi="ar"/>
        </w:rPr>
      </w:pPr>
    </w:p>
    <w:p w14:paraId="524CCF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过去的一年，是我镇发展历程中承压奋进、硕果累累的一年。面对复杂严峻的外部环境和改革发展的繁重任务，全镇上下在县委、县政府和镇党委的坚强领导下，坚持以习近平新时代中国特色社会主义思想为指导，深入贯彻党的二十大及系列全会精神，紧紧围绕“党建示范强镇、产旅融合重镇、生态和谐绿镇、休闲旅游名镇”总体目标，凝心聚力，攻坚克难，推动经济社会各项事业取得新进展、新成效，为迈向高质量发展新征程奠定了坚实基础。北斗溪镇被评选为“第七届全国文明村镇”。现将2025年工作完成情况和2026年工作打算汇报如下：</w:t>
      </w:r>
    </w:p>
    <w:p w14:paraId="22E04A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一、2025年工作完成情况</w:t>
      </w:r>
    </w:p>
    <w:p w14:paraId="5F2370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（一）工作开展情况</w:t>
      </w:r>
    </w:p>
    <w:p w14:paraId="2B52C94F">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eastAsia="zh-CN" w:bidi="ar"/>
        </w:rPr>
      </w:pPr>
      <w:r>
        <w:rPr>
          <w:rFonts w:hint="eastAsia" w:ascii="楷体_GB2312" w:hAnsi="楷体_GB2312" w:eastAsia="楷体_GB2312" w:cs="楷体_GB2312"/>
          <w:b/>
          <w:bCs/>
          <w:color w:val="auto"/>
          <w:kern w:val="0"/>
          <w:sz w:val="32"/>
          <w:szCs w:val="32"/>
          <w:lang w:bidi="ar"/>
        </w:rPr>
        <w:t>------政府自身建设全面加强，治理能力现代化水平提高。</w:t>
      </w:r>
      <w:r>
        <w:rPr>
          <w:rFonts w:hint="eastAsia" w:ascii="仿宋_GB2312" w:hAnsi="仿宋_GB2312" w:eastAsia="仿宋_GB2312" w:cs="仿宋_GB2312"/>
          <w:b/>
          <w:bCs/>
          <w:color w:val="auto"/>
          <w:kern w:val="0"/>
          <w:sz w:val="32"/>
          <w:szCs w:val="32"/>
          <w:lang w:bidi="ar"/>
        </w:rPr>
        <w:t>一是旗帜鲜明讲政治。</w:t>
      </w:r>
      <w:r>
        <w:rPr>
          <w:rFonts w:hint="eastAsia" w:ascii="仿宋_GB2312" w:hAnsi="仿宋_GB2312" w:eastAsia="仿宋_GB2312" w:cs="仿宋_GB2312"/>
          <w:color w:val="auto"/>
          <w:kern w:val="0"/>
          <w:sz w:val="32"/>
          <w:szCs w:val="32"/>
          <w:lang w:bidi="ar"/>
        </w:rPr>
        <w:t>始终将党的政治建设摆在首位，严格落实“第一议题”制度，通过党委理论学习中心组、周一干部夜校等平台，组织深入学习党的创新理论和方针政策。全年组织各类学习活动42次，覆盖党员干部680余人次，参学率稳定在98%以上，确保思想统一、步调一致</w:t>
      </w:r>
      <w:r>
        <w:rPr>
          <w:rFonts w:hint="eastAsia" w:ascii="仿宋_GB2312" w:hAnsi="仿宋_GB2312" w:eastAsia="仿宋_GB2312" w:cs="仿宋_GB2312"/>
          <w:b/>
          <w:bCs/>
          <w:color w:val="auto"/>
          <w:kern w:val="0"/>
          <w:sz w:val="32"/>
          <w:szCs w:val="32"/>
          <w:lang w:bidi="ar"/>
        </w:rPr>
        <w:t>。二是创新方式抓学习。</w:t>
      </w:r>
      <w:r>
        <w:rPr>
          <w:rFonts w:hint="eastAsia" w:ascii="仿宋_GB2312" w:hAnsi="仿宋_GB2312" w:eastAsia="仿宋_GB2312" w:cs="仿宋_GB2312"/>
          <w:color w:val="auto"/>
          <w:kern w:val="0"/>
          <w:sz w:val="32"/>
          <w:szCs w:val="32"/>
          <w:lang w:bidi="ar"/>
        </w:rPr>
        <w:t>持续办好“青年干部学习小组”，依托“清华大学乡村振兴工作站”平台开展案例教学，形成高质量调研报告、心得体会10余篇，获中央及省级媒体推介。党建办编制“学习教育明白纸”，推动理论学习通俗化、常态化。</w:t>
      </w:r>
      <w:r>
        <w:rPr>
          <w:rFonts w:hint="eastAsia" w:ascii="仿宋_GB2312" w:hAnsi="仿宋_GB2312" w:eastAsia="仿宋_GB2312" w:cs="仿宋_GB2312"/>
          <w:b/>
          <w:bCs/>
          <w:color w:val="auto"/>
          <w:kern w:val="0"/>
          <w:sz w:val="32"/>
          <w:szCs w:val="32"/>
          <w:lang w:bidi="ar"/>
        </w:rPr>
        <w:t>三是强化教育浓氛围。</w:t>
      </w:r>
      <w:r>
        <w:rPr>
          <w:rFonts w:hint="eastAsia" w:ascii="仿宋_GB2312" w:hAnsi="仿宋_GB2312" w:eastAsia="仿宋_GB2312" w:cs="仿宋_GB2312"/>
          <w:color w:val="auto"/>
          <w:kern w:val="0"/>
          <w:sz w:val="32"/>
          <w:szCs w:val="32"/>
          <w:lang w:bidi="ar"/>
        </w:rPr>
        <w:t>结合新时代文明实践活动，广泛开展党的政策理论、乡村振兴、法治建设等宣讲，成功打造“红色教育基地”，组织党员开展志愿活动28次，送学上门30余次，营造了崇尚学习、实干担当的浓厚氛围。</w:t>
      </w:r>
      <w:r>
        <w:rPr>
          <w:rFonts w:hint="eastAsia" w:ascii="黑体" w:hAnsi="黑体" w:eastAsia="黑体" w:cs="黑体"/>
          <w:color w:val="auto"/>
          <w:kern w:val="0"/>
          <w:sz w:val="32"/>
          <w:szCs w:val="32"/>
          <w:lang w:bidi="ar"/>
        </w:rPr>
        <w:t>“北斗溪镇新时代文明实践所”成功入选第四批怀化市岗位学雷锋标兵。</w:t>
      </w:r>
      <w:r>
        <w:rPr>
          <w:rFonts w:hint="eastAsia" w:ascii="仿宋_GB2312" w:hAnsi="仿宋_GB2312" w:eastAsia="仿宋_GB2312" w:cs="仿宋_GB2312"/>
          <w:b/>
          <w:bCs/>
          <w:color w:val="auto"/>
          <w:kern w:val="0"/>
          <w:sz w:val="32"/>
          <w:szCs w:val="32"/>
          <w:lang w:bidi="ar"/>
        </w:rPr>
        <w:t>四是</w:t>
      </w:r>
      <w:r>
        <w:rPr>
          <w:rFonts w:hint="eastAsia" w:ascii="仿宋_GB2312" w:hAnsi="仿宋_GB2312" w:eastAsia="仿宋_GB2312" w:cs="仿宋_GB2312"/>
          <w:b/>
          <w:bCs/>
          <w:color w:val="auto"/>
          <w:kern w:val="0"/>
          <w:sz w:val="32"/>
          <w:szCs w:val="32"/>
          <w:lang w:val="en-US" w:eastAsia="zh-CN" w:bidi="ar"/>
        </w:rPr>
        <w:t>加强监督促</w:t>
      </w:r>
      <w:r>
        <w:rPr>
          <w:rFonts w:hint="eastAsia" w:ascii="仿宋_GB2312" w:hAnsi="仿宋_GB2312" w:eastAsia="仿宋_GB2312" w:cs="仿宋_GB2312"/>
          <w:b/>
          <w:bCs/>
          <w:color w:val="auto"/>
          <w:kern w:val="0"/>
          <w:sz w:val="32"/>
          <w:szCs w:val="32"/>
          <w:lang w:bidi="ar"/>
        </w:rPr>
        <w:t>实效。</w:t>
      </w:r>
      <w:r>
        <w:rPr>
          <w:rFonts w:hint="eastAsia" w:ascii="仿宋_GB2312" w:hAnsi="仿宋_GB2312" w:eastAsia="仿宋_GB2312" w:cs="仿宋_GB2312"/>
          <w:b w:val="0"/>
          <w:bCs w:val="0"/>
          <w:color w:val="auto"/>
          <w:kern w:val="0"/>
          <w:sz w:val="32"/>
          <w:szCs w:val="32"/>
          <w:lang w:bidi="ar"/>
        </w:rPr>
        <w:t>利用镇村两级会议的契机强化警示教育，学习传达上级公开的典型案例4次，特别是多次学习了中央八项规定及其实施细则精神方面的文件和违规吃喝典型案例，筑牢干部职工的思想防线。不定期</w:t>
      </w:r>
      <w:r>
        <w:rPr>
          <w:rFonts w:hint="eastAsia" w:ascii="仿宋_GB2312" w:hAnsi="仿宋_GB2312" w:eastAsia="仿宋_GB2312" w:cs="仿宋_GB2312"/>
          <w:b w:val="0"/>
          <w:bCs w:val="0"/>
          <w:color w:val="auto"/>
          <w:kern w:val="0"/>
          <w:sz w:val="32"/>
          <w:szCs w:val="32"/>
          <w:lang w:val="en-US" w:eastAsia="zh-CN" w:bidi="ar"/>
        </w:rPr>
        <w:t>进行</w:t>
      </w:r>
      <w:r>
        <w:rPr>
          <w:rFonts w:hint="eastAsia" w:ascii="仿宋_GB2312" w:hAnsi="仿宋_GB2312" w:eastAsia="仿宋_GB2312" w:cs="仿宋_GB2312"/>
          <w:b w:val="0"/>
          <w:bCs w:val="0"/>
          <w:color w:val="auto"/>
          <w:kern w:val="0"/>
          <w:sz w:val="32"/>
          <w:szCs w:val="32"/>
          <w:lang w:bidi="ar"/>
        </w:rPr>
        <w:t>暗访、督查</w:t>
      </w:r>
      <w:r>
        <w:rPr>
          <w:rFonts w:hint="eastAsia" w:ascii="仿宋_GB2312" w:hAnsi="仿宋_GB2312" w:eastAsia="仿宋_GB2312" w:cs="仿宋_GB2312"/>
          <w:b w:val="0"/>
          <w:bCs w:val="0"/>
          <w:color w:val="auto"/>
          <w:kern w:val="0"/>
          <w:sz w:val="32"/>
          <w:szCs w:val="32"/>
          <w:lang w:eastAsia="zh-CN" w:bidi="ar"/>
        </w:rPr>
        <w:t>，共暗访节假日“四风”问题5次，重点查处群众身边腐败问题，上半年共收到问题线索4件（省纪委转交的群众来信举报件1件，县纪委交办2件，群众来信一件,），已办结1件，办理中3件。</w:t>
      </w:r>
    </w:p>
    <w:p w14:paraId="7FD9757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bCs/>
          <w:color w:val="auto"/>
          <w:kern w:val="0"/>
          <w:sz w:val="32"/>
          <w:szCs w:val="32"/>
          <w:lang w:bidi="ar"/>
        </w:rPr>
        <w:t>------科技兴农</w:t>
      </w:r>
      <w:r>
        <w:rPr>
          <w:rFonts w:hint="eastAsia" w:ascii="楷体_GB2312" w:hAnsi="楷体_GB2312" w:eastAsia="楷体_GB2312" w:cs="楷体_GB2312"/>
          <w:b/>
          <w:bCs/>
          <w:color w:val="auto"/>
          <w:kern w:val="0"/>
          <w:sz w:val="32"/>
          <w:szCs w:val="32"/>
          <w:lang w:val="en-US" w:eastAsia="zh-CN" w:bidi="ar"/>
        </w:rPr>
        <w:t>举措</w:t>
      </w:r>
      <w:r>
        <w:rPr>
          <w:rFonts w:hint="eastAsia" w:ascii="楷体_GB2312" w:hAnsi="楷体_GB2312" w:eastAsia="楷体_GB2312" w:cs="楷体_GB2312"/>
          <w:b/>
          <w:bCs/>
          <w:color w:val="auto"/>
          <w:kern w:val="0"/>
          <w:sz w:val="32"/>
          <w:szCs w:val="32"/>
          <w:lang w:bidi="ar"/>
        </w:rPr>
        <w:t>成效显著，绿色发展底色持续擦亮。</w:t>
      </w:r>
      <w:r>
        <w:rPr>
          <w:rFonts w:hint="eastAsia" w:ascii="仿宋_GB2312" w:hAnsi="仿宋_GB2312" w:eastAsia="仿宋_GB2312" w:cs="仿宋_GB2312"/>
          <w:b/>
          <w:bCs/>
          <w:color w:val="auto"/>
          <w:kern w:val="0"/>
          <w:sz w:val="32"/>
          <w:szCs w:val="32"/>
          <w:lang w:bidi="ar"/>
        </w:rPr>
        <w:t>一是粮食安全根基持续夯实。</w:t>
      </w:r>
      <w:r>
        <w:rPr>
          <w:rFonts w:hint="eastAsia" w:ascii="仿宋_GB2312" w:hAnsi="仿宋_GB2312" w:eastAsia="仿宋_GB2312" w:cs="仿宋_GB2312"/>
          <w:color w:val="auto"/>
          <w:kern w:val="0"/>
          <w:sz w:val="32"/>
          <w:szCs w:val="32"/>
          <w:lang w:bidi="ar"/>
        </w:rPr>
        <w:t>全面完成耕地地力补贴发放工作，惠及农户3986户，补贴面积9349.05亩，发放资金106.58万元。扎实推进第二轮土地延包，完成4327户摸底核实和组级方案制定，稳定农户土地经营预期。大力推广粮油生产关键技术，实施大豆玉米带状复合种植150亩，完成油菜扩种2000亩，建设绿肥示范片200亩，粮食综合生产能力稳步提升。</w:t>
      </w:r>
      <w:r>
        <w:rPr>
          <w:rFonts w:hint="eastAsia" w:ascii="仿宋_GB2312" w:hAnsi="仿宋_GB2312" w:eastAsia="仿宋_GB2312" w:cs="仿宋_GB2312"/>
          <w:b/>
          <w:bCs/>
          <w:color w:val="auto"/>
          <w:kern w:val="0"/>
          <w:sz w:val="32"/>
          <w:szCs w:val="32"/>
          <w:lang w:bidi="ar"/>
        </w:rPr>
        <w:t>二是特色产业体系加快构建。</w:t>
      </w:r>
      <w:r>
        <w:rPr>
          <w:rFonts w:hint="eastAsia" w:ascii="仿宋_GB2312" w:hAnsi="仿宋_GB2312" w:eastAsia="仿宋_GB2312" w:cs="仿宋_GB2312"/>
          <w:color w:val="auto"/>
          <w:kern w:val="0"/>
          <w:sz w:val="32"/>
          <w:szCs w:val="32"/>
          <w:lang w:bidi="ar"/>
        </w:rPr>
        <w:t>聚焦本土资源优势，完善6个家庭农场信息，培育新型农业经营主体。积极发展中药材特色产业，完成木姜叶柯产业路建设500米，推动农天柱冷库建设448立方米，坪溪村制种加工厂房项目顺利落地，产业链条持续延伸，农业附加值显著增强。</w:t>
      </w:r>
      <w:r>
        <w:rPr>
          <w:rFonts w:hint="eastAsia" w:ascii="仿宋_GB2312" w:hAnsi="仿宋_GB2312" w:eastAsia="仿宋_GB2312" w:cs="仿宋_GB2312"/>
          <w:b/>
          <w:bCs/>
          <w:color w:val="auto"/>
          <w:kern w:val="0"/>
          <w:sz w:val="32"/>
          <w:szCs w:val="32"/>
          <w:lang w:bidi="ar"/>
        </w:rPr>
        <w:t>三是科技兴农成效显著转化。</w:t>
      </w:r>
      <w:r>
        <w:rPr>
          <w:rFonts w:hint="eastAsia" w:ascii="仿宋_GB2312" w:hAnsi="仿宋_GB2312" w:eastAsia="仿宋_GB2312" w:cs="仿宋_GB2312"/>
          <w:color w:val="auto"/>
          <w:kern w:val="0"/>
          <w:sz w:val="32"/>
          <w:szCs w:val="32"/>
          <w:lang w:bidi="ar"/>
        </w:rPr>
        <w:t>加强农业科技推广服务，选派农技骨干担任科技示范户技术指导员，组织12名农民参加高素质农民培训，提升农业从业人员技能水平。创新推行“农业科技示范主体+农户”模式，推动农业科技成果精准落地，为农业现代化注入新动</w:t>
      </w:r>
      <w:r>
        <w:rPr>
          <w:rFonts w:hint="eastAsia" w:ascii="仿宋_GB2312" w:hAnsi="仿宋_GB2312" w:eastAsia="仿宋_GB2312" w:cs="仿宋_GB2312"/>
          <w:color w:val="auto"/>
          <w:kern w:val="0"/>
          <w:sz w:val="32"/>
          <w:szCs w:val="32"/>
          <w:lang w:val="en-US" w:eastAsia="zh-CN" w:bidi="ar"/>
        </w:rPr>
        <w:t>能</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b/>
          <w:bCs/>
          <w:color w:val="auto"/>
          <w:kern w:val="0"/>
          <w:sz w:val="32"/>
          <w:szCs w:val="32"/>
          <w:lang w:val="en-US" w:eastAsia="zh-CN" w:bidi="ar"/>
        </w:rPr>
        <w:t>四是</w:t>
      </w:r>
      <w:r>
        <w:rPr>
          <w:rFonts w:hint="eastAsia" w:ascii="仿宋_GB2312" w:hAnsi="仿宋_GB2312" w:eastAsia="仿宋_GB2312" w:cs="仿宋_GB2312"/>
          <w:b/>
          <w:bCs/>
          <w:spacing w:val="7"/>
          <w:sz w:val="32"/>
          <w:szCs w:val="32"/>
          <w:shd w:val="clear" w:color="auto" w:fill="FFFFFF"/>
        </w:rPr>
        <w:t>林业</w:t>
      </w:r>
      <w:r>
        <w:rPr>
          <w:rFonts w:hint="eastAsia" w:ascii="Times New Roman" w:hAnsi="Times New Roman" w:eastAsia="仿宋_GB2312"/>
          <w:b/>
          <w:spacing w:val="7"/>
          <w:sz w:val="32"/>
          <w:szCs w:val="32"/>
          <w:shd w:val="clear" w:color="auto" w:fill="FFFFFF"/>
        </w:rPr>
        <w:t>资源管护</w:t>
      </w:r>
      <w:r>
        <w:rPr>
          <w:rFonts w:hint="default" w:ascii="Times New Roman" w:hAnsi="Times New Roman" w:eastAsia="仿宋_GB2312" w:cs="Times New Roman"/>
          <w:b/>
          <w:bCs/>
          <w:spacing w:val="7"/>
          <w:sz w:val="32"/>
          <w:szCs w:val="32"/>
          <w:shd w:val="clear" w:color="auto" w:fill="FFFFFF"/>
          <w:lang w:val="en-US" w:eastAsia="zh-CN"/>
        </w:rPr>
        <w:t>持续加强</w:t>
      </w:r>
      <w:r>
        <w:rPr>
          <w:rFonts w:hint="eastAsia" w:ascii="Times New Roman" w:hAnsi="Times New Roman" w:eastAsia="仿宋_GB2312" w:cs="Times New Roman"/>
          <w:b/>
          <w:bCs/>
          <w:spacing w:val="7"/>
          <w:sz w:val="32"/>
          <w:szCs w:val="32"/>
          <w:shd w:val="clear" w:color="auto" w:fill="FFFFFF"/>
          <w:lang w:val="en-US" w:eastAsia="zh-CN"/>
        </w:rPr>
        <w:t>。</w:t>
      </w:r>
      <w:r>
        <w:rPr>
          <w:rFonts w:hint="eastAsia" w:ascii="仿宋_GB2312" w:hAnsi="仿宋_GB2312" w:eastAsia="仿宋_GB2312" w:cs="仿宋_GB2312"/>
          <w:b w:val="0"/>
          <w:bCs w:val="0"/>
          <w:spacing w:val="7"/>
          <w:sz w:val="32"/>
          <w:szCs w:val="32"/>
          <w:shd w:val="clear" w:color="auto" w:fill="FFFFFF"/>
          <w:lang w:val="en-US" w:eastAsia="zh-CN"/>
        </w:rPr>
        <w:t>全覆盖开展"131"机制演练，清理林地可燃物10余公里。悬挂宣传横幅40余幅，发放宣传手册2000余份，出动宣传车40余次，设立森立防火特护期卡口42个，开展巡查超过4000余人次，狠抓森林防火安全。完成天然林和公益林补贴发放9.55万亩，松毛虫防治面积3000余亩，森林资源质量持续提升。协调处置林地纠纷5起（含线路砍青），并解决历史遗留林地纠纷问题2起，保障群众利益和发展稳定。</w:t>
      </w:r>
    </w:p>
    <w:p w14:paraId="7C3FCF5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b/>
          <w:bCs/>
          <w:color w:val="auto"/>
          <w:kern w:val="0"/>
          <w:sz w:val="32"/>
          <w:szCs w:val="32"/>
          <w:lang w:bidi="ar"/>
        </w:rPr>
        <w:t>------乡村振兴战略扎实推进，经济发展基础更加稳固。</w:t>
      </w:r>
      <w:r>
        <w:rPr>
          <w:rFonts w:hint="eastAsia" w:ascii="仿宋_GB2312" w:hAnsi="仿宋_GB2312" w:eastAsia="仿宋_GB2312" w:cs="仿宋_GB2312"/>
          <w:b/>
          <w:bCs/>
          <w:color w:val="auto"/>
          <w:kern w:val="0"/>
          <w:sz w:val="32"/>
          <w:szCs w:val="32"/>
          <w:lang w:bidi="ar"/>
        </w:rPr>
        <w:t>一是经济运行稳中有进。</w:t>
      </w:r>
      <w:r>
        <w:rPr>
          <w:rFonts w:hint="eastAsia" w:ascii="仿宋_GB2312" w:hAnsi="仿宋_GB2312" w:eastAsia="仿宋_GB2312" w:cs="仿宋_GB2312"/>
          <w:b w:val="0"/>
          <w:bCs w:val="0"/>
          <w:color w:val="auto"/>
          <w:kern w:val="0"/>
          <w:sz w:val="32"/>
          <w:szCs w:val="32"/>
          <w:lang w:bidi="ar"/>
        </w:rPr>
        <w:t>提前完成全年招商引资任务，获县商务局高度评价。积极推动“四跟四走”产业项目处置和村级集体经济项目续签运营，松林红薯粉厂成功申报县级龙头企业。成功申报和实施中药材产业路、冷库建设、制种加工厂房等一批产业项目，发展后劲不断增强。</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bCs/>
          <w:color w:val="auto"/>
          <w:kern w:val="0"/>
          <w:sz w:val="32"/>
          <w:szCs w:val="32"/>
          <w:lang w:bidi="ar"/>
        </w:rPr>
        <w:t>防返贫底线牢牢守住。</w:t>
      </w:r>
      <w:r>
        <w:rPr>
          <w:rFonts w:hint="eastAsia" w:ascii="仿宋_GB2312" w:hAnsi="仿宋_GB2312" w:eastAsia="仿宋_GB2312" w:cs="仿宋_GB2312"/>
          <w:color w:val="auto"/>
          <w:kern w:val="0"/>
          <w:sz w:val="32"/>
          <w:szCs w:val="32"/>
          <w:lang w:bidi="ar"/>
        </w:rPr>
        <w:t>建立“问题清零、动态监测”全链条工作机制，整改问题2564条，规范评议监测对象32户92人。完成驻村工作队轮换，组织村级互检，确保帮扶不断档。</w:t>
      </w:r>
      <w:r>
        <w:rPr>
          <w:rFonts w:hint="eastAsia" w:ascii="仿宋_GB2312" w:hAnsi="仿宋_GB2312" w:eastAsia="仿宋_GB2312" w:cs="仿宋_GB2312"/>
          <w:b/>
          <w:bCs/>
          <w:color w:val="auto"/>
          <w:kern w:val="0"/>
          <w:sz w:val="32"/>
          <w:szCs w:val="32"/>
          <w:lang w:val="en-US" w:eastAsia="zh-CN" w:bidi="ar"/>
        </w:rPr>
        <w:t>三</w:t>
      </w:r>
      <w:r>
        <w:rPr>
          <w:rFonts w:hint="eastAsia" w:ascii="仿宋_GB2312" w:hAnsi="仿宋_GB2312" w:eastAsia="仿宋_GB2312" w:cs="仿宋_GB2312"/>
          <w:b/>
          <w:bCs/>
          <w:color w:val="auto"/>
          <w:kern w:val="0"/>
          <w:sz w:val="32"/>
          <w:szCs w:val="32"/>
          <w:lang w:bidi="ar"/>
        </w:rPr>
        <w:t>是人才支撑更加有力。</w:t>
      </w:r>
      <w:r>
        <w:rPr>
          <w:rFonts w:hint="eastAsia" w:ascii="仿宋_GB2312" w:hAnsi="仿宋_GB2312" w:eastAsia="仿宋_GB2312" w:cs="仿宋_GB2312"/>
          <w:color w:val="auto"/>
          <w:kern w:val="0"/>
          <w:sz w:val="32"/>
          <w:szCs w:val="32"/>
          <w:lang w:bidi="ar"/>
        </w:rPr>
        <w:t>构建“精准挖掘、动态跟踪”人才工作机制，建立涵盖126名各类人才的信息台账。依托清华大学乡村振兴工作站，深化校地合作，推动实践成果转化。</w:t>
      </w:r>
      <w:r>
        <w:rPr>
          <w:rFonts w:hint="eastAsia" w:ascii="仿宋_GB2312" w:hAnsi="仿宋_GB2312" w:eastAsia="仿宋_GB2312" w:cs="仿宋_GB2312"/>
          <w:b/>
          <w:bCs/>
          <w:color w:val="auto"/>
          <w:kern w:val="0"/>
          <w:sz w:val="32"/>
          <w:szCs w:val="32"/>
          <w:lang w:val="en-US" w:eastAsia="zh-CN" w:bidi="ar"/>
        </w:rPr>
        <w:t>四</w:t>
      </w:r>
      <w:r>
        <w:rPr>
          <w:rFonts w:hint="eastAsia" w:ascii="仿宋_GB2312" w:hAnsi="仿宋_GB2312" w:eastAsia="仿宋_GB2312" w:cs="仿宋_GB2312"/>
          <w:b/>
          <w:bCs/>
          <w:color w:val="auto"/>
          <w:kern w:val="0"/>
          <w:sz w:val="32"/>
          <w:szCs w:val="32"/>
          <w:lang w:bidi="ar"/>
        </w:rPr>
        <w:t>是产业帮扶精准有效。</w:t>
      </w:r>
      <w:r>
        <w:rPr>
          <w:rFonts w:hint="eastAsia" w:ascii="仿宋_GB2312" w:hAnsi="仿宋_GB2312" w:eastAsia="仿宋_GB2312" w:cs="仿宋_GB2312"/>
          <w:color w:val="auto"/>
          <w:kern w:val="0"/>
          <w:sz w:val="32"/>
          <w:szCs w:val="32"/>
          <w:lang w:bidi="ar"/>
        </w:rPr>
        <w:t>为脱贫户办理小额信贷，稳妥推进产业扶贫项目协议处置。积极推广本地农特产品，助力农户增收。村级光伏收益分配机制逐步规范，公益性岗位作用显现。</w:t>
      </w:r>
    </w:p>
    <w:p w14:paraId="7F62E833">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eastAsia="zh-CN" w:bidi="ar"/>
        </w:rPr>
      </w:pPr>
      <w:r>
        <w:rPr>
          <w:rFonts w:hint="eastAsia" w:ascii="楷体_GB2312" w:hAnsi="楷体_GB2312" w:eastAsia="楷体_GB2312" w:cs="楷体_GB2312"/>
          <w:b/>
          <w:bCs/>
          <w:color w:val="auto"/>
          <w:kern w:val="0"/>
          <w:sz w:val="32"/>
          <w:szCs w:val="32"/>
          <w:lang w:bidi="ar"/>
        </w:rPr>
        <w:t>------平安法治根基持续夯实，社会治理效能显著提升。</w:t>
      </w:r>
      <w:r>
        <w:rPr>
          <w:rFonts w:hint="eastAsia" w:ascii="仿宋_GB2312" w:hAnsi="仿宋_GB2312" w:eastAsia="仿宋_GB2312" w:cs="仿宋_GB2312"/>
          <w:b/>
          <w:bCs/>
          <w:color w:val="auto"/>
          <w:kern w:val="0"/>
          <w:sz w:val="32"/>
          <w:szCs w:val="32"/>
          <w:lang w:bidi="ar"/>
        </w:rPr>
        <w:t>一是矛盾化解高效有力。</w:t>
      </w:r>
      <w:r>
        <w:rPr>
          <w:rFonts w:hint="eastAsia" w:ascii="仿宋_GB2312" w:hAnsi="仿宋_GB2312" w:eastAsia="仿宋_GB2312" w:cs="仿宋_GB2312"/>
          <w:b w:val="0"/>
          <w:bCs w:val="0"/>
          <w:color w:val="auto"/>
          <w:kern w:val="0"/>
          <w:sz w:val="32"/>
          <w:szCs w:val="32"/>
          <w:lang w:bidi="ar"/>
        </w:rPr>
        <w:t>坚持和发展新时代“枫桥经验”，构建多元调解体系，全年排查矛</w:t>
      </w:r>
      <w:r>
        <w:rPr>
          <w:rFonts w:hint="eastAsia" w:ascii="仿宋_GB2312" w:hAnsi="仿宋_GB2312" w:eastAsia="仿宋_GB2312" w:cs="仿宋_GB2312"/>
          <w:color w:val="auto"/>
          <w:kern w:val="0"/>
          <w:sz w:val="32"/>
          <w:szCs w:val="32"/>
          <w:lang w:bidi="ar"/>
        </w:rPr>
        <w:t>盾纠纷168起，成功化解165起，化解率达98</w:t>
      </w: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，实现“小事不出村、大事不出镇”。创新打造“金牌调解室”“乡贤调解队”等特色品牌。</w:t>
      </w:r>
      <w:r>
        <w:rPr>
          <w:rFonts w:hint="eastAsia" w:ascii="仿宋_GB2312" w:hAnsi="仿宋_GB2312" w:eastAsia="仿宋_GB2312" w:cs="仿宋_GB2312"/>
          <w:b/>
          <w:bCs/>
          <w:color w:val="auto"/>
          <w:kern w:val="0"/>
          <w:sz w:val="32"/>
          <w:szCs w:val="32"/>
          <w:lang w:eastAsia="zh-CN" w:bidi="ar"/>
        </w:rPr>
        <w:t>二是重点管控精准到位。</w:t>
      </w:r>
      <w:r>
        <w:rPr>
          <w:rFonts w:hint="eastAsia" w:ascii="仿宋_GB2312" w:hAnsi="仿宋_GB2312" w:eastAsia="仿宋_GB2312" w:cs="仿宋_GB2312"/>
          <w:color w:val="auto"/>
          <w:kern w:val="0"/>
          <w:sz w:val="32"/>
          <w:szCs w:val="32"/>
          <w:lang w:bidi="ar"/>
        </w:rPr>
        <w:t>对严重精神障碍患者、刑满释放人员等重点群体实行“一人一策”精准管控，落实“以奖代补”监护政策25人</w:t>
      </w:r>
      <w:r>
        <w:rPr>
          <w:rFonts w:hint="eastAsia" w:ascii="仿宋_GB2312" w:hAnsi="仿宋_GB2312" w:eastAsia="仿宋_GB2312" w:cs="仿宋_GB2312"/>
          <w:color w:val="auto"/>
          <w:kern w:val="0"/>
          <w:sz w:val="32"/>
          <w:szCs w:val="32"/>
          <w:lang w:eastAsia="zh-CN" w:bidi="ar"/>
        </w:rPr>
        <w:t>，确保管得住、控得牢。信访积案化解成效明显，4名重点人员全部纳入“五包一”责任体系。</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bCs/>
          <w:color w:val="auto"/>
          <w:kern w:val="0"/>
          <w:sz w:val="32"/>
          <w:szCs w:val="32"/>
          <w:lang w:eastAsia="zh-CN" w:bidi="ar"/>
        </w:rPr>
        <w:t>应急能力全面提升。</w:t>
      </w:r>
      <w:r>
        <w:rPr>
          <w:rFonts w:hint="eastAsia" w:ascii="仿宋_GB2312" w:hAnsi="仿宋_GB2312" w:eastAsia="仿宋_GB2312" w:cs="仿宋_GB2312"/>
          <w:color w:val="auto"/>
          <w:kern w:val="0"/>
          <w:sz w:val="32"/>
          <w:szCs w:val="32"/>
          <w:lang w:eastAsia="zh-CN" w:bidi="ar"/>
        </w:rPr>
        <w:t>修订完善各类应急预案，组建镇村应急救援队伍14支，开展消防、防汛、森林防火等演练8次。建立“排查-登记-交办-销号”隐患闭环管理体系，上半年整改一般隐患70余处。</w:t>
      </w:r>
      <w:r>
        <w:rPr>
          <w:rFonts w:hint="eastAsia" w:ascii="仿宋_GB2312" w:hAnsi="仿宋_GB2312" w:eastAsia="仿宋_GB2312" w:cs="仿宋_GB2312"/>
          <w:b/>
          <w:bCs/>
          <w:color w:val="auto"/>
          <w:kern w:val="0"/>
          <w:sz w:val="32"/>
          <w:szCs w:val="32"/>
          <w:lang w:val="en-US" w:eastAsia="zh-CN" w:bidi="ar"/>
        </w:rPr>
        <w:t>四是执法效能显著增强。</w:t>
      </w:r>
      <w:r>
        <w:rPr>
          <w:rFonts w:hint="eastAsia" w:ascii="仿宋_GB2312" w:hAnsi="仿宋_GB2312" w:eastAsia="仿宋_GB2312" w:cs="仿宋_GB2312"/>
          <w:color w:val="auto"/>
          <w:kern w:val="0"/>
          <w:sz w:val="32"/>
          <w:szCs w:val="32"/>
          <w:lang w:val="en-US" w:eastAsia="zh-CN" w:bidi="ar"/>
        </w:rPr>
        <w:t>全年共拆除违建3处，整治车辆乱停150起，查处非法捕鱼6起、采砂3起。常态化开展“护学岗”、市场秩序维护、防汛道路督查等工作，有效维护了公共安全和社会秩序。</w:t>
      </w:r>
      <w:r>
        <w:rPr>
          <w:rFonts w:hint="eastAsia" w:ascii="仿宋_GB2312" w:hAnsi="仿宋_GB2312" w:eastAsia="仿宋_GB2312" w:cs="仿宋_GB2312"/>
          <w:b/>
          <w:bCs/>
          <w:color w:val="auto"/>
          <w:kern w:val="0"/>
          <w:sz w:val="32"/>
          <w:szCs w:val="32"/>
          <w:lang w:val="en-US" w:eastAsia="zh-CN" w:bidi="ar"/>
        </w:rPr>
        <w:t>五是法治宣传深入人心。</w:t>
      </w:r>
      <w:r>
        <w:rPr>
          <w:rFonts w:hint="eastAsia" w:ascii="仿宋_GB2312" w:hAnsi="仿宋_GB2312" w:eastAsia="仿宋_GB2312" w:cs="仿宋_GB2312"/>
          <w:color w:val="auto"/>
          <w:kern w:val="0"/>
          <w:sz w:val="32"/>
          <w:szCs w:val="32"/>
          <w:lang w:bidi="ar"/>
        </w:rPr>
        <w:t>创新“法治副校长+辅导员”双轨普法机制，开展校园法治教育6场</w:t>
      </w:r>
      <w:r>
        <w:rPr>
          <w:rFonts w:hint="eastAsia" w:ascii="仿宋_GB2312" w:hAnsi="仿宋_GB2312" w:eastAsia="仿宋_GB2312" w:cs="仿宋_GB2312"/>
          <w:color w:val="auto"/>
          <w:kern w:val="0"/>
          <w:sz w:val="32"/>
          <w:szCs w:val="32"/>
          <w:lang w:eastAsia="zh-CN" w:bidi="ar"/>
        </w:rPr>
        <w:t>，“法治进万家”等系列活动10场次，完成14个村法律顾问工作站全覆盖，法治意识和自我保护能力有效增强。</w:t>
      </w:r>
    </w:p>
    <w:p w14:paraId="6002951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b/>
          <w:bCs/>
          <w:color w:val="auto"/>
          <w:kern w:val="0"/>
          <w:sz w:val="32"/>
          <w:szCs w:val="32"/>
          <w:lang w:bidi="ar"/>
        </w:rPr>
        <w:t xml:space="preserve"> ------民生服务保障用心用情，群众幸福指数不断攀升。</w:t>
      </w:r>
      <w:r>
        <w:rPr>
          <w:rFonts w:hint="eastAsia" w:ascii="仿宋_GB2312" w:hAnsi="仿宋_GB2312" w:eastAsia="仿宋_GB2312" w:cs="仿宋_GB2312"/>
          <w:b/>
          <w:bCs/>
          <w:color w:val="auto"/>
          <w:kern w:val="0"/>
          <w:sz w:val="32"/>
          <w:szCs w:val="32"/>
          <w:lang w:bidi="ar"/>
        </w:rPr>
        <w:t>一是社会保障网织密扎牢。</w:t>
      </w:r>
      <w:r>
        <w:rPr>
          <w:rFonts w:hint="eastAsia" w:ascii="仿宋_GB2312" w:hAnsi="仿宋_GB2312" w:eastAsia="仿宋_GB2312" w:cs="仿宋_GB2312"/>
          <w:color w:val="auto"/>
          <w:kern w:val="0"/>
          <w:sz w:val="32"/>
          <w:szCs w:val="32"/>
          <w:lang w:bidi="ar"/>
        </w:rPr>
        <w:t>严格落实低保、特困供养政策，保障273户533人纳入低保，发放临时救助17万元。退役军人服务站为360余名退役军人提供精准服务，发放优抚金每月6.88万元，走访慰问84人次。</w:t>
      </w:r>
      <w:r>
        <w:rPr>
          <w:rFonts w:hint="eastAsia" w:ascii="黑体" w:hAnsi="黑体" w:eastAsia="黑体" w:cs="黑体"/>
          <w:color w:val="auto"/>
          <w:kern w:val="0"/>
          <w:sz w:val="32"/>
          <w:szCs w:val="32"/>
          <w:lang w:bidi="ar"/>
        </w:rPr>
        <w:t>“溆浦县社会统筹养老保险大抓落实”工作获评2024年度县级优秀。</w:t>
      </w:r>
      <w:r>
        <w:rPr>
          <w:rFonts w:hint="eastAsia" w:ascii="仿宋_GB2312" w:hAnsi="仿宋_GB2312" w:eastAsia="仿宋_GB2312" w:cs="仿宋_GB2312"/>
          <w:b/>
          <w:bCs/>
          <w:color w:val="auto"/>
          <w:kern w:val="0"/>
          <w:sz w:val="32"/>
          <w:szCs w:val="32"/>
          <w:lang w:bidi="ar"/>
        </w:rPr>
        <w:t>二是“一老一小”关爱暖心贴心</w:t>
      </w:r>
      <w:r>
        <w:rPr>
          <w:rFonts w:hint="eastAsia" w:ascii="仿宋_GB2312" w:hAnsi="仿宋_GB2312" w:eastAsia="仿宋_GB2312" w:cs="仿宋_GB2312"/>
          <w:color w:val="auto"/>
          <w:kern w:val="0"/>
          <w:sz w:val="32"/>
          <w:szCs w:val="32"/>
          <w:lang w:bidi="ar"/>
        </w:rPr>
        <w:t>。妇联精准帮扶困难妇女儿童，使用“微心愿”资金救助3人</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扎实推进“两癌”救助。摸排留守儿童658人、孤儿3人，落实走访帮扶。通过赠送书包文具、六一儿童节活动、集体生日、医疗下乡义诊等多元化、精准化服务，共同绘就民生保障的温暖底色。</w:t>
      </w:r>
      <w:r>
        <w:rPr>
          <w:rFonts w:hint="eastAsia" w:ascii="仿宋_GB2312" w:hAnsi="仿宋_GB2312" w:eastAsia="仿宋_GB2312" w:cs="仿宋_GB2312"/>
          <w:b/>
          <w:bCs/>
          <w:color w:val="auto"/>
          <w:kern w:val="0"/>
          <w:sz w:val="32"/>
          <w:szCs w:val="32"/>
          <w:lang w:bidi="ar"/>
        </w:rPr>
        <w:t>三是</w:t>
      </w:r>
      <w:r>
        <w:rPr>
          <w:rFonts w:hint="eastAsia" w:ascii="仿宋_GB2312" w:hAnsi="仿宋_GB2312" w:eastAsia="仿宋_GB2312" w:cs="仿宋_GB2312"/>
          <w:b/>
          <w:bCs/>
          <w:color w:val="auto"/>
          <w:kern w:val="0"/>
          <w:sz w:val="32"/>
          <w:szCs w:val="32"/>
          <w:lang w:val="en-US" w:eastAsia="zh-CN" w:bidi="ar"/>
        </w:rPr>
        <w:t>就业帮扶政策</w:t>
      </w:r>
      <w:r>
        <w:rPr>
          <w:rFonts w:hint="eastAsia" w:ascii="仿宋_GB2312" w:hAnsi="仿宋_GB2312" w:eastAsia="仿宋_GB2312" w:cs="仿宋_GB2312"/>
          <w:b/>
          <w:bCs/>
          <w:color w:val="auto"/>
          <w:kern w:val="0"/>
          <w:sz w:val="32"/>
          <w:szCs w:val="32"/>
          <w:lang w:bidi="ar"/>
        </w:rPr>
        <w:t>持续</w:t>
      </w:r>
      <w:r>
        <w:rPr>
          <w:rFonts w:hint="eastAsia" w:ascii="仿宋_GB2312" w:hAnsi="仿宋_GB2312" w:eastAsia="仿宋_GB2312" w:cs="仿宋_GB2312"/>
          <w:b/>
          <w:bCs/>
          <w:color w:val="auto"/>
          <w:kern w:val="0"/>
          <w:sz w:val="32"/>
          <w:szCs w:val="32"/>
          <w:lang w:val="en-US" w:eastAsia="zh-CN" w:bidi="ar"/>
        </w:rPr>
        <w:t>完善</w:t>
      </w:r>
      <w:r>
        <w:rPr>
          <w:rFonts w:hint="eastAsia" w:ascii="仿宋_GB2312" w:hAnsi="仿宋_GB2312" w:eastAsia="仿宋_GB2312" w:cs="仿宋_GB2312"/>
          <w:b/>
          <w:bCs/>
          <w:color w:val="auto"/>
          <w:kern w:val="0"/>
          <w:sz w:val="32"/>
          <w:szCs w:val="32"/>
          <w:lang w:bidi="ar"/>
        </w:rPr>
        <w:t>。</w:t>
      </w:r>
      <w:r>
        <w:rPr>
          <w:rFonts w:hint="eastAsia" w:ascii="仿宋_GB2312" w:hAnsi="仿宋_GB2312" w:eastAsia="仿宋_GB2312" w:cs="仿宋_GB2312"/>
          <w:color w:val="auto"/>
          <w:kern w:val="0"/>
          <w:sz w:val="32"/>
          <w:szCs w:val="32"/>
          <w:lang w:bidi="ar"/>
        </w:rPr>
        <w:t>面向高校毕业生、就业困难人员等重点群体，精准开展“311”服务172人次，确保了就业形势总体稳定。</w:t>
      </w:r>
    </w:p>
    <w:p w14:paraId="02E8379B">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bCs/>
          <w:color w:val="auto"/>
          <w:kern w:val="0"/>
          <w:sz w:val="32"/>
          <w:szCs w:val="32"/>
          <w:lang w:bidi="ar"/>
        </w:rPr>
        <w:t xml:space="preserve"> ------城乡环境面貌持续改善，生态宜居底色愈发鲜亮</w:t>
      </w:r>
      <w:r>
        <w:rPr>
          <w:rFonts w:hint="eastAsia" w:ascii="楷体_GB2312" w:hAnsi="楷体_GB2312" w:eastAsia="楷体_GB2312" w:cs="楷体_GB2312"/>
          <w:b/>
          <w:bCs/>
          <w:color w:val="auto"/>
          <w:kern w:val="0"/>
          <w:sz w:val="32"/>
          <w:szCs w:val="32"/>
          <w:lang w:eastAsia="zh-CN" w:bidi="ar"/>
        </w:rPr>
        <w:t>。</w:t>
      </w:r>
      <w:r>
        <w:rPr>
          <w:rFonts w:hint="eastAsia" w:ascii="仿宋_GB2312" w:hAnsi="仿宋_GB2312" w:eastAsia="仿宋_GB2312" w:cs="仿宋_GB2312"/>
          <w:b/>
          <w:bCs/>
          <w:color w:val="auto"/>
          <w:kern w:val="0"/>
          <w:sz w:val="32"/>
          <w:szCs w:val="32"/>
          <w:lang w:val="en-US" w:eastAsia="zh-CN" w:bidi="ar"/>
        </w:rPr>
        <w:t>一是住房安全有效保障。</w:t>
      </w:r>
      <w:r>
        <w:rPr>
          <w:rFonts w:hint="eastAsia" w:ascii="仿宋_GB2312" w:hAnsi="仿宋_GB2312" w:eastAsia="仿宋_GB2312" w:cs="仿宋_GB2312"/>
          <w:color w:val="auto"/>
          <w:kern w:val="0"/>
          <w:sz w:val="32"/>
          <w:szCs w:val="32"/>
          <w:lang w:val="en-US" w:eastAsia="zh-CN" w:bidi="ar"/>
        </w:rPr>
        <w:t>完成5户危房改造审核，跟踪8户资金发放。排查整治C、D级危房，张贴安全明白卡166栋。</w:t>
      </w:r>
      <w:r>
        <w:rPr>
          <w:rFonts w:hint="eastAsia" w:ascii="仿宋_GB2312" w:hAnsi="仿宋_GB2312" w:eastAsia="仿宋_GB2312" w:cs="仿宋_GB2312"/>
          <w:b/>
          <w:bCs/>
          <w:color w:val="auto"/>
          <w:kern w:val="0"/>
          <w:sz w:val="32"/>
          <w:szCs w:val="32"/>
          <w:lang w:val="en-US" w:eastAsia="zh-CN" w:bidi="ar"/>
        </w:rPr>
        <w:t>二是人居环境整治提升。</w:t>
      </w:r>
      <w:r>
        <w:rPr>
          <w:rFonts w:hint="eastAsia" w:ascii="仿宋_GB2312" w:hAnsi="仿宋_GB2312" w:eastAsia="仿宋_GB2312" w:cs="仿宋_GB2312"/>
          <w:b w:val="0"/>
          <w:bCs w:val="0"/>
          <w:color w:val="auto"/>
          <w:kern w:val="0"/>
          <w:sz w:val="32"/>
          <w:szCs w:val="32"/>
          <w:lang w:val="en-US" w:eastAsia="zh-CN" w:bidi="ar"/>
        </w:rPr>
        <w:t>常态化开展人居环境整治，组织开展“卫生大清扫”等专项行动</w:t>
      </w:r>
      <w:r>
        <w:rPr>
          <w:rFonts w:hint="eastAsia" w:ascii="仿宋_GB2312" w:hAnsi="仿宋_GB2312" w:eastAsia="仿宋_GB2312" w:cs="仿宋_GB2312"/>
          <w:sz w:val="32"/>
          <w:szCs w:val="32"/>
        </w:rPr>
        <w:t>10余次</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完成红花村市级和美乡村建设验收工作并成功创建，今年继续申报沙坪村和美乡村建设，目前已完成阶段性验收。</w:t>
      </w:r>
      <w:r>
        <w:rPr>
          <w:rFonts w:hint="eastAsia" w:ascii="仿宋_GB2312" w:hAnsi="仿宋_GB2312" w:eastAsia="仿宋_GB2312" w:cs="仿宋_GB2312"/>
          <w:b/>
          <w:bCs/>
          <w:color w:val="auto"/>
          <w:kern w:val="0"/>
          <w:sz w:val="32"/>
          <w:szCs w:val="32"/>
          <w:lang w:val="en-US" w:eastAsia="zh-CN" w:bidi="ar"/>
        </w:rPr>
        <w:t>三是生态环保力度加大。</w:t>
      </w:r>
      <w:r>
        <w:rPr>
          <w:rFonts w:hint="eastAsia" w:ascii="仿宋_GB2312" w:hAnsi="仿宋_GB2312" w:eastAsia="仿宋_GB2312" w:cs="仿宋_GB2312"/>
          <w:b w:val="0"/>
          <w:bCs w:val="0"/>
          <w:color w:val="auto"/>
          <w:kern w:val="0"/>
          <w:sz w:val="32"/>
          <w:szCs w:val="32"/>
          <w:lang w:val="en-US" w:eastAsia="zh-CN" w:bidi="ar"/>
        </w:rPr>
        <w:t>严格落实秸秆禁烧限烧管控，开展环境隐患排查，整治养殖污染。完成27个农村人饮工程水质检测，实施宝山村、光明村饮水工程提质改造。</w:t>
      </w:r>
    </w:p>
    <w:p w14:paraId="134852B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bidi="ar"/>
        </w:rPr>
        <w:t>------文旅融合迈出坚实步伐，发展新动能加速集聚</w:t>
      </w:r>
      <w:r>
        <w:rPr>
          <w:rFonts w:hint="eastAsia" w:ascii="楷体_GB2312" w:hAnsi="楷体_GB2312" w:eastAsia="楷体_GB2312" w:cs="楷体_GB2312"/>
          <w:b/>
          <w:bCs/>
          <w:color w:val="auto"/>
          <w:kern w:val="0"/>
          <w:sz w:val="32"/>
          <w:szCs w:val="32"/>
          <w:lang w:eastAsia="zh-CN" w:bidi="ar"/>
        </w:rPr>
        <w:t>。</w:t>
      </w:r>
      <w:r>
        <w:rPr>
          <w:rFonts w:hint="eastAsia" w:ascii="仿宋_GB2312" w:hAnsi="仿宋_GB2312" w:eastAsia="仿宋_GB2312" w:cs="仿宋_GB2312"/>
          <w:b/>
          <w:bCs/>
          <w:color w:val="auto"/>
          <w:kern w:val="0"/>
          <w:sz w:val="32"/>
          <w:szCs w:val="32"/>
          <w:lang w:val="en-US" w:eastAsia="zh-CN" w:bidi="ar"/>
        </w:rPr>
        <w:t>一是提升文旅服务品质。</w:t>
      </w:r>
      <w:r>
        <w:rPr>
          <w:rFonts w:hint="eastAsia" w:ascii="仿宋_GB2312" w:hAnsi="仿宋_GB2312" w:eastAsia="仿宋_GB2312" w:cs="仿宋_GB2312"/>
          <w:b w:val="0"/>
          <w:bCs w:val="0"/>
          <w:color w:val="auto"/>
          <w:kern w:val="0"/>
          <w:sz w:val="32"/>
          <w:szCs w:val="32"/>
          <w:lang w:val="en-US" w:eastAsia="zh-CN" w:bidi="ar"/>
        </w:rPr>
        <w:t>着力打造专业讲解队伍，培养8名青年干部担任专职讲解员，在各类调研接待与游客服务中展现良好形象，累计完成重要接待讲解25场次。</w:t>
      </w:r>
      <w:r>
        <w:rPr>
          <w:rFonts w:hint="eastAsia" w:ascii="仿宋_GB2312" w:hAnsi="仿宋_GB2312" w:eastAsia="仿宋_GB2312" w:cs="仿宋_GB2312"/>
          <w:b/>
          <w:bCs/>
          <w:color w:val="auto"/>
          <w:kern w:val="0"/>
          <w:sz w:val="32"/>
          <w:szCs w:val="32"/>
          <w:lang w:val="en-US" w:eastAsia="zh-CN" w:bidi="ar"/>
        </w:rPr>
        <w:t>二是提升公共服务效能。</w:t>
      </w:r>
      <w:r>
        <w:rPr>
          <w:rFonts w:hint="eastAsia" w:ascii="仿宋_GB2312" w:hAnsi="仿宋_GB2312" w:eastAsia="仿宋_GB2312" w:cs="仿宋_GB2312"/>
          <w:b w:val="0"/>
          <w:bCs w:val="0"/>
          <w:color w:val="auto"/>
          <w:kern w:val="0"/>
          <w:sz w:val="32"/>
          <w:szCs w:val="32"/>
          <w:lang w:val="en-US" w:eastAsia="zh-CN" w:bidi="ar"/>
        </w:rPr>
        <w:t>举办群众文化活动7次、文化培训班3期、文化展览1场，累计服务群众9240人次，覆盖培训150人次，展览服务200人次。持续跟踪公共文化服务效能，推动文化场馆提质增效。</w:t>
      </w:r>
      <w:r>
        <w:rPr>
          <w:rFonts w:hint="eastAsia" w:ascii="仿宋_GB2312" w:hAnsi="仿宋_GB2312" w:eastAsia="仿宋_GB2312" w:cs="仿宋_GB2312"/>
          <w:b/>
          <w:bCs/>
          <w:color w:val="auto"/>
          <w:kern w:val="0"/>
          <w:sz w:val="32"/>
          <w:szCs w:val="32"/>
          <w:lang w:val="en-US" w:eastAsia="zh-CN" w:bidi="ar"/>
        </w:rPr>
        <w:t>三是推进文旅资源整合。</w:t>
      </w:r>
      <w:r>
        <w:rPr>
          <w:rFonts w:hint="eastAsia" w:ascii="仿宋_GB2312" w:hAnsi="仿宋_GB2312" w:eastAsia="仿宋_GB2312" w:cs="仿宋_GB2312"/>
          <w:b w:val="0"/>
          <w:bCs w:val="0"/>
          <w:color w:val="auto"/>
          <w:kern w:val="0"/>
          <w:sz w:val="32"/>
          <w:szCs w:val="32"/>
          <w:lang w:val="en-US" w:eastAsia="zh-CN" w:bidi="ar"/>
        </w:rPr>
        <w:t>积极配合县文旅局开展旅游资源普查外业调查工作，对自然景观、文化遗产、农旅融合项目等进行系统核查与数据更新，协助沙坪农庄完成五星级乡村旅游区（点）</w:t>
      </w:r>
      <w:r>
        <w:rPr>
          <w:rFonts w:hint="eastAsia" w:ascii="Times New Roman" w:hAnsi="Times New Roman" w:eastAsia="仿宋_GB2312" w:cs="Times New Roman"/>
          <w:b w:val="0"/>
          <w:bCs w:val="0"/>
          <w:color w:val="auto"/>
          <w:spacing w:val="0"/>
          <w:sz w:val="32"/>
          <w:szCs w:val="32"/>
          <w:lang w:val="en-US" w:eastAsia="zh-CN"/>
        </w:rPr>
        <w:t>申报与优化工作，推动其持续对标提升，巩固创建成果。</w:t>
      </w:r>
      <w:r>
        <w:rPr>
          <w:rFonts w:hint="eastAsia" w:ascii="黑体" w:hAnsi="黑体" w:eastAsia="黑体" w:cs="黑体"/>
          <w:b w:val="0"/>
          <w:bCs w:val="0"/>
          <w:color w:val="auto"/>
          <w:spacing w:val="0"/>
          <w:sz w:val="32"/>
          <w:szCs w:val="32"/>
          <w:lang w:val="en-US" w:eastAsia="zh-CN"/>
        </w:rPr>
        <w:t>《以文旅建设高质量发展，答好乡村振兴“新时代考卷”》经验材料在红星网发布。</w:t>
      </w:r>
      <w:r>
        <w:rPr>
          <w:rFonts w:hint="eastAsia" w:ascii="黑体" w:hAnsi="黑体" w:eastAsia="黑体" w:cs="黑体"/>
          <w:color w:val="auto"/>
          <w:kern w:val="0"/>
          <w:sz w:val="32"/>
          <w:szCs w:val="32"/>
          <w:lang w:bidi="ar"/>
        </w:rPr>
        <w:t>北斗溪镇被评选为“第七届全国文明村镇”。</w:t>
      </w:r>
    </w:p>
    <w:p w14:paraId="070FB94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（二）特色亮点工作</w:t>
      </w:r>
    </w:p>
    <w:p w14:paraId="0A98539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b/>
          <w:bCs/>
          <w:color w:val="auto"/>
          <w:kern w:val="0"/>
          <w:sz w:val="32"/>
          <w:szCs w:val="32"/>
          <w:lang w:bidi="ar"/>
        </w:rPr>
        <w:t xml:space="preserve">1. </w:t>
      </w:r>
      <w:r>
        <w:rPr>
          <w:rFonts w:hint="eastAsia" w:ascii="仿宋_GB2312" w:hAnsi="仿宋_GB2312" w:eastAsia="仿宋_GB2312" w:cs="仿宋_GB2312"/>
          <w:b/>
          <w:bCs/>
          <w:color w:val="auto"/>
          <w:kern w:val="0"/>
          <w:sz w:val="32"/>
          <w:szCs w:val="32"/>
          <w:lang w:val="en-US" w:eastAsia="zh-CN" w:bidi="ar"/>
        </w:rPr>
        <w:t>打造“北斗溪之旅”文旅品牌</w:t>
      </w:r>
      <w:r>
        <w:rPr>
          <w:rFonts w:hint="eastAsia" w:ascii="仿宋_GB2312" w:hAnsi="仿宋_GB2312" w:eastAsia="仿宋_GB2312" w:cs="仿宋_GB2312"/>
          <w:b/>
          <w:bCs/>
          <w:color w:val="auto"/>
          <w:kern w:val="0"/>
          <w:sz w:val="32"/>
          <w:szCs w:val="32"/>
          <w:lang w:bidi="ar"/>
        </w:rPr>
        <w:t>。</w:t>
      </w:r>
      <w:r>
        <w:rPr>
          <w:rFonts w:hint="eastAsia" w:ascii="仿宋_GB2312" w:hAnsi="仿宋_GB2312" w:eastAsia="仿宋_GB2312" w:cs="仿宋_GB2312"/>
          <w:color w:val="auto"/>
          <w:kern w:val="0"/>
          <w:sz w:val="32"/>
          <w:szCs w:val="32"/>
          <w:lang w:bidi="ar"/>
        </w:rPr>
        <w:t>1月举办的首届“欢乐过大年”活动，吸引了全镇500余名群众积极参与，获得了人民日报、新湖南、芒果风芒等中央、省级主流媒体的报道，线上累计阅读观看量超50万人次。</w:t>
      </w:r>
      <w:r>
        <w:rPr>
          <w:rFonts w:hint="eastAsia" w:ascii="仿宋_GB2312" w:hAnsi="仿宋_GB2312" w:eastAsia="仿宋_GB2312" w:cs="仿宋_GB2312"/>
          <w:color w:val="auto"/>
          <w:kern w:val="0"/>
          <w:sz w:val="32"/>
          <w:szCs w:val="32"/>
          <w:lang w:val="en-US" w:eastAsia="zh-CN" w:bidi="ar"/>
        </w:rPr>
        <w:t>7月</w:t>
      </w:r>
      <w:r>
        <w:rPr>
          <w:rFonts w:hint="eastAsia" w:ascii="仿宋_GB2312" w:hAnsi="仿宋_GB2312" w:eastAsia="仿宋_GB2312" w:cs="仿宋_GB2312"/>
          <w:color w:val="auto"/>
          <w:kern w:val="0"/>
          <w:sz w:val="32"/>
          <w:szCs w:val="32"/>
          <w:lang w:bidi="ar"/>
        </w:rPr>
        <w:t>精心组织并成功举办了第二届“北斗溪七星杯”文旅赛事</w:t>
      </w:r>
      <w:r>
        <w:rPr>
          <w:rFonts w:hint="eastAsia" w:ascii="仿宋_GB2312" w:hAnsi="仿宋_GB2312" w:eastAsia="仿宋_GB2312" w:cs="仿宋_GB2312"/>
          <w:color w:val="auto"/>
          <w:kern w:val="0"/>
          <w:sz w:val="32"/>
          <w:szCs w:val="32"/>
          <w:lang w:eastAsia="zh-CN" w:bidi="ar"/>
        </w:rPr>
        <w:t>，吸引11支队伍、130余名选手参赛。新增500人阶梯观众席优化观赛体验，线下累计接待观众约1.2万人次，</w:t>
      </w:r>
      <w:r>
        <w:rPr>
          <w:rFonts w:hint="eastAsia" w:ascii="Times New Roman" w:hAnsi="Times New Roman" w:eastAsia="仿宋_GB2312" w:cs="Times New Roman"/>
          <w:b w:val="0"/>
          <w:bCs w:val="0"/>
          <w:color w:val="auto"/>
          <w:spacing w:val="0"/>
          <w:sz w:val="32"/>
          <w:szCs w:val="32"/>
          <w:lang w:val="en-US" w:eastAsia="zh-CN"/>
        </w:rPr>
        <w:t>线上观看总量达3.2万人次，单场最高同时在线人数突破1400人。同时融合山歌展演、美食微街、直播助农等多元环节，吸引30家本地商户参与，日均客流量达1200人次，直播活动吸引超9000人次观看，累计带动增收12万元。有效实现了“以赛促旅、以旅彰文”的良性互动。</w:t>
      </w:r>
    </w:p>
    <w:p w14:paraId="506CF783">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2.打造校地合作标杆。</w:t>
      </w:r>
      <w:r>
        <w:rPr>
          <w:rFonts w:hint="eastAsia" w:ascii="仿宋_GB2312" w:hAnsi="仿宋_GB2312" w:eastAsia="仿宋_GB2312" w:cs="仿宋_GB2312"/>
          <w:color w:val="auto"/>
          <w:kern w:val="0"/>
          <w:sz w:val="32"/>
          <w:szCs w:val="32"/>
          <w:lang w:val="en-US" w:eastAsia="zh-CN" w:bidi="ar"/>
        </w:rPr>
        <w:t>1月，清华大学、武汉大学、重庆大学等7所高校共15人来怀开展清华大学乡村振兴工作站赴怀化实践支队社会实践，为我镇乡村振兴建言献策。在本次实践中实现了三个“1”，即策划“1”场助农直播，主办“1”次公益分享会，参与“1”次当地活动，其中，助农直播、公益分享课被《人民日报》等主流媒体报道。本次实践支队清华大学获乡村振兴工作站铜奖和清华大学研究生团委银奖。10月14日，溆浦县与清华大学在北京召开“智汇清华·赋能溆浦”校地合作对接会，重点聚焦清华大学乡村振兴工作站功能拓展、溆浦传统古村落的保护与开发、溆浦县农产品区域公用品牌打造、联合攻关化工PVB项目技术四大合作方向，探索形成“政府搭台、高校赋能、企业受益”的协同创新模式，为全国校地合作助力乡村振兴提供可复制、可推广的“溆浦——清华样板”。</w:t>
      </w:r>
    </w:p>
    <w:p w14:paraId="7DAA7C6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3.打开区域联动新局。</w:t>
      </w:r>
      <w:r>
        <w:rPr>
          <w:rFonts w:hint="eastAsia" w:ascii="仿宋_GB2312" w:hAnsi="仿宋_GB2312" w:eastAsia="仿宋_GB2312" w:cs="仿宋_GB2312"/>
          <w:b w:val="0"/>
          <w:bCs w:val="0"/>
          <w:color w:val="auto"/>
          <w:kern w:val="0"/>
          <w:sz w:val="32"/>
          <w:szCs w:val="32"/>
          <w:lang w:val="en-US" w:eastAsia="zh-CN" w:bidi="ar"/>
        </w:rPr>
        <w:t>紧紧把握雪峰山索道开通的历史性机遇，将其作为推动“文旅兴镇”战略、促进区域协调发展的关键引擎。以索道为核心节点，我们精心设计并推广“北斗溪+索道”2天1夜精品旅游线路，有效串联本地文旅资源与葛竹坪非遗村落、山背梯田等周边景点，形成了“交通串联景点、索道引流客源、区域联动发展”的协同格局。索道开通以来，游客量显著增长，沿线民宿、餐饮、农特产品销售等业态蓬勃发展，直接带动了群众增收和村集体经济增长，极大提升了北斗溪镇作为“雪峰山文旅门户”的知名度和美誉度，为后续招商引资和长远发展创造了有利条件。​</w:t>
      </w:r>
    </w:p>
    <w:p w14:paraId="5E793DC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4.打造科学决策样板。</w:t>
      </w:r>
      <w:r>
        <w:rPr>
          <w:rFonts w:hint="eastAsia" w:ascii="仿宋_GB2312" w:hAnsi="仿宋_GB2312" w:eastAsia="仿宋_GB2312" w:cs="仿宋_GB2312"/>
          <w:color w:val="auto"/>
          <w:kern w:val="0"/>
          <w:sz w:val="32"/>
          <w:szCs w:val="32"/>
          <w:lang w:val="en-US" w:eastAsia="zh-CN" w:bidi="ar"/>
        </w:rPr>
        <w:t>1月23日，接待清华大学深研院彭琳凯博士至溆浦地方企业探讨废旧轮胎炭黑的分离难度和锂电池开发，探寻企业发展新路径。2月11日至2月14日，接待清华大学未央书院夏司恒等一行11人来溆开展社会实践，探索在乡村振兴战略背景下，湖南省的“三农”问题解决路径。6月5日上午，市委忠建书记在清华大学乡村振兴工作站·怀化（溆浦）站调研，详细了解高校赋能乡村振兴情况。忠建书记指出要持续深化与清华大学的合作，借助清华大学人才、智力等优势，更好赋能乡村产业、人才、文化、生态、组织振兴。10月13日下午，市委忠建书记在北斗溪镇主持召开雪峰山片区旅游高质量发展座谈会，他强调要围绕“全球最长高山观光索道”打造山地风景，融合屈原文化、花瑶风情，开发深度体验场景。加强古村落保护，设计国际徒步线路。坚持市场运作、运营前置，严格落实惠旅宠客五条措施，全域联动、协同发力，扎实推进雪峰山区域旅游合作发展，强化市级统筹协调，溆浦县、洪江市密切协作，发挥“1+1＞2”的效应。深化与湖南旅游发展投资集团的战略合作，实现共赢发展。</w:t>
      </w:r>
    </w:p>
    <w:p w14:paraId="3B21663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b/>
          <w:bCs/>
          <w:color w:val="auto"/>
          <w:kern w:val="0"/>
          <w:sz w:val="32"/>
          <w:szCs w:val="32"/>
          <w:lang w:val="en-US" w:eastAsia="zh-CN" w:bidi="ar"/>
        </w:rPr>
        <w:t>5</w:t>
      </w:r>
      <w:r>
        <w:rPr>
          <w:rFonts w:hint="eastAsia" w:ascii="仿宋_GB2312" w:hAnsi="仿宋_GB2312" w:eastAsia="仿宋_GB2312" w:cs="仿宋_GB2312"/>
          <w:b/>
          <w:bCs/>
          <w:color w:val="auto"/>
          <w:kern w:val="0"/>
          <w:sz w:val="32"/>
          <w:szCs w:val="32"/>
          <w:lang w:bidi="ar"/>
        </w:rPr>
        <w:t>.探索智慧治理机制。</w:t>
      </w:r>
      <w:r>
        <w:rPr>
          <w:rFonts w:hint="eastAsia" w:ascii="仿宋_GB2312" w:hAnsi="仿宋_GB2312" w:eastAsia="仿宋_GB2312" w:cs="仿宋_GB2312"/>
          <w:color w:val="auto"/>
          <w:kern w:val="0"/>
          <w:sz w:val="32"/>
          <w:szCs w:val="32"/>
          <w:lang w:bidi="ar"/>
        </w:rPr>
        <w:t>谋划推进“雪亮工程”升级和镇级综合指挥中心建设，打造“一屏观全镇”智慧治理模式。镇纪委试点“大数据+监督”模式，探索提升惠农资金监管精准度，推动“清廉乡村”建设。</w:t>
      </w:r>
    </w:p>
    <w:p w14:paraId="3D486B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（三）存在的问题</w:t>
      </w:r>
    </w:p>
    <w:p w14:paraId="259616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在肯定成绩的同时，我们也清醒地认识到发展中仍面临不少挑战：</w:t>
      </w:r>
      <w:r>
        <w:rPr>
          <w:rFonts w:hint="eastAsia" w:ascii="仿宋_GB2312" w:hAnsi="仿宋_GB2312" w:eastAsia="仿宋_GB2312" w:cs="仿宋_GB2312"/>
          <w:b/>
          <w:bCs/>
          <w:color w:val="auto"/>
          <w:kern w:val="0"/>
          <w:sz w:val="32"/>
          <w:szCs w:val="32"/>
          <w:lang w:bidi="ar"/>
        </w:rPr>
        <w:t>一是经济发展质效有待提升</w:t>
      </w:r>
      <w:r>
        <w:rPr>
          <w:rFonts w:hint="eastAsia" w:ascii="仿宋_GB2312" w:hAnsi="仿宋_GB2312" w:eastAsia="仿宋_GB2312" w:cs="仿宋_GB2312"/>
          <w:b/>
          <w:bCs/>
          <w:color w:val="auto"/>
          <w:kern w:val="0"/>
          <w:sz w:val="32"/>
          <w:szCs w:val="32"/>
          <w:lang w:eastAsia="zh-CN" w:bidi="ar"/>
        </w:rPr>
        <w:t>。</w:t>
      </w:r>
      <w:r>
        <w:rPr>
          <w:rFonts w:hint="eastAsia" w:ascii="仿宋_GB2312" w:hAnsi="仿宋_GB2312" w:eastAsia="仿宋_GB2312" w:cs="仿宋_GB2312"/>
          <w:color w:val="auto"/>
          <w:kern w:val="0"/>
          <w:sz w:val="32"/>
          <w:szCs w:val="32"/>
          <w:lang w:bidi="ar"/>
        </w:rPr>
        <w:t>产业链条短，农旅、文旅融合深度不够，村集体经济收入不均，“三新”领域妇联组织覆盖与服务能力需加强。</w:t>
      </w:r>
      <w:r>
        <w:rPr>
          <w:rFonts w:hint="eastAsia" w:ascii="仿宋_GB2312" w:hAnsi="仿宋_GB2312" w:eastAsia="仿宋_GB2312" w:cs="仿宋_GB2312"/>
          <w:b/>
          <w:bCs/>
          <w:color w:val="auto"/>
          <w:kern w:val="0"/>
          <w:sz w:val="32"/>
          <w:szCs w:val="32"/>
          <w:lang w:bidi="ar"/>
        </w:rPr>
        <w:t>二是基层治理能力尚有短板</w:t>
      </w:r>
      <w:r>
        <w:rPr>
          <w:rFonts w:hint="eastAsia" w:ascii="仿宋_GB2312" w:hAnsi="仿宋_GB2312" w:eastAsia="仿宋_GB2312" w:cs="仿宋_GB2312"/>
          <w:b/>
          <w:bCs/>
          <w:color w:val="auto"/>
          <w:kern w:val="0"/>
          <w:sz w:val="32"/>
          <w:szCs w:val="32"/>
          <w:lang w:eastAsia="zh-CN" w:bidi="ar"/>
        </w:rPr>
        <w:t>。</w:t>
      </w:r>
      <w:r>
        <w:rPr>
          <w:rFonts w:hint="eastAsia" w:ascii="仿宋_GB2312" w:hAnsi="仿宋_GB2312" w:eastAsia="仿宋_GB2312" w:cs="仿宋_GB2312"/>
          <w:color w:val="auto"/>
          <w:kern w:val="0"/>
          <w:sz w:val="32"/>
          <w:szCs w:val="32"/>
          <w:lang w:bidi="ar"/>
        </w:rPr>
        <w:t>部分村级应急队伍专业素养不足，网格化管理存在“空白地带”</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部门联动和社会协同机制有待优化，信息共享和应急响应效率需进一步提高。三是要素制约依然突出，执法力量和专业装备不足，基层干部多任务统筹协调能力、专业素养（如财务核查、应急装备操作）有待提高，专业化调解、心理咨询等服务供给不足。</w:t>
      </w:r>
    </w:p>
    <w:p w14:paraId="232D5D9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二、2026年工作打算</w:t>
      </w:r>
    </w:p>
    <w:p w14:paraId="72896A3A">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b/>
          <w:bCs/>
          <w:color w:val="auto"/>
          <w:kern w:val="0"/>
          <w:sz w:val="32"/>
          <w:szCs w:val="32"/>
          <w:lang w:bidi="ar"/>
        </w:rPr>
        <w:t>（一）夯实基础下真功，激发内生动力。</w:t>
      </w:r>
      <w:r>
        <w:rPr>
          <w:rFonts w:hint="eastAsia" w:ascii="仿宋_GB2312" w:hAnsi="仿宋_GB2312" w:eastAsia="仿宋_GB2312" w:cs="仿宋_GB2312"/>
          <w:color w:val="auto"/>
          <w:kern w:val="0"/>
          <w:sz w:val="32"/>
          <w:szCs w:val="32"/>
          <w:lang w:bidi="ar"/>
        </w:rPr>
        <w:t>一是持续深化改革开放。拓展“三新”领域组织覆盖与服务效能，深化乡镇履职清单制度改革，优化营商环境，激发市场主体活力。二是推动产业提质增效。持续推进沙坪农庄星级创建成果转化，引入专业文旅运营商。推动农特产品品牌化，延长产业链。发展壮大新型农村集体经济，探索多元化发展路径。三是强化项目人才支撑。积极争取和实施以工代赈、产业路、冷库等基础设施项目。落实“导师帮带”机制，培育“法律明白人”，建强村级后备力量和高素质农民队伍。</w:t>
      </w:r>
    </w:p>
    <w:p w14:paraId="3A34926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b/>
          <w:bCs/>
          <w:color w:val="auto"/>
          <w:kern w:val="0"/>
          <w:sz w:val="32"/>
          <w:szCs w:val="32"/>
          <w:lang w:bidi="ar"/>
        </w:rPr>
        <w:t>（二）锚定特色展作为，塑造发展优势。</w:t>
      </w:r>
      <w:r>
        <w:rPr>
          <w:rFonts w:hint="eastAsia" w:ascii="仿宋_GB2312" w:hAnsi="仿宋_GB2312" w:eastAsia="仿宋_GB2312" w:cs="仿宋_GB2312"/>
          <w:color w:val="auto"/>
          <w:kern w:val="0"/>
          <w:sz w:val="32"/>
          <w:szCs w:val="32"/>
          <w:lang w:bidi="ar"/>
        </w:rPr>
        <w:t>一是全面提升人居环境。巩固“美家美户”创建成果，推广和美乡村建设经验。严格农房风貌管控，落实花瑶风貌引导。深入推进垃圾、污水治理和“厕所革命”。二是推动文旅深度融合。持续打造“北斗溪七星杯”篮球文化节品牌，丰富文旅活动内涵。深化“政府统筹+专业运营+村民持股”模式，提升核心景点运营水平。加大非遗、研学等IP资源宣传推广。三是加强生态保护修复。跟进黑臭水体治理，强化秸秆禁烧常态化监管。落实林长制、河长制，加强林业有害生物防治和河道管理。完善饮用水源地、人工湿地等生态设施长效管护机制。</w:t>
      </w:r>
    </w:p>
    <w:p w14:paraId="3544DDDA">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b/>
          <w:bCs/>
          <w:color w:val="auto"/>
          <w:kern w:val="0"/>
          <w:sz w:val="32"/>
          <w:szCs w:val="32"/>
          <w:lang w:bidi="ar"/>
        </w:rPr>
        <w:t>（三）改善民生见实效，促进和谐稳定。</w:t>
      </w:r>
      <w:r>
        <w:rPr>
          <w:rFonts w:hint="eastAsia" w:ascii="仿宋_GB2312" w:hAnsi="仿宋_GB2312" w:eastAsia="仿宋_GB2312" w:cs="仿宋_GB2312"/>
          <w:color w:val="auto"/>
          <w:kern w:val="0"/>
          <w:sz w:val="32"/>
          <w:szCs w:val="32"/>
          <w:lang w:bidi="ar"/>
        </w:rPr>
        <w:t>一是织密扎牢社会保障网。加强对困难妇女儿童、退役军人、残疾人等群体的精准帮扶和关爱服务。落实就业优先政策，做好重点群体就业服务。二是提升基层治理效能。坚持和发展新时代“枫桥经验”，深化矛盾纠纷多元化解。推进“智慧治理”平台应用，提升应急管理体系和能力现代化水平。强化校园周边安全、未成年人保护、防溺水等工作。三是守牢安全发展底线。持续开展重点领域安全隐患排查整治，压实安全生产责任。加强食品药品安全监管。做好防汛抗旱、地质灾害防治等工作，保障人民群众生命财产安全。</w:t>
      </w:r>
    </w:p>
    <w:p w14:paraId="6D66AD23">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b/>
          <w:bCs/>
          <w:color w:val="auto"/>
          <w:kern w:val="0"/>
          <w:sz w:val="32"/>
          <w:szCs w:val="32"/>
          <w:lang w:bidi="ar"/>
        </w:rPr>
        <w:t>（四）强化自身建设，提升执政能力。</w:t>
      </w:r>
      <w:r>
        <w:rPr>
          <w:rFonts w:hint="eastAsia" w:ascii="仿宋_GB2312" w:hAnsi="仿宋_GB2312" w:eastAsia="仿宋_GB2312" w:cs="仿宋_GB2312"/>
          <w:color w:val="auto"/>
          <w:kern w:val="0"/>
          <w:sz w:val="32"/>
          <w:szCs w:val="32"/>
          <w:lang w:bidi="ar"/>
        </w:rPr>
        <w:t>坚持和加强党的全面领导，巩固拓展主题教育成果。深化党风廉政建设，严肃执纪问责。加强干部队伍思想淬炼、政治历练、实践锻炼、专业训练，打造忠诚干净担当的高素质干部队伍。牢固树立过紧日子思想，提高财政资金使用效益。</w:t>
      </w:r>
    </w:p>
    <w:p w14:paraId="77ED97F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新征程充满光荣与梦想，新使命呼唤责任与担当。让我们更加紧密地团结起来，在镇党委的坚强领导下，坚定信心、开拓进取，为加快建设更高水平的“党建示范强镇、产旅融合重镇、生态和谐绿镇、休闲旅游名镇”而团结奋斗！</w:t>
      </w:r>
    </w:p>
    <w:p w14:paraId="615AE587">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44"/>
          <w:szCs w:val="32"/>
          <w:lang w:bidi="ar"/>
        </w:rPr>
      </w:pPr>
    </w:p>
    <w:p w14:paraId="7C0ADFE4">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44"/>
          <w:szCs w:val="32"/>
          <w:lang w:bidi="ar"/>
        </w:rPr>
      </w:pPr>
    </w:p>
    <w:p w14:paraId="09FA15DA">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color w:val="auto"/>
        </w:rPr>
      </w:pPr>
    </w:p>
    <w:sectPr>
      <w:footerReference r:id="rId3" w:type="default"/>
      <w:pgSz w:w="11906" w:h="16838"/>
      <w:pgMar w:top="1587" w:right="1474"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B68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37F26">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F37F26">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D45472"/>
    <w:rsid w:val="19B80924"/>
    <w:rsid w:val="26652B33"/>
    <w:rsid w:val="26795443"/>
    <w:rsid w:val="34461ADA"/>
    <w:rsid w:val="370B7A5D"/>
    <w:rsid w:val="40A36894"/>
    <w:rsid w:val="50AF5D81"/>
    <w:rsid w:val="537A2677"/>
    <w:rsid w:val="6CDA6238"/>
    <w:rsid w:val="7BB34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ascii="Times New Roman" w:hAnsi="Times New Roman"/>
      <w:sz w:val="18"/>
    </w:rPr>
  </w:style>
  <w:style w:type="paragraph" w:styleId="3">
    <w:name w:val="Normal (Web)"/>
    <w:basedOn w:val="1"/>
    <w:unhideWhenUsed/>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5898</Words>
  <Characters>6105</Characters>
  <Lines>0</Lines>
  <Paragraphs>0</Paragraphs>
  <TotalTime>16</TotalTime>
  <ScaleCrop>false</ScaleCrop>
  <LinksUpToDate>false</LinksUpToDate>
  <CharactersWithSpaces>6108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2025-03-05T02:16:00Z</dcterms:created>
  <dc:creator>Administrator</dc:creator>
  <cp:lastModifiedBy>WPS_1650981104</cp:lastModifiedBy>
  <dcterms:modified xsi:type="dcterms:W3CDTF">2026-01-07T02:24:52Z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eyJoZGlkIjoiMGY0OTIxYjQ4YWYxZjY5MzZmNzY0NGU4MTJmNmRkMWIiLCJ1c2VySWQiOiI5MTgyNDc1NDUifQ==</vt:lpwstr>
  </property>
  <property fmtid="{D5CDD505-2E9C-101B-9397-08002B2CF9AE}" pid="4" name="ICV">
    <vt:lpwstr>7CCB1D4817A14BA683537EFDC6B8EC0D_13</vt:lpwstr>
  </property>
</Properties>
</file>