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rPr>
        <w:t>统溪河镇部门决算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rFonts w:asciiTheme="majorEastAsia" w:hAnsiTheme="majorEastAsia" w:eastAsiaTheme="majorEastAsia"/>
        </w:rPr>
      </w:pPr>
    </w:p>
    <w:p>
      <w:pPr>
        <w:pStyle w:val="10"/>
        <w:jc w:val="center"/>
        <w:rPr>
          <w:rFonts w:asciiTheme="majorEastAsia" w:hAnsiTheme="majorEastAsia" w:eastAsiaTheme="majorEastAsia"/>
        </w:rPr>
      </w:pPr>
    </w:p>
    <w:p>
      <w:pPr>
        <w:pStyle w:val="10"/>
        <w:jc w:val="center"/>
        <w:rPr>
          <w:rFonts w:asciiTheme="majorEastAsia" w:hAnsiTheme="majorEastAsia" w:eastAsiaTheme="majorEastAsia"/>
        </w:rPr>
      </w:pPr>
    </w:p>
    <w:p>
      <w:pPr>
        <w:pStyle w:val="10"/>
        <w:jc w:val="center"/>
        <w:rPr>
          <w:rFonts w:asciiTheme="majorEastAsia" w:hAnsiTheme="majorEastAsia" w:eastAsiaTheme="majorEastAsia"/>
        </w:rPr>
      </w:pPr>
    </w:p>
    <w:p>
      <w:pPr>
        <w:pStyle w:val="10"/>
        <w:jc w:val="center"/>
        <w:rPr>
          <w:rFonts w:asciiTheme="majorEastAsia" w:hAnsiTheme="majorEastAsia" w:eastAsiaTheme="majorEastAsia"/>
        </w:rPr>
      </w:pPr>
    </w:p>
    <w:p>
      <w:pPr>
        <w:pStyle w:val="10"/>
        <w:jc w:val="center"/>
        <w:rPr>
          <w:rFonts w:asciiTheme="majorEastAsia" w:hAnsiTheme="majorEastAsia" w:eastAsiaTheme="majorEastAsia"/>
        </w:rPr>
      </w:pPr>
    </w:p>
    <w:p>
      <w:pPr>
        <w:pStyle w:val="10"/>
        <w:rPr>
          <w:rFonts w:asciiTheme="majorEastAsia" w:hAnsiTheme="majorEastAsia" w:eastAsiaTheme="majorEastAsia"/>
        </w:rPr>
      </w:pPr>
      <w:r>
        <w:rPr>
          <w:rFonts w:hint="eastAsia" w:asciiTheme="majorEastAsia" w:hAnsiTheme="majorEastAsia" w:eastAsiaTheme="majorEastAsia"/>
        </w:rPr>
        <w:t>严格按照模板内容逐条公开，公开内容没有或内容涉密的，也应注明没有该事项发生或涉密不予公开（此句公开时请删除）。</w:t>
      </w:r>
    </w:p>
    <w:p>
      <w:pPr>
        <w:pStyle w:val="10"/>
        <w:spacing w:line="500" w:lineRule="exact"/>
        <w:jc w:val="center"/>
        <w:rPr>
          <w:rFonts w:asciiTheme="majorEastAsia" w:hAnsiTheme="majorEastAsia" w:eastAsiaTheme="majorEastAsia"/>
          <w:b/>
        </w:rPr>
      </w:pPr>
    </w:p>
    <w:p>
      <w:pPr>
        <w:pStyle w:val="10"/>
        <w:spacing w:line="500" w:lineRule="exact"/>
        <w:jc w:val="center"/>
        <w:rPr>
          <w:rFonts w:hint="eastAsia" w:asciiTheme="majorEastAsia" w:hAnsiTheme="majorEastAsia" w:eastAsiaTheme="majorEastAsia"/>
          <w:b/>
        </w:rPr>
      </w:pPr>
    </w:p>
    <w:p>
      <w:pPr>
        <w:pStyle w:val="10"/>
        <w:spacing w:line="500" w:lineRule="exact"/>
        <w:jc w:val="center"/>
        <w:rPr>
          <w:rFonts w:hint="eastAsia" w:asciiTheme="majorEastAsia" w:hAnsiTheme="majorEastAsia" w:eastAsiaTheme="majorEastAsia"/>
          <w:b/>
        </w:rPr>
      </w:pPr>
    </w:p>
    <w:p>
      <w:pPr>
        <w:pStyle w:val="10"/>
        <w:spacing w:line="500" w:lineRule="exact"/>
        <w:jc w:val="center"/>
        <w:rPr>
          <w:rFonts w:hint="eastAsia" w:asciiTheme="majorEastAsia" w:hAnsiTheme="majorEastAsia" w:eastAsiaTheme="majorEastAsia"/>
          <w:b/>
        </w:rPr>
      </w:pPr>
    </w:p>
    <w:p>
      <w:pPr>
        <w:pStyle w:val="10"/>
        <w:spacing w:line="500" w:lineRule="exact"/>
        <w:jc w:val="center"/>
        <w:rPr>
          <w:rFonts w:hint="eastAsia" w:asciiTheme="majorEastAsia" w:hAnsiTheme="majorEastAsia" w:eastAsiaTheme="majorEastAsia"/>
          <w:b/>
        </w:rPr>
      </w:pPr>
    </w:p>
    <w:p>
      <w:pPr>
        <w:pStyle w:val="10"/>
        <w:spacing w:line="500" w:lineRule="exact"/>
        <w:jc w:val="center"/>
        <w:rPr>
          <w:rFonts w:asciiTheme="majorEastAsia" w:hAnsiTheme="majorEastAsia" w:eastAsiaTheme="majorEastAsia"/>
          <w:b/>
        </w:rPr>
      </w:pPr>
      <w:r>
        <w:rPr>
          <w:rFonts w:hint="eastAsia" w:asciiTheme="majorEastAsia" w:hAnsiTheme="majorEastAsia" w:eastAsiaTheme="majorEastAsia"/>
          <w:b/>
        </w:rPr>
        <w:t>目录</w:t>
      </w:r>
    </w:p>
    <w:p>
      <w:pPr>
        <w:pStyle w:val="10"/>
        <w:spacing w:line="500" w:lineRule="exact"/>
        <w:rPr>
          <w:rFonts w:cs="仿宋_GB2312" w:asciiTheme="majorEastAsia" w:hAnsiTheme="majorEastAsia" w:eastAsiaTheme="majorEastAsia"/>
          <w:b/>
        </w:rPr>
      </w:pPr>
      <w:r>
        <w:rPr>
          <w:rFonts w:hint="eastAsia" w:asciiTheme="majorEastAsia" w:hAnsiTheme="majorEastAsia" w:eastAsiaTheme="majorEastAsia"/>
          <w:b/>
        </w:rPr>
        <w:t>第一部分统溪河镇单位概况</w:t>
      </w:r>
    </w:p>
    <w:p>
      <w:pPr>
        <w:pStyle w:val="10"/>
        <w:spacing w:line="500" w:lineRule="exact"/>
        <w:ind w:firstLine="600" w:firstLineChars="250"/>
        <w:rPr>
          <w:rFonts w:cs="仿宋_GB2312" w:asciiTheme="majorEastAsia" w:hAnsiTheme="majorEastAsia" w:eastAsiaTheme="majorEastAsia"/>
        </w:rPr>
      </w:pPr>
      <w:r>
        <w:rPr>
          <w:rFonts w:cs="仿宋_GB2312" w:asciiTheme="majorEastAsia" w:hAnsiTheme="majorEastAsia" w:eastAsiaTheme="majorEastAsia"/>
        </w:rPr>
        <w:t>一、部门职责</w:t>
      </w:r>
    </w:p>
    <w:p>
      <w:pPr>
        <w:pStyle w:val="10"/>
        <w:spacing w:line="500" w:lineRule="exact"/>
        <w:ind w:firstLine="600" w:firstLineChars="250"/>
        <w:rPr>
          <w:rFonts w:cs="仿宋_GB2312" w:asciiTheme="majorEastAsia" w:hAnsiTheme="majorEastAsia" w:eastAsiaTheme="majorEastAsia"/>
        </w:rPr>
      </w:pPr>
      <w:r>
        <w:rPr>
          <w:rFonts w:cs="仿宋_GB2312" w:asciiTheme="majorEastAsia" w:hAnsiTheme="majorEastAsia" w:eastAsiaTheme="majorEastAsia"/>
        </w:rPr>
        <w:t>二、机构设置</w:t>
      </w:r>
    </w:p>
    <w:p>
      <w:pPr>
        <w:pStyle w:val="10"/>
        <w:spacing w:line="500" w:lineRule="exact"/>
        <w:rPr>
          <w:rFonts w:cs="仿宋_GB2312" w:asciiTheme="majorEastAsia" w:hAnsiTheme="majorEastAsia" w:eastAsiaTheme="majorEastAsia"/>
          <w:b/>
        </w:rPr>
      </w:pPr>
      <w:r>
        <w:rPr>
          <w:rFonts w:hint="eastAsia" w:asciiTheme="majorEastAsia" w:hAnsiTheme="majorEastAsia" w:eastAsiaTheme="majorEastAsia"/>
          <w:b/>
        </w:rPr>
        <w:t>第二部分</w:t>
      </w:r>
      <w:r>
        <w:rPr>
          <w:rFonts w:asciiTheme="majorEastAsia" w:hAnsiTheme="majorEastAsia" w:eastAsiaTheme="majorEastAsia"/>
          <w:b/>
        </w:rPr>
        <w:t>20</w:t>
      </w:r>
      <w:r>
        <w:rPr>
          <w:rFonts w:hint="eastAsia" w:asciiTheme="majorEastAsia" w:hAnsiTheme="majorEastAsia" w:eastAsiaTheme="majorEastAsia"/>
          <w:b/>
        </w:rPr>
        <w:t>20年度部门决算表</w:t>
      </w:r>
    </w:p>
    <w:p>
      <w:pPr>
        <w:pStyle w:val="10"/>
        <w:spacing w:line="500" w:lineRule="exact"/>
        <w:ind w:firstLine="600" w:firstLineChars="250"/>
        <w:rPr>
          <w:rFonts w:cs="仿宋_GB2312" w:asciiTheme="majorEastAsia" w:hAnsiTheme="majorEastAsia" w:eastAsiaTheme="majorEastAsia"/>
        </w:rPr>
      </w:pPr>
      <w:r>
        <w:rPr>
          <w:rFonts w:cs="仿宋_GB2312" w:asciiTheme="majorEastAsia" w:hAnsiTheme="majorEastAsia" w:eastAsiaTheme="majorEastAsia"/>
        </w:rPr>
        <w:t>一、收入支出决算总表</w:t>
      </w:r>
    </w:p>
    <w:p>
      <w:pPr>
        <w:pStyle w:val="10"/>
        <w:spacing w:line="500" w:lineRule="exact"/>
        <w:ind w:firstLine="600" w:firstLineChars="250"/>
        <w:rPr>
          <w:rFonts w:cs="仿宋_GB2312" w:asciiTheme="majorEastAsia" w:hAnsiTheme="majorEastAsia" w:eastAsiaTheme="majorEastAsia"/>
        </w:rPr>
      </w:pPr>
      <w:r>
        <w:rPr>
          <w:rFonts w:cs="仿宋_GB2312" w:asciiTheme="majorEastAsia" w:hAnsiTheme="majorEastAsia" w:eastAsiaTheme="majorEastAsia"/>
        </w:rPr>
        <w:t>二、收入决算表</w:t>
      </w:r>
    </w:p>
    <w:p>
      <w:pPr>
        <w:pStyle w:val="10"/>
        <w:spacing w:line="500" w:lineRule="exact"/>
        <w:ind w:firstLine="600" w:firstLineChars="250"/>
        <w:rPr>
          <w:rFonts w:cs="仿宋_GB2312" w:asciiTheme="majorEastAsia" w:hAnsiTheme="majorEastAsia" w:eastAsiaTheme="majorEastAsia"/>
        </w:rPr>
      </w:pPr>
      <w:r>
        <w:rPr>
          <w:rFonts w:cs="仿宋_GB2312" w:asciiTheme="majorEastAsia" w:hAnsiTheme="majorEastAsia" w:eastAsiaTheme="majorEastAsia"/>
        </w:rPr>
        <w:t>三、支出决算表</w:t>
      </w:r>
    </w:p>
    <w:p>
      <w:pPr>
        <w:pStyle w:val="10"/>
        <w:spacing w:line="500" w:lineRule="exact"/>
        <w:ind w:firstLine="600" w:firstLineChars="250"/>
        <w:rPr>
          <w:rFonts w:cs="仿宋_GB2312" w:asciiTheme="majorEastAsia" w:hAnsiTheme="majorEastAsia" w:eastAsiaTheme="majorEastAsia"/>
        </w:rPr>
      </w:pPr>
      <w:r>
        <w:rPr>
          <w:rFonts w:cs="仿宋_GB2312" w:asciiTheme="majorEastAsia" w:hAnsiTheme="majorEastAsia" w:eastAsiaTheme="majorEastAsia"/>
        </w:rPr>
        <w:t>四、财政拨款收入支出决算总表</w:t>
      </w:r>
    </w:p>
    <w:p>
      <w:pPr>
        <w:pStyle w:val="10"/>
        <w:spacing w:line="500" w:lineRule="exact"/>
        <w:ind w:firstLine="600" w:firstLineChars="250"/>
        <w:rPr>
          <w:rFonts w:cs="仿宋_GB2312" w:asciiTheme="majorEastAsia" w:hAnsiTheme="majorEastAsia" w:eastAsiaTheme="majorEastAsia"/>
        </w:rPr>
      </w:pPr>
      <w:r>
        <w:rPr>
          <w:rFonts w:cs="仿宋_GB2312" w:asciiTheme="majorEastAsia" w:hAnsiTheme="majorEastAsia" w:eastAsiaTheme="majorEastAsia"/>
        </w:rPr>
        <w:t>五、一般公共预算财政拨款支出决算表</w:t>
      </w:r>
    </w:p>
    <w:p>
      <w:pPr>
        <w:pStyle w:val="10"/>
        <w:spacing w:line="500" w:lineRule="exact"/>
        <w:ind w:firstLine="600" w:firstLineChars="250"/>
        <w:rPr>
          <w:rFonts w:cs="仿宋_GB2312" w:asciiTheme="majorEastAsia" w:hAnsiTheme="majorEastAsia" w:eastAsiaTheme="majorEastAsia"/>
        </w:rPr>
      </w:pPr>
      <w:r>
        <w:rPr>
          <w:rFonts w:cs="仿宋_GB2312" w:asciiTheme="majorEastAsia" w:hAnsiTheme="majorEastAsia" w:eastAsiaTheme="majorEastAsia"/>
        </w:rPr>
        <w:t>六、一般公共预算财政拨款基本支出决算表</w:t>
      </w:r>
    </w:p>
    <w:p>
      <w:pPr>
        <w:pStyle w:val="10"/>
        <w:spacing w:line="500" w:lineRule="exact"/>
        <w:ind w:firstLine="600" w:firstLineChars="250"/>
        <w:rPr>
          <w:rFonts w:cs="仿宋_GB2312" w:asciiTheme="majorEastAsia" w:hAnsiTheme="majorEastAsia" w:eastAsiaTheme="majorEastAsia"/>
        </w:rPr>
      </w:pPr>
      <w:r>
        <w:rPr>
          <w:rFonts w:cs="仿宋_GB2312" w:asciiTheme="majorEastAsia" w:hAnsiTheme="majorEastAsia" w:eastAsiaTheme="majorEastAsia"/>
        </w:rPr>
        <w:t>七、一般公共预算财政拨款“三公”经费支出决算表</w:t>
      </w:r>
    </w:p>
    <w:p>
      <w:pPr>
        <w:pStyle w:val="10"/>
        <w:spacing w:line="500" w:lineRule="exact"/>
        <w:ind w:firstLine="600" w:firstLineChars="250"/>
        <w:rPr>
          <w:rFonts w:cs="仿宋_GB2312" w:asciiTheme="majorEastAsia" w:hAnsiTheme="majorEastAsia" w:eastAsiaTheme="majorEastAsia"/>
        </w:rPr>
      </w:pPr>
      <w:r>
        <w:rPr>
          <w:rFonts w:cs="仿宋_GB2312" w:asciiTheme="majorEastAsia" w:hAnsiTheme="majorEastAsia" w:eastAsiaTheme="majorEastAsia"/>
        </w:rPr>
        <w:t>八、政府性基金预算财政拨款收入支出决算表</w:t>
      </w:r>
    </w:p>
    <w:p>
      <w:pPr>
        <w:pStyle w:val="10"/>
        <w:spacing w:line="500" w:lineRule="exact"/>
        <w:ind w:firstLine="600" w:firstLineChars="250"/>
        <w:rPr>
          <w:rFonts w:cs="仿宋_GB2312" w:asciiTheme="majorEastAsia" w:hAnsiTheme="majorEastAsia" w:eastAsiaTheme="majorEastAsia"/>
        </w:rPr>
      </w:pPr>
      <w:r>
        <w:rPr>
          <w:rFonts w:hint="eastAsia" w:cs="仿宋_GB2312" w:asciiTheme="majorEastAsia" w:hAnsiTheme="majorEastAsia" w:eastAsiaTheme="majorEastAsia"/>
        </w:rPr>
        <w:t>九、国有资本经营预算财政拨款支出决算表</w:t>
      </w:r>
    </w:p>
    <w:p>
      <w:pPr>
        <w:pStyle w:val="10"/>
        <w:spacing w:line="500" w:lineRule="exact"/>
        <w:rPr>
          <w:rFonts w:cs="仿宋_GB2312" w:asciiTheme="majorEastAsia" w:hAnsiTheme="majorEastAsia" w:eastAsiaTheme="majorEastAsia"/>
          <w:b/>
        </w:rPr>
      </w:pPr>
      <w:r>
        <w:rPr>
          <w:rFonts w:hint="eastAsia" w:asciiTheme="majorEastAsia" w:hAnsiTheme="majorEastAsia" w:eastAsiaTheme="majorEastAsia"/>
          <w:b/>
        </w:rPr>
        <w:t>第三部分</w:t>
      </w:r>
      <w:r>
        <w:rPr>
          <w:rFonts w:asciiTheme="majorEastAsia" w:hAnsiTheme="majorEastAsia" w:eastAsiaTheme="majorEastAsia"/>
          <w:b/>
        </w:rPr>
        <w:t>20</w:t>
      </w:r>
      <w:r>
        <w:rPr>
          <w:rFonts w:hint="eastAsia" w:asciiTheme="majorEastAsia" w:hAnsiTheme="majorEastAsia" w:eastAsiaTheme="majorEastAsia"/>
          <w:b/>
        </w:rPr>
        <w:t>20年度部门决算情况说明</w:t>
      </w:r>
    </w:p>
    <w:p>
      <w:pPr>
        <w:pStyle w:val="10"/>
        <w:spacing w:line="500" w:lineRule="exact"/>
        <w:ind w:firstLine="600" w:firstLineChars="250"/>
        <w:rPr>
          <w:rFonts w:cs="仿宋_GB2312" w:asciiTheme="majorEastAsia" w:hAnsiTheme="majorEastAsia" w:eastAsiaTheme="majorEastAsia"/>
        </w:rPr>
      </w:pPr>
      <w:r>
        <w:rPr>
          <w:rFonts w:cs="仿宋_GB2312" w:asciiTheme="majorEastAsia" w:hAnsiTheme="majorEastAsia" w:eastAsiaTheme="majorEastAsia"/>
        </w:rPr>
        <w:t>一、收入支出决算总体情况说明</w:t>
      </w:r>
    </w:p>
    <w:p>
      <w:pPr>
        <w:spacing w:line="500" w:lineRule="exact"/>
        <w:ind w:firstLine="600" w:firstLineChars="250"/>
        <w:jc w:val="left"/>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二、收入决算情况说明</w:t>
      </w:r>
    </w:p>
    <w:p>
      <w:pPr>
        <w:autoSpaceDE w:val="0"/>
        <w:autoSpaceDN w:val="0"/>
        <w:adjustRightInd w:val="0"/>
        <w:spacing w:line="500" w:lineRule="exact"/>
        <w:ind w:firstLine="600" w:firstLineChars="250"/>
        <w:jc w:val="left"/>
        <w:rPr>
          <w:rFonts w:cs="仿宋_GB2312" w:asciiTheme="majorEastAsia" w:hAnsiTheme="majorEastAsia" w:eastAsiaTheme="majorEastAsia"/>
          <w:color w:val="000000"/>
          <w:kern w:val="0"/>
          <w:sz w:val="24"/>
          <w:szCs w:val="24"/>
        </w:rPr>
      </w:pPr>
      <w:r>
        <w:rPr>
          <w:rFonts w:cs="仿宋_GB2312" w:asciiTheme="majorEastAsia" w:hAnsiTheme="majorEastAsia" w:eastAsiaTheme="majorEastAsia"/>
          <w:color w:val="000000"/>
          <w:kern w:val="0"/>
          <w:sz w:val="24"/>
          <w:szCs w:val="24"/>
        </w:rPr>
        <w:t>三、支出决算情况说明</w:t>
      </w:r>
    </w:p>
    <w:p>
      <w:pPr>
        <w:autoSpaceDE w:val="0"/>
        <w:autoSpaceDN w:val="0"/>
        <w:adjustRightInd w:val="0"/>
        <w:spacing w:line="500" w:lineRule="exact"/>
        <w:ind w:firstLine="600" w:firstLineChars="250"/>
        <w:jc w:val="left"/>
        <w:rPr>
          <w:rFonts w:cs="仿宋_GB2312" w:asciiTheme="majorEastAsia" w:hAnsiTheme="majorEastAsia" w:eastAsiaTheme="majorEastAsia"/>
          <w:color w:val="000000"/>
          <w:kern w:val="0"/>
          <w:sz w:val="24"/>
          <w:szCs w:val="24"/>
        </w:rPr>
      </w:pPr>
      <w:r>
        <w:rPr>
          <w:rFonts w:cs="仿宋_GB2312" w:asciiTheme="majorEastAsia" w:hAnsiTheme="majorEastAsia" w:eastAsiaTheme="majorEastAsia"/>
          <w:color w:val="000000"/>
          <w:kern w:val="0"/>
          <w:sz w:val="24"/>
          <w:szCs w:val="24"/>
        </w:rPr>
        <w:t>四、财政拨款收入支出决算总体情况说明</w:t>
      </w:r>
    </w:p>
    <w:p>
      <w:pPr>
        <w:autoSpaceDE w:val="0"/>
        <w:autoSpaceDN w:val="0"/>
        <w:adjustRightInd w:val="0"/>
        <w:spacing w:line="500" w:lineRule="exact"/>
        <w:ind w:firstLine="600" w:firstLineChars="250"/>
        <w:jc w:val="left"/>
        <w:rPr>
          <w:rFonts w:cs="仿宋_GB2312" w:asciiTheme="majorEastAsia" w:hAnsiTheme="majorEastAsia" w:eastAsiaTheme="majorEastAsia"/>
          <w:color w:val="000000"/>
          <w:kern w:val="0"/>
          <w:sz w:val="24"/>
          <w:szCs w:val="24"/>
        </w:rPr>
      </w:pPr>
      <w:r>
        <w:rPr>
          <w:rFonts w:cs="仿宋_GB2312" w:asciiTheme="majorEastAsia" w:hAnsiTheme="majorEastAsia" w:eastAsiaTheme="majorEastAsia"/>
          <w:color w:val="000000"/>
          <w:kern w:val="0"/>
          <w:sz w:val="24"/>
          <w:szCs w:val="24"/>
        </w:rPr>
        <w:t>五、一般公共预算财政拨款支出决算情况说明</w:t>
      </w:r>
    </w:p>
    <w:p>
      <w:pPr>
        <w:autoSpaceDE w:val="0"/>
        <w:autoSpaceDN w:val="0"/>
        <w:adjustRightInd w:val="0"/>
        <w:spacing w:line="500" w:lineRule="exact"/>
        <w:ind w:firstLine="600" w:firstLineChars="250"/>
        <w:jc w:val="left"/>
        <w:rPr>
          <w:rFonts w:cs="仿宋_GB2312" w:asciiTheme="majorEastAsia" w:hAnsiTheme="majorEastAsia" w:eastAsiaTheme="majorEastAsia"/>
          <w:color w:val="000000"/>
          <w:kern w:val="0"/>
          <w:sz w:val="24"/>
          <w:szCs w:val="24"/>
        </w:rPr>
      </w:pPr>
      <w:r>
        <w:rPr>
          <w:rFonts w:cs="仿宋_GB2312" w:asciiTheme="majorEastAsia" w:hAnsiTheme="majorEastAsia" w:eastAsiaTheme="majorEastAsia"/>
          <w:color w:val="000000"/>
          <w:kern w:val="0"/>
          <w:sz w:val="24"/>
          <w:szCs w:val="24"/>
        </w:rPr>
        <w:t>六、一般公共预算财政拨款基本支出决算情况说明</w:t>
      </w:r>
    </w:p>
    <w:p>
      <w:pPr>
        <w:autoSpaceDE w:val="0"/>
        <w:autoSpaceDN w:val="0"/>
        <w:adjustRightInd w:val="0"/>
        <w:spacing w:line="500" w:lineRule="exact"/>
        <w:ind w:firstLine="600" w:firstLineChars="250"/>
        <w:jc w:val="left"/>
        <w:rPr>
          <w:rFonts w:cs="仿宋_GB2312" w:asciiTheme="majorEastAsia" w:hAnsiTheme="majorEastAsia" w:eastAsiaTheme="majorEastAsia"/>
          <w:color w:val="000000"/>
          <w:kern w:val="0"/>
          <w:sz w:val="24"/>
          <w:szCs w:val="24"/>
        </w:rPr>
      </w:pPr>
      <w:r>
        <w:rPr>
          <w:rFonts w:cs="仿宋_GB2312" w:asciiTheme="majorEastAsia" w:hAnsiTheme="majorEastAsia" w:eastAsiaTheme="majorEastAsia"/>
          <w:color w:val="000000"/>
          <w:kern w:val="0"/>
          <w:sz w:val="24"/>
          <w:szCs w:val="24"/>
        </w:rPr>
        <w:t>七、一般公共预算财政拨款三公经费支出决算情况说明</w:t>
      </w:r>
    </w:p>
    <w:p>
      <w:pPr>
        <w:autoSpaceDE w:val="0"/>
        <w:autoSpaceDN w:val="0"/>
        <w:adjustRightInd w:val="0"/>
        <w:spacing w:line="500" w:lineRule="exact"/>
        <w:ind w:firstLine="600" w:firstLineChars="250"/>
        <w:jc w:val="left"/>
        <w:rPr>
          <w:rFonts w:cs="仿宋_GB2312" w:asciiTheme="majorEastAsia" w:hAnsiTheme="majorEastAsia" w:eastAsiaTheme="majorEastAsia"/>
          <w:color w:val="000000"/>
          <w:kern w:val="0"/>
          <w:sz w:val="24"/>
          <w:szCs w:val="24"/>
        </w:rPr>
      </w:pPr>
      <w:r>
        <w:rPr>
          <w:rFonts w:hint="eastAsia" w:cs="仿宋_GB2312" w:asciiTheme="majorEastAsia" w:hAnsiTheme="majorEastAsia" w:eastAsiaTheme="majorEastAsia"/>
          <w:color w:val="000000"/>
          <w:kern w:val="0"/>
          <w:sz w:val="24"/>
          <w:szCs w:val="24"/>
        </w:rPr>
        <w:t>八</w:t>
      </w:r>
      <w:r>
        <w:rPr>
          <w:rFonts w:cs="仿宋_GB2312" w:asciiTheme="majorEastAsia" w:hAnsiTheme="majorEastAsia" w:eastAsiaTheme="majorEastAsia"/>
          <w:color w:val="000000"/>
          <w:kern w:val="0"/>
          <w:sz w:val="24"/>
          <w:szCs w:val="24"/>
        </w:rPr>
        <w:t>、</w:t>
      </w:r>
      <w:r>
        <w:rPr>
          <w:rFonts w:hint="eastAsia" w:cs="仿宋_GB2312" w:asciiTheme="majorEastAsia" w:hAnsiTheme="majorEastAsia" w:eastAsiaTheme="majorEastAsia"/>
          <w:color w:val="000000"/>
          <w:kern w:val="0"/>
          <w:sz w:val="24"/>
          <w:szCs w:val="24"/>
        </w:rPr>
        <w:t>政府性基金预算收入支出决算情况</w:t>
      </w:r>
    </w:p>
    <w:p>
      <w:pPr>
        <w:autoSpaceDE w:val="0"/>
        <w:autoSpaceDN w:val="0"/>
        <w:adjustRightInd w:val="0"/>
        <w:spacing w:line="500" w:lineRule="exact"/>
        <w:ind w:firstLine="600" w:firstLineChars="250"/>
        <w:jc w:val="left"/>
        <w:rPr>
          <w:rFonts w:cs="仿宋_GB2312" w:asciiTheme="majorEastAsia" w:hAnsiTheme="majorEastAsia" w:eastAsiaTheme="majorEastAsia"/>
          <w:color w:val="000000"/>
          <w:kern w:val="0"/>
          <w:sz w:val="24"/>
          <w:szCs w:val="24"/>
        </w:rPr>
      </w:pPr>
      <w:r>
        <w:rPr>
          <w:rFonts w:hint="eastAsia" w:cs="仿宋_GB2312" w:asciiTheme="majorEastAsia" w:hAnsiTheme="majorEastAsia" w:eastAsiaTheme="majorEastAsia"/>
          <w:color w:val="000000"/>
          <w:kern w:val="0"/>
          <w:sz w:val="24"/>
          <w:szCs w:val="24"/>
        </w:rPr>
        <w:t>九</w:t>
      </w:r>
      <w:r>
        <w:rPr>
          <w:rFonts w:cs="仿宋_GB2312" w:asciiTheme="majorEastAsia" w:hAnsiTheme="majorEastAsia" w:eastAsiaTheme="majorEastAsia"/>
          <w:color w:val="000000"/>
          <w:kern w:val="0"/>
          <w:sz w:val="24"/>
          <w:szCs w:val="24"/>
        </w:rPr>
        <w:t>、</w:t>
      </w:r>
      <w:r>
        <w:rPr>
          <w:rFonts w:hint="eastAsia" w:cs="仿宋_GB2312" w:asciiTheme="majorEastAsia" w:hAnsiTheme="majorEastAsia" w:eastAsiaTheme="majorEastAsia"/>
          <w:color w:val="000000"/>
          <w:kern w:val="0"/>
          <w:sz w:val="24"/>
          <w:szCs w:val="24"/>
        </w:rPr>
        <w:t>关于机关运行经费支出说明</w:t>
      </w:r>
    </w:p>
    <w:p>
      <w:pPr>
        <w:autoSpaceDE w:val="0"/>
        <w:autoSpaceDN w:val="0"/>
        <w:adjustRightInd w:val="0"/>
        <w:spacing w:line="500" w:lineRule="exact"/>
        <w:ind w:firstLine="600" w:firstLineChars="250"/>
        <w:jc w:val="left"/>
        <w:rPr>
          <w:rFonts w:cs="仿宋_GB2312" w:asciiTheme="majorEastAsia" w:hAnsiTheme="majorEastAsia" w:eastAsiaTheme="majorEastAsia"/>
          <w:color w:val="000000"/>
          <w:kern w:val="0"/>
          <w:sz w:val="24"/>
          <w:szCs w:val="24"/>
        </w:rPr>
      </w:pPr>
      <w:r>
        <w:rPr>
          <w:rFonts w:hint="eastAsia" w:cs="仿宋_GB2312" w:asciiTheme="majorEastAsia" w:hAnsiTheme="majorEastAsia" w:eastAsiaTheme="majorEastAsia"/>
          <w:color w:val="000000"/>
          <w:kern w:val="0"/>
          <w:sz w:val="24"/>
          <w:szCs w:val="24"/>
        </w:rPr>
        <w:t>十、一般性支出情况</w:t>
      </w:r>
    </w:p>
    <w:p>
      <w:pPr>
        <w:autoSpaceDE w:val="0"/>
        <w:autoSpaceDN w:val="0"/>
        <w:adjustRightInd w:val="0"/>
        <w:spacing w:line="500" w:lineRule="exact"/>
        <w:ind w:firstLine="600" w:firstLineChars="250"/>
        <w:jc w:val="left"/>
        <w:rPr>
          <w:rFonts w:cs="仿宋_GB2312" w:asciiTheme="majorEastAsia" w:hAnsiTheme="majorEastAsia" w:eastAsiaTheme="majorEastAsia"/>
          <w:color w:val="000000"/>
          <w:kern w:val="0"/>
          <w:sz w:val="24"/>
          <w:szCs w:val="24"/>
        </w:rPr>
      </w:pPr>
      <w:r>
        <w:rPr>
          <w:rFonts w:hint="eastAsia" w:cs="仿宋_GB2312" w:asciiTheme="majorEastAsia" w:hAnsiTheme="majorEastAsia" w:eastAsiaTheme="majorEastAsia"/>
          <w:color w:val="000000"/>
          <w:kern w:val="0"/>
          <w:sz w:val="24"/>
          <w:szCs w:val="24"/>
        </w:rPr>
        <w:t>十一、关于政府采购支出说明</w:t>
      </w:r>
    </w:p>
    <w:p>
      <w:pPr>
        <w:pStyle w:val="10"/>
        <w:spacing w:line="500" w:lineRule="exact"/>
        <w:ind w:firstLine="600" w:firstLineChars="250"/>
        <w:rPr>
          <w:rFonts w:cs="仿宋_GB2312" w:asciiTheme="majorEastAsia" w:hAnsiTheme="majorEastAsia" w:eastAsiaTheme="majorEastAsia"/>
        </w:rPr>
      </w:pPr>
      <w:r>
        <w:rPr>
          <w:rFonts w:hint="eastAsia" w:cs="仿宋_GB2312" w:asciiTheme="majorEastAsia" w:hAnsiTheme="majorEastAsia" w:eastAsiaTheme="majorEastAsia"/>
        </w:rPr>
        <w:t>十二、关于国有资产占用情况说明</w:t>
      </w:r>
    </w:p>
    <w:p>
      <w:pPr>
        <w:pStyle w:val="10"/>
        <w:spacing w:line="500" w:lineRule="exact"/>
        <w:ind w:firstLine="600" w:firstLineChars="250"/>
        <w:rPr>
          <w:rFonts w:cs="仿宋_GB2312" w:asciiTheme="majorEastAsia" w:hAnsiTheme="majorEastAsia" w:eastAsiaTheme="majorEastAsia"/>
        </w:rPr>
      </w:pPr>
      <w:r>
        <w:rPr>
          <w:rFonts w:hint="eastAsia" w:cs="仿宋_GB2312" w:asciiTheme="majorEastAsia" w:hAnsiTheme="majorEastAsia" w:eastAsiaTheme="majorEastAsia"/>
        </w:rPr>
        <w:t>十三、关于2020年度预算绩效情况的说明</w:t>
      </w:r>
    </w:p>
    <w:p>
      <w:pPr>
        <w:autoSpaceDE w:val="0"/>
        <w:autoSpaceDN w:val="0"/>
        <w:adjustRightInd w:val="0"/>
        <w:spacing w:line="500" w:lineRule="exact"/>
        <w:jc w:val="left"/>
        <w:rPr>
          <w:rFonts w:cs="黑体" w:asciiTheme="majorEastAsia" w:hAnsiTheme="majorEastAsia" w:eastAsiaTheme="majorEastAsia"/>
          <w:b/>
          <w:color w:val="000000"/>
          <w:kern w:val="0"/>
          <w:sz w:val="24"/>
          <w:szCs w:val="24"/>
        </w:rPr>
      </w:pPr>
      <w:r>
        <w:rPr>
          <w:rFonts w:cs="黑体" w:asciiTheme="majorEastAsia" w:hAnsiTheme="majorEastAsia" w:eastAsiaTheme="majorEastAsia"/>
          <w:b/>
          <w:color w:val="000000"/>
          <w:kern w:val="0"/>
          <w:sz w:val="24"/>
          <w:szCs w:val="24"/>
        </w:rPr>
        <w:t>第四部分名词解释</w:t>
      </w:r>
    </w:p>
    <w:p>
      <w:pPr>
        <w:autoSpaceDE w:val="0"/>
        <w:autoSpaceDN w:val="0"/>
        <w:adjustRightInd w:val="0"/>
        <w:spacing w:line="500" w:lineRule="exact"/>
        <w:jc w:val="left"/>
        <w:rPr>
          <w:rFonts w:cs="仿宋_GB2312" w:asciiTheme="majorEastAsia" w:hAnsiTheme="majorEastAsia" w:eastAsiaTheme="majorEastAsia"/>
          <w:b/>
          <w:color w:val="000000"/>
          <w:kern w:val="0"/>
          <w:sz w:val="24"/>
          <w:szCs w:val="24"/>
        </w:rPr>
      </w:pPr>
      <w:r>
        <w:rPr>
          <w:rFonts w:hint="eastAsia" w:cs="黑体" w:asciiTheme="majorEastAsia" w:hAnsiTheme="majorEastAsia" w:eastAsiaTheme="majorEastAsia"/>
          <w:b/>
          <w:color w:val="000000"/>
          <w:kern w:val="0"/>
          <w:sz w:val="24"/>
          <w:szCs w:val="24"/>
        </w:rPr>
        <w:t>第五部分附件</w:t>
      </w:r>
    </w:p>
    <w:p>
      <w:pPr>
        <w:jc w:val="center"/>
        <w:rPr>
          <w:sz w:val="72"/>
          <w:szCs w:val="72"/>
        </w:rPr>
      </w:pPr>
    </w:p>
    <w:p>
      <w:pPr>
        <w:jc w:val="center"/>
        <w:rPr>
          <w:sz w:val="72"/>
          <w:szCs w:val="72"/>
        </w:rPr>
      </w:pPr>
    </w:p>
    <w:p>
      <w:pPr>
        <w:jc w:val="center"/>
        <w:rPr>
          <w:sz w:val="72"/>
          <w:szCs w:val="72"/>
        </w:rPr>
      </w:pPr>
    </w:p>
    <w:p>
      <w:pPr>
        <w:pStyle w:val="10"/>
        <w:ind w:firstLine="4200" w:firstLineChars="500"/>
        <w:rPr>
          <w:sz w:val="84"/>
          <w:szCs w:val="84"/>
        </w:rPr>
      </w:pPr>
    </w:p>
    <w:p>
      <w:pPr>
        <w:pStyle w:val="10"/>
        <w:jc w:val="center"/>
        <w:rPr>
          <w:sz w:val="84"/>
          <w:szCs w:val="84"/>
        </w:rPr>
      </w:pPr>
    </w:p>
    <w:p>
      <w:pPr>
        <w:pStyle w:val="10"/>
        <w:jc w:val="center"/>
        <w:rPr>
          <w:sz w:val="84"/>
          <w:szCs w:val="84"/>
        </w:rPr>
      </w:pPr>
    </w:p>
    <w:p>
      <w:pPr>
        <w:pStyle w:val="10"/>
        <w:jc w:val="center"/>
        <w:rPr>
          <w:sz w:val="84"/>
          <w:szCs w:val="84"/>
        </w:rPr>
      </w:pPr>
    </w:p>
    <w:p>
      <w:pPr>
        <w:pStyle w:val="10"/>
        <w:jc w:val="center"/>
        <w:rPr>
          <w:sz w:val="84"/>
          <w:szCs w:val="84"/>
        </w:rPr>
      </w:pPr>
    </w:p>
    <w:p>
      <w:pPr>
        <w:pStyle w:val="10"/>
        <w:jc w:val="center"/>
        <w:rPr>
          <w:sz w:val="84"/>
          <w:szCs w:val="84"/>
        </w:rPr>
      </w:pPr>
    </w:p>
    <w:p>
      <w:pPr>
        <w:pStyle w:val="10"/>
        <w:jc w:val="center"/>
        <w:rPr>
          <w:sz w:val="84"/>
          <w:szCs w:val="84"/>
        </w:rPr>
      </w:pPr>
    </w:p>
    <w:p>
      <w:pPr>
        <w:pStyle w:val="10"/>
        <w:jc w:val="center"/>
        <w:rPr>
          <w:sz w:val="72"/>
          <w:szCs w:val="72"/>
        </w:rPr>
      </w:pPr>
      <w:r>
        <w:rPr>
          <w:rFonts w:hint="eastAsia"/>
          <w:sz w:val="72"/>
          <w:szCs w:val="72"/>
        </w:rPr>
        <w:t>第一部分</w:t>
      </w:r>
    </w:p>
    <w:p>
      <w:pPr>
        <w:pStyle w:val="10"/>
        <w:jc w:val="center"/>
        <w:rPr>
          <w:sz w:val="72"/>
          <w:szCs w:val="72"/>
        </w:rPr>
      </w:pPr>
    </w:p>
    <w:p>
      <w:pPr>
        <w:pStyle w:val="10"/>
        <w:jc w:val="center"/>
        <w:rPr>
          <w:sz w:val="84"/>
          <w:szCs w:val="84"/>
        </w:rPr>
      </w:pPr>
      <w:r>
        <w:rPr>
          <w:rFonts w:hint="eastAsia"/>
          <w:sz w:val="72"/>
          <w:szCs w:val="72"/>
        </w:rPr>
        <w:t>统溪河镇人民政府概况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13"/>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制定和组织实施经济、科技和社会发展计划，制定资源开发技术改造和产业结构方案，组织指导好各业生产，搞好商品流通，协调好本乡与外地区的经济交流与合作，抓好招商引资，人才引进项目开发，不断培育市场体系，组织经济运行，促进经济发展。</w:t>
      </w:r>
    </w:p>
    <w:p>
      <w:pPr>
        <w:pStyle w:val="13"/>
        <w:ind w:firstLine="691" w:firstLineChars="216"/>
        <w:rPr>
          <w:rFonts w:asciiTheme="majorEastAsia" w:hAnsiTheme="majorEastAsia" w:eastAsiaTheme="majorEastAsia"/>
          <w:sz w:val="32"/>
          <w:szCs w:val="32"/>
        </w:rPr>
      </w:pPr>
      <w:r>
        <w:rPr>
          <w:rFonts w:hint="eastAsia" w:asciiTheme="majorEastAsia" w:hAnsiTheme="majorEastAsia" w:eastAsiaTheme="majorEastAsia"/>
          <w:sz w:val="32"/>
          <w:szCs w:val="32"/>
        </w:rPr>
        <w:t>2、制定并组织实施村镇建设规划，部署重点工程建设，地方道路建设及公共设施，水利设施的管理，负责土地、林木、水等自然资源和生态环境的保护，做好护林防火工作。</w:t>
      </w:r>
    </w:p>
    <w:p>
      <w:pPr>
        <w:pStyle w:val="13"/>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pPr>
        <w:pStyle w:val="13"/>
        <w:ind w:firstLine="691" w:firstLineChars="216"/>
        <w:rPr>
          <w:rFonts w:asciiTheme="majorEastAsia" w:hAnsiTheme="majorEastAsia" w:eastAsiaTheme="majorEastAsia"/>
          <w:sz w:val="32"/>
          <w:szCs w:val="32"/>
        </w:rPr>
      </w:pPr>
      <w:r>
        <w:rPr>
          <w:rFonts w:hint="eastAsia" w:asciiTheme="majorEastAsia" w:hAnsiTheme="majorEastAsia" w:eastAsiaTheme="majorEastAsia"/>
          <w:sz w:val="32"/>
          <w:szCs w:val="32"/>
        </w:rPr>
        <w:t>4、按计划组织本级财政收入和地方税的征收，完成国家财政计划，不断培植税源，管好财政资金，增强财政实力。</w:t>
      </w:r>
    </w:p>
    <w:p>
      <w:pPr>
        <w:pStyle w:val="13"/>
        <w:ind w:firstLine="691" w:firstLineChars="216"/>
        <w:rPr>
          <w:rFonts w:asciiTheme="majorEastAsia" w:hAnsiTheme="majorEastAsia" w:eastAsiaTheme="majorEastAsia"/>
          <w:sz w:val="32"/>
          <w:szCs w:val="32"/>
        </w:rPr>
      </w:pPr>
      <w:r>
        <w:rPr>
          <w:rFonts w:hint="eastAsia" w:asciiTheme="majorEastAsia" w:hAnsiTheme="majorEastAsia" w:eastAsiaTheme="majorEastAsia"/>
          <w:sz w:val="32"/>
          <w:szCs w:val="32"/>
        </w:rPr>
        <w:t>5、抓好精神文明建设，丰富群众文化生活，提倡移风易俗，反对封建迷信，破除陈规陋习，树立社会主义新风尚。</w:t>
      </w:r>
    </w:p>
    <w:p>
      <w:pPr>
        <w:pStyle w:val="13"/>
        <w:ind w:firstLine="691" w:firstLineChars="216"/>
        <w:rPr>
          <w:rFonts w:asciiTheme="majorEastAsia" w:hAnsiTheme="majorEastAsia" w:eastAsiaTheme="majorEastAsia"/>
          <w:bCs/>
          <w:sz w:val="32"/>
          <w:szCs w:val="32"/>
        </w:rPr>
      </w:pPr>
      <w:r>
        <w:rPr>
          <w:rFonts w:hint="eastAsia" w:asciiTheme="majorEastAsia" w:hAnsiTheme="majorEastAsia" w:eastAsiaTheme="majorEastAsia"/>
          <w:sz w:val="32"/>
          <w:szCs w:val="32"/>
        </w:rPr>
        <w:t>6、完成上级政府交办的其它事项。</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480" w:firstLineChars="150"/>
        <w:rPr>
          <w:rFonts w:asciiTheme="majorEastAsia" w:hAnsiTheme="majorEastAsia" w:eastAsiaTheme="majorEastAsia"/>
          <w:sz w:val="32"/>
          <w:szCs w:val="32"/>
        </w:rPr>
      </w:pPr>
      <w:r>
        <w:rPr>
          <w:rFonts w:hint="eastAsia" w:asciiTheme="minorEastAsia" w:hAnsiTheme="minorEastAsia"/>
          <w:bCs/>
          <w:kern w:val="0"/>
          <w:sz w:val="32"/>
          <w:szCs w:val="32"/>
        </w:rPr>
        <w:t>（一）内设机构设置。</w:t>
      </w:r>
      <w:r>
        <w:rPr>
          <w:rFonts w:hint="eastAsia" w:asciiTheme="majorEastAsia" w:hAnsiTheme="majorEastAsia" w:eastAsiaTheme="majorEastAsia"/>
          <w:sz w:val="32"/>
          <w:szCs w:val="32"/>
        </w:rPr>
        <w:t>本单位是行政机关单位，单位核定编制75名，实有人数71人，其中行政编制数32人，实有人数29人，事业编制数42人，实有人数42人，工勤编制数1人，实有人数0人。本单位内设行政业务机构8个，分别是</w:t>
      </w:r>
      <w:r>
        <w:rPr>
          <w:rFonts w:hint="eastAsia" w:ascii="宋体" w:hAnsi="宋体" w:eastAsia="宋体" w:cs="Times New Roman"/>
          <w:sz w:val="32"/>
          <w:szCs w:val="32"/>
        </w:rPr>
        <w:t>党政办公室、党建办公室、扶贫开发办公室、自然资源和生态环境办公室、农业综合服务中心、政务服务中心、社会事务综合服务中心、安监站</w:t>
      </w:r>
      <w:r>
        <w:rPr>
          <w:rFonts w:hint="eastAsia" w:asciiTheme="majorEastAsia" w:hAnsiTheme="majorEastAsia" w:eastAsiaTheme="majorEastAsia"/>
          <w:sz w:val="32"/>
          <w:szCs w:val="32"/>
        </w:rPr>
        <w:t>；下属及派出机构0个。</w:t>
      </w:r>
    </w:p>
    <w:p>
      <w:pPr>
        <w:widowControl/>
        <w:spacing w:line="600" w:lineRule="exact"/>
        <w:ind w:firstLine="480" w:firstLineChars="150"/>
        <w:rPr>
          <w:rFonts w:asciiTheme="minorEastAsia" w:hAnsiTheme="minorEastAsia"/>
          <w:bCs/>
          <w:kern w:val="0"/>
          <w:sz w:val="32"/>
          <w:szCs w:val="32"/>
        </w:rPr>
      </w:pPr>
      <w:r>
        <w:rPr>
          <w:rFonts w:hint="eastAsia" w:asciiTheme="minorEastAsia" w:hAnsiTheme="minorEastAsia"/>
          <w:bCs/>
          <w:kern w:val="0"/>
          <w:sz w:val="32"/>
          <w:szCs w:val="32"/>
        </w:rPr>
        <w:t>（二）决算单位构成。统溪河镇</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20年部门决算汇总公开单位由本级构成。</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rFonts w:ascii="微软雅黑" w:hAnsi="微软雅黑" w:eastAsia="微软雅黑"/>
          <w:sz w:val="72"/>
          <w:szCs w:val="72"/>
        </w:rPr>
      </w:pPr>
      <w:r>
        <w:rPr>
          <w:rFonts w:hint="eastAsia" w:ascii="微软雅黑" w:hAnsi="微软雅黑" w:eastAsia="微软雅黑"/>
          <w:sz w:val="72"/>
          <w:szCs w:val="72"/>
        </w:rPr>
        <w:t>第二部分</w:t>
      </w:r>
    </w:p>
    <w:p>
      <w:pPr>
        <w:jc w:val="center"/>
        <w:rPr>
          <w:rFonts w:ascii="微软雅黑" w:hAnsi="微软雅黑" w:eastAsia="微软雅黑"/>
          <w:sz w:val="72"/>
          <w:szCs w:val="72"/>
        </w:rPr>
      </w:pPr>
    </w:p>
    <w:p>
      <w:pPr>
        <w:jc w:val="center"/>
        <w:rPr>
          <w:rFonts w:ascii="微软雅黑" w:hAnsi="微软雅黑" w:eastAsia="微软雅黑"/>
          <w:sz w:val="72"/>
          <w:szCs w:val="72"/>
        </w:rPr>
      </w:pPr>
      <w:r>
        <w:rPr>
          <w:rFonts w:hint="eastAsia" w:ascii="微软雅黑" w:hAnsi="微软雅黑" w:eastAsia="微软雅黑"/>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1440" w:right="1080" w:bottom="1440" w:left="1080" w:header="851" w:footer="992" w:gutter="0"/>
          <w:cols w:space="425" w:num="1"/>
          <w:docGrid w:type="lines" w:linePitch="312" w:charSpace="0"/>
        </w:sectPr>
      </w:pPr>
    </w:p>
    <w:tbl>
      <w:tblPr>
        <w:tblStyle w:val="6"/>
        <w:tblW w:w="14628" w:type="dxa"/>
        <w:tblInd w:w="-34" w:type="dxa"/>
        <w:tblLayout w:type="autofit"/>
        <w:tblCellMar>
          <w:top w:w="0" w:type="dxa"/>
          <w:left w:w="108" w:type="dxa"/>
          <w:bottom w:w="0" w:type="dxa"/>
          <w:right w:w="108" w:type="dxa"/>
        </w:tblCellMar>
      </w:tblPr>
      <w:tblGrid>
        <w:gridCol w:w="120"/>
        <w:gridCol w:w="420"/>
        <w:gridCol w:w="3706"/>
        <w:gridCol w:w="456"/>
        <w:gridCol w:w="631"/>
        <w:gridCol w:w="599"/>
        <w:gridCol w:w="98"/>
        <w:gridCol w:w="232"/>
        <w:gridCol w:w="3468"/>
        <w:gridCol w:w="845"/>
        <w:gridCol w:w="1460"/>
        <w:gridCol w:w="657"/>
        <w:gridCol w:w="1516"/>
        <w:gridCol w:w="420"/>
      </w:tblGrid>
      <w:tr>
        <w:tblPrEx>
          <w:tblCellMar>
            <w:top w:w="0" w:type="dxa"/>
            <w:left w:w="108" w:type="dxa"/>
            <w:bottom w:w="0" w:type="dxa"/>
            <w:right w:w="108" w:type="dxa"/>
          </w:tblCellMar>
        </w:tblPrEx>
        <w:trPr>
          <w:gridBefore w:val="2"/>
          <w:wBefore w:w="547" w:type="dxa"/>
          <w:trHeight w:val="360" w:hRule="atLeast"/>
        </w:trPr>
        <w:tc>
          <w:tcPr>
            <w:tcW w:w="14081" w:type="dxa"/>
            <w:gridSpan w:val="12"/>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gridBefore w:val="1"/>
          <w:gridAfter w:val="1"/>
          <w:wBefore w:w="127" w:type="dxa"/>
          <w:wAfter w:w="420" w:type="dxa"/>
          <w:trHeight w:val="199" w:hRule="atLeast"/>
        </w:trPr>
        <w:tc>
          <w:tcPr>
            <w:tcW w:w="5206"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gridBefore w:val="1"/>
          <w:gridAfter w:val="1"/>
          <w:wBefore w:w="127" w:type="dxa"/>
          <w:wAfter w:w="420" w:type="dxa"/>
          <w:trHeight w:val="300" w:hRule="atLeast"/>
        </w:trPr>
        <w:tc>
          <w:tcPr>
            <w:tcW w:w="5206"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溆浦县统溪河镇人民政府</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5805"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1257.92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598.24　</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33.43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　</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　</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9.44　</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　</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　</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5.00　</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44.06</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Cs/>
                <w:kern w:val="0"/>
                <w:sz w:val="22"/>
              </w:rPr>
            </w:pPr>
            <w:r>
              <w:rPr>
                <w:rFonts w:hint="eastAsia" w:ascii="宋体" w:hAnsi="宋体" w:eastAsia="宋体" w:cs="宋体"/>
                <w:bCs/>
                <w:kern w:val="0"/>
                <w:sz w:val="22"/>
              </w:rPr>
              <w:t>87.45</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Cs/>
                <w:kern w:val="0"/>
                <w:sz w:val="22"/>
              </w:rPr>
            </w:pPr>
            <w:r>
              <w:rPr>
                <w:rFonts w:hint="eastAsia" w:ascii="宋体" w:hAnsi="宋体" w:eastAsia="宋体" w:cs="宋体"/>
                <w:bCs/>
                <w:kern w:val="0"/>
                <w:sz w:val="22"/>
              </w:rPr>
              <w:t>9.40</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Cs/>
                <w:kern w:val="0"/>
                <w:sz w:val="22"/>
              </w:rPr>
            </w:pPr>
            <w:r>
              <w:rPr>
                <w:rFonts w:hint="eastAsia" w:ascii="宋体" w:hAnsi="宋体" w:eastAsia="宋体" w:cs="宋体"/>
                <w:bCs/>
                <w:kern w:val="0"/>
                <w:sz w:val="22"/>
              </w:rPr>
              <w:t>33.55</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Cs/>
                <w:kern w:val="0"/>
                <w:sz w:val="22"/>
              </w:rPr>
            </w:pPr>
            <w:r>
              <w:rPr>
                <w:rFonts w:hint="eastAsia" w:ascii="宋体" w:hAnsi="宋体" w:eastAsia="宋体" w:cs="宋体"/>
                <w:bCs/>
                <w:kern w:val="0"/>
                <w:sz w:val="22"/>
              </w:rPr>
              <w:t>445.21</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Cs/>
                <w:kern w:val="0"/>
                <w:sz w:val="22"/>
              </w:rPr>
            </w:pPr>
            <w:r>
              <w:rPr>
                <w:rFonts w:hint="eastAsia" w:ascii="宋体" w:hAnsi="宋体" w:eastAsia="宋体" w:cs="宋体"/>
                <w:bCs/>
                <w:kern w:val="0"/>
                <w:sz w:val="22"/>
              </w:rPr>
              <w:t>0</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Cs/>
                <w:kern w:val="0"/>
                <w:sz w:val="22"/>
              </w:rPr>
            </w:pPr>
            <w:r>
              <w:rPr>
                <w:rFonts w:hint="eastAsia" w:ascii="宋体" w:hAnsi="宋体" w:eastAsia="宋体" w:cs="宋体"/>
                <w:bCs/>
                <w:kern w:val="0"/>
                <w:sz w:val="22"/>
              </w:rPr>
              <w:t>0</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Cs/>
                <w:kern w:val="0"/>
                <w:sz w:val="22"/>
              </w:rPr>
            </w:pPr>
            <w:r>
              <w:rPr>
                <w:rFonts w:hint="eastAsia" w:ascii="宋体" w:hAnsi="宋体" w:eastAsia="宋体" w:cs="宋体"/>
                <w:bCs/>
                <w:kern w:val="0"/>
                <w:sz w:val="22"/>
              </w:rPr>
              <w:t>0</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Cs/>
                <w:kern w:val="0"/>
                <w:sz w:val="22"/>
              </w:rPr>
            </w:pPr>
            <w:r>
              <w:rPr>
                <w:rFonts w:hint="eastAsia" w:ascii="宋体" w:hAnsi="宋体" w:eastAsia="宋体" w:cs="宋体"/>
                <w:bCs/>
                <w:kern w:val="0"/>
                <w:sz w:val="22"/>
              </w:rPr>
              <w:t>0</w:t>
            </w:r>
          </w:p>
        </w:tc>
      </w:tr>
      <w:tr>
        <w:tblPrEx>
          <w:tblCellMar>
            <w:top w:w="0" w:type="dxa"/>
            <w:left w:w="108" w:type="dxa"/>
            <w:bottom w:w="0" w:type="dxa"/>
            <w:right w:w="108" w:type="dxa"/>
          </w:tblCellMar>
        </w:tblPrEx>
        <w:trPr>
          <w:gridAfter w:val="1"/>
          <w:wAfter w:w="420" w:type="dxa"/>
          <w:trHeight w:val="360" w:hRule="atLeast"/>
        </w:trPr>
        <w:tc>
          <w:tcPr>
            <w:tcW w:w="14208" w:type="dxa"/>
            <w:gridSpan w:val="13"/>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p>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gridBefore w:val="1"/>
          <w:gridAfter w:val="1"/>
          <w:wBefore w:w="127" w:type="dxa"/>
          <w:wAfter w:w="420" w:type="dxa"/>
          <w:trHeight w:val="199" w:hRule="atLeast"/>
        </w:trPr>
        <w:tc>
          <w:tcPr>
            <w:tcW w:w="5206"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gridBefore w:val="1"/>
          <w:gridAfter w:val="1"/>
          <w:wBefore w:w="127" w:type="dxa"/>
          <w:wAfter w:w="420" w:type="dxa"/>
          <w:trHeight w:val="300" w:hRule="atLeast"/>
        </w:trPr>
        <w:tc>
          <w:tcPr>
            <w:tcW w:w="5206"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部门：溆浦县统溪河镇人民政府</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5805"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gridBefore w:val="1"/>
          <w:gridAfter w:val="1"/>
          <w:wBefore w:w="127" w:type="dxa"/>
          <w:wAfter w:w="420" w:type="dxa"/>
          <w:trHeight w:val="53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17</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47</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48</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19</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49</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10.57</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21</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51</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22</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52</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15</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23</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53</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33.43</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24</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54</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25</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55</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Cs/>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26</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二十六、抗疫特别国债安排的支出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56</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27</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1291.35</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57</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1291.35</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28</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58</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29</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59</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108" w:type="dxa"/>
            <w:bottom w:w="0" w:type="dxa"/>
            <w:right w:w="108" w:type="dxa"/>
          </w:tblCellMar>
        </w:tblPrEx>
        <w:trPr>
          <w:gridBefore w:val="1"/>
          <w:gridAfter w:val="1"/>
          <w:wBefore w:w="127" w:type="dxa"/>
          <w:wAfter w:w="420" w:type="dxa"/>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1291.35</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1291.35</w:t>
            </w:r>
          </w:p>
        </w:tc>
      </w:tr>
      <w:tr>
        <w:tblPrEx>
          <w:tblCellMar>
            <w:top w:w="0" w:type="dxa"/>
            <w:left w:w="108" w:type="dxa"/>
            <w:bottom w:w="0" w:type="dxa"/>
            <w:right w:w="108" w:type="dxa"/>
          </w:tblCellMar>
        </w:tblPrEx>
        <w:trPr>
          <w:gridBefore w:val="1"/>
          <w:gridAfter w:val="1"/>
          <w:wBefore w:w="127" w:type="dxa"/>
          <w:wAfter w:w="420" w:type="dxa"/>
          <w:trHeight w:val="1020" w:hRule="atLeast"/>
        </w:trPr>
        <w:tc>
          <w:tcPr>
            <w:tcW w:w="14081" w:type="dxa"/>
            <w:gridSpan w:val="12"/>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rPr>
          <w:rFonts w:ascii="黑体" w:hAnsi="黑体" w:eastAsia="黑体"/>
          <w:sz w:val="28"/>
          <w:szCs w:val="28"/>
        </w:rPr>
        <w:sectPr>
          <w:pgSz w:w="16838" w:h="11906" w:orient="landscape"/>
          <w:pgMar w:top="1440" w:right="1080" w:bottom="1440" w:left="1080" w:header="851" w:footer="992" w:gutter="0"/>
          <w:cols w:space="425" w:num="1"/>
          <w:docGrid w:type="linesAndChars" w:linePitch="312" w:charSpace="0"/>
        </w:sectPr>
      </w:pPr>
    </w:p>
    <w:tbl>
      <w:tblPr>
        <w:tblStyle w:val="6"/>
        <w:tblW w:w="15428" w:type="dxa"/>
        <w:tblInd w:w="0" w:type="dxa"/>
        <w:tblLayout w:type="autofit"/>
        <w:tblCellMar>
          <w:top w:w="0" w:type="dxa"/>
          <w:left w:w="0" w:type="dxa"/>
          <w:bottom w:w="0" w:type="dxa"/>
          <w:right w:w="0" w:type="dxa"/>
        </w:tblCellMar>
      </w:tblPr>
      <w:tblGrid>
        <w:gridCol w:w="536"/>
        <w:gridCol w:w="2148"/>
        <w:gridCol w:w="1726"/>
        <w:gridCol w:w="2561"/>
        <w:gridCol w:w="1339"/>
        <w:gridCol w:w="1118"/>
        <w:gridCol w:w="1339"/>
        <w:gridCol w:w="1007"/>
        <w:gridCol w:w="1118"/>
        <w:gridCol w:w="1447"/>
        <w:gridCol w:w="1089"/>
      </w:tblGrid>
      <w:tr>
        <w:tblPrEx>
          <w:tblCellMar>
            <w:top w:w="0" w:type="dxa"/>
            <w:left w:w="0" w:type="dxa"/>
            <w:bottom w:w="0" w:type="dxa"/>
            <w:right w:w="0" w:type="dxa"/>
          </w:tblCellMar>
        </w:tblPrEx>
        <w:trPr>
          <w:trHeight w:val="435" w:hRule="atLeast"/>
        </w:trPr>
        <w:tc>
          <w:tcPr>
            <w:tcW w:w="15428" w:type="dxa"/>
            <w:gridSpan w:val="11"/>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87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3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1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3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1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8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4410"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ind w:firstLine="600" w:firstLineChars="300"/>
              <w:rPr>
                <w:rFonts w:ascii="宋体" w:hAnsi="宋体" w:eastAsia="宋体" w:cs="宋体"/>
                <w:color w:val="000000"/>
                <w:sz w:val="20"/>
                <w:szCs w:val="20"/>
              </w:rPr>
            </w:pPr>
            <w:r>
              <w:rPr>
                <w:rFonts w:hint="eastAsia"/>
                <w:color w:val="000000"/>
                <w:sz w:val="20"/>
                <w:szCs w:val="20"/>
              </w:rPr>
              <w:t>部门：溆浦县统溪河镇人民政府</w:t>
            </w:r>
          </w:p>
        </w:tc>
        <w:tc>
          <w:tcPr>
            <w:tcW w:w="256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3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1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39"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0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1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8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Before w:val="1"/>
          <w:wBefore w:w="536" w:type="dxa"/>
          <w:trHeight w:val="450" w:hRule="atLeast"/>
        </w:trPr>
        <w:tc>
          <w:tcPr>
            <w:tcW w:w="643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33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1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33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00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1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4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08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gridBefore w:val="1"/>
          <w:wBefore w:w="536" w:type="dxa"/>
          <w:trHeight w:val="450" w:hRule="atLeast"/>
        </w:trPr>
        <w:tc>
          <w:tcPr>
            <w:tcW w:w="214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4287" w:type="dxa"/>
            <w:gridSpan w:val="2"/>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3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8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Before w:val="1"/>
          <w:wBefore w:w="536" w:type="dxa"/>
          <w:trHeight w:val="450" w:hRule="atLeast"/>
        </w:trPr>
        <w:tc>
          <w:tcPr>
            <w:tcW w:w="214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4287" w:type="dxa"/>
            <w:gridSpan w:val="2"/>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8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Before w:val="1"/>
          <w:wBefore w:w="536" w:type="dxa"/>
          <w:trHeight w:val="450" w:hRule="atLeast"/>
        </w:trPr>
        <w:tc>
          <w:tcPr>
            <w:tcW w:w="643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3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1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3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0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1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4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0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gridBefore w:val="1"/>
          <w:wBefore w:w="536" w:type="dxa"/>
          <w:trHeight w:val="450" w:hRule="atLeast"/>
        </w:trPr>
        <w:tc>
          <w:tcPr>
            <w:tcW w:w="643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1291.35</w:t>
            </w: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1291.35</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Before w:val="1"/>
          <w:wBefore w:w="536" w:type="dxa"/>
          <w:trHeight w:val="450" w:hRule="atLeast"/>
        </w:trPr>
        <w:tc>
          <w:tcPr>
            <w:tcW w:w="21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201</w:t>
            </w:r>
          </w:p>
        </w:tc>
        <w:tc>
          <w:tcPr>
            <w:tcW w:w="428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一般公共服务支出</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598.24　</w:t>
            </w: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598.24　</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Before w:val="1"/>
          <w:wBefore w:w="536" w:type="dxa"/>
          <w:trHeight w:val="450" w:hRule="atLeast"/>
        </w:trPr>
        <w:tc>
          <w:tcPr>
            <w:tcW w:w="21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20103</w:t>
            </w:r>
          </w:p>
        </w:tc>
        <w:tc>
          <w:tcPr>
            <w:tcW w:w="428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政府办公厅（室）及相关机构事务</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531.40</w:t>
            </w: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531.40</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36" w:type="dxa"/>
          <w:trHeight w:val="450" w:hRule="atLeast"/>
        </w:trPr>
        <w:tc>
          <w:tcPr>
            <w:tcW w:w="21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2010301</w:t>
            </w:r>
          </w:p>
        </w:tc>
        <w:tc>
          <w:tcPr>
            <w:tcW w:w="428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行政运行</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386.23</w:t>
            </w: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386.23</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36" w:type="dxa"/>
          <w:trHeight w:val="450" w:hRule="atLeast"/>
        </w:trPr>
        <w:tc>
          <w:tcPr>
            <w:tcW w:w="21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2010302</w:t>
            </w:r>
          </w:p>
        </w:tc>
        <w:tc>
          <w:tcPr>
            <w:tcW w:w="428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一般行政管理事务</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16.74</w:t>
            </w: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16.74</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36" w:type="dxa"/>
          <w:trHeight w:val="450" w:hRule="atLeast"/>
        </w:trPr>
        <w:tc>
          <w:tcPr>
            <w:tcW w:w="21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2010399</w:t>
            </w:r>
          </w:p>
        </w:tc>
        <w:tc>
          <w:tcPr>
            <w:tcW w:w="428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其他政府办公厅（室）及相关机构事务支出</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128.43</w:t>
            </w: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128.43</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36" w:type="dxa"/>
          <w:trHeight w:val="450" w:hRule="atLeast"/>
        </w:trPr>
        <w:tc>
          <w:tcPr>
            <w:tcW w:w="21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20105</w:t>
            </w:r>
          </w:p>
        </w:tc>
        <w:tc>
          <w:tcPr>
            <w:tcW w:w="428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统计信息事务</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3.00</w:t>
            </w: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3.00</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36" w:type="dxa"/>
          <w:trHeight w:val="450" w:hRule="atLeast"/>
        </w:trPr>
        <w:tc>
          <w:tcPr>
            <w:tcW w:w="21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2010507</w:t>
            </w:r>
          </w:p>
        </w:tc>
        <w:tc>
          <w:tcPr>
            <w:tcW w:w="428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专项普查活动</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3.00</w:t>
            </w: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3.00</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36" w:type="dxa"/>
          <w:trHeight w:val="450" w:hRule="atLeast"/>
        </w:trPr>
        <w:tc>
          <w:tcPr>
            <w:tcW w:w="21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20106</w:t>
            </w:r>
          </w:p>
        </w:tc>
        <w:tc>
          <w:tcPr>
            <w:tcW w:w="428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财政事务</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52.11</w:t>
            </w: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52.11</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36" w:type="dxa"/>
          <w:trHeight w:val="450" w:hRule="atLeast"/>
        </w:trPr>
        <w:tc>
          <w:tcPr>
            <w:tcW w:w="21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2010601</w:t>
            </w:r>
          </w:p>
        </w:tc>
        <w:tc>
          <w:tcPr>
            <w:tcW w:w="428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行政运行</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51.28</w:t>
            </w: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51.28</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36" w:type="dxa"/>
          <w:trHeight w:val="450" w:hRule="atLeast"/>
        </w:trPr>
        <w:tc>
          <w:tcPr>
            <w:tcW w:w="21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2010602</w:t>
            </w:r>
          </w:p>
        </w:tc>
        <w:tc>
          <w:tcPr>
            <w:tcW w:w="428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一般行政管理事务</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0.83</w:t>
            </w: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0.83</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36" w:type="dxa"/>
          <w:trHeight w:val="450" w:hRule="atLeast"/>
        </w:trPr>
        <w:tc>
          <w:tcPr>
            <w:tcW w:w="21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20129</w:t>
            </w:r>
          </w:p>
        </w:tc>
        <w:tc>
          <w:tcPr>
            <w:tcW w:w="428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群众团体事务</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7.30</w:t>
            </w: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7.30</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615" w:hRule="atLeast"/>
        </w:trPr>
        <w:tc>
          <w:tcPr>
            <w:tcW w:w="15428" w:type="dxa"/>
            <w:gridSpan w:val="11"/>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rPr>
          <w:rFonts w:ascii="黑体" w:hAnsi="黑体" w:eastAsia="黑体"/>
          <w:sz w:val="28"/>
          <w:szCs w:val="28"/>
        </w:rPr>
      </w:pPr>
      <w:r>
        <w:rPr>
          <w:rFonts w:ascii="Times New Roman" w:hAnsi="Times New Roman" w:eastAsia="黑体" w:cs="Times New Roman"/>
          <w:bCs/>
          <w:kern w:val="0"/>
          <w:sz w:val="32"/>
          <w:szCs w:val="32"/>
        </w:rPr>
        <w:t xml:space="preserve"> </w:t>
      </w:r>
    </w:p>
    <w:tbl>
      <w:tblPr>
        <w:tblStyle w:val="6"/>
        <w:tblW w:w="15428" w:type="dxa"/>
        <w:tblInd w:w="0" w:type="dxa"/>
        <w:tblLayout w:type="autofit"/>
        <w:tblCellMar>
          <w:top w:w="0" w:type="dxa"/>
          <w:left w:w="0" w:type="dxa"/>
          <w:bottom w:w="0" w:type="dxa"/>
          <w:right w:w="0" w:type="dxa"/>
        </w:tblCellMar>
      </w:tblPr>
      <w:tblGrid>
        <w:gridCol w:w="564"/>
        <w:gridCol w:w="2263"/>
        <w:gridCol w:w="590"/>
        <w:gridCol w:w="163"/>
        <w:gridCol w:w="121"/>
        <w:gridCol w:w="271"/>
        <w:gridCol w:w="3092"/>
        <w:gridCol w:w="1324"/>
        <w:gridCol w:w="1106"/>
        <w:gridCol w:w="1324"/>
        <w:gridCol w:w="996"/>
        <w:gridCol w:w="1106"/>
        <w:gridCol w:w="1431"/>
        <w:gridCol w:w="1077"/>
      </w:tblGrid>
      <w:tr>
        <w:tblPrEx>
          <w:tblCellMar>
            <w:top w:w="0" w:type="dxa"/>
            <w:left w:w="0" w:type="dxa"/>
            <w:bottom w:w="0" w:type="dxa"/>
            <w:right w:w="0" w:type="dxa"/>
          </w:tblCellMar>
        </w:tblPrEx>
        <w:trPr>
          <w:trHeight w:val="435" w:hRule="atLeast"/>
        </w:trPr>
        <w:tc>
          <w:tcPr>
            <w:tcW w:w="15428" w:type="dxa"/>
            <w:gridSpan w:val="14"/>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408"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09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3972" w:type="dxa"/>
            <w:gridSpan w:val="6"/>
            <w:tcBorders>
              <w:top w:val="nil"/>
              <w:left w:val="nil"/>
              <w:bottom w:val="nil"/>
              <w:right w:val="nil"/>
            </w:tcBorders>
            <w:shd w:val="clear" w:color="000000" w:fill="FFFFFF"/>
            <w:noWrap/>
            <w:tcMar>
              <w:top w:w="15" w:type="dxa"/>
              <w:left w:w="15" w:type="dxa"/>
              <w:bottom w:w="0" w:type="dxa"/>
              <w:right w:w="15" w:type="dxa"/>
            </w:tcMar>
            <w:vAlign w:val="center"/>
          </w:tcPr>
          <w:p>
            <w:pPr>
              <w:ind w:firstLine="600" w:firstLineChars="300"/>
              <w:rPr>
                <w:rFonts w:ascii="宋体" w:hAnsi="宋体" w:eastAsia="宋体" w:cs="宋体"/>
                <w:color w:val="000000"/>
                <w:sz w:val="20"/>
                <w:szCs w:val="20"/>
              </w:rPr>
            </w:pPr>
            <w:r>
              <w:rPr>
                <w:rFonts w:hint="eastAsia"/>
                <w:color w:val="000000"/>
                <w:sz w:val="20"/>
                <w:szCs w:val="20"/>
              </w:rPr>
              <w:t>部门：</w:t>
            </w:r>
            <w:r>
              <w:rPr>
                <w:rFonts w:hint="eastAsia" w:ascii="宋体" w:hAnsi="宋体" w:eastAsia="宋体" w:cs="宋体"/>
                <w:color w:val="000000"/>
                <w:kern w:val="0"/>
                <w:sz w:val="20"/>
                <w:szCs w:val="20"/>
              </w:rPr>
              <w:t>溆浦县统溪河镇人民政府</w:t>
            </w:r>
          </w:p>
        </w:tc>
        <w:tc>
          <w:tcPr>
            <w:tcW w:w="309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9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Before w:val="1"/>
          <w:wBefore w:w="564" w:type="dxa"/>
          <w:trHeight w:val="450" w:hRule="atLeast"/>
        </w:trPr>
        <w:tc>
          <w:tcPr>
            <w:tcW w:w="6500" w:type="dxa"/>
            <w:gridSpan w:val="6"/>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32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32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9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1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43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0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gridBefore w:val="1"/>
          <w:wBefore w:w="564" w:type="dxa"/>
          <w:trHeight w:val="450" w:hRule="atLeast"/>
        </w:trPr>
        <w:tc>
          <w:tcPr>
            <w:tcW w:w="22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4237" w:type="dxa"/>
            <w:gridSpan w:val="5"/>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Before w:val="1"/>
          <w:wBefore w:w="564" w:type="dxa"/>
          <w:trHeight w:val="450" w:hRule="atLeast"/>
        </w:trPr>
        <w:tc>
          <w:tcPr>
            <w:tcW w:w="22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4237" w:type="dxa"/>
            <w:gridSpan w:val="5"/>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Before w:val="1"/>
          <w:wBefore w:w="564" w:type="dxa"/>
          <w:trHeight w:val="450" w:hRule="atLeast"/>
        </w:trPr>
        <w:tc>
          <w:tcPr>
            <w:tcW w:w="6500"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3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1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3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9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1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4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0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2012901</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行政运行</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7.30　</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7.30　</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20199</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其他一般公共服务支出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4.43</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4.43</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2019999</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其他一般公共服务支出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4.43</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4.43</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204</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公共安全支出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9.44</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9.44</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20402</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公安</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9.44</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9.44</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2040202</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一般行政管理事务</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4.48</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4.48</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2040299</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其他公安支出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4.96</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4.96</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207</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文化旅游体育与传媒支出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5.00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5.00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20799</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其他文化旅游体育与传媒支出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5.00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5.00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2079999</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其他文化旅游体育与传媒支出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5.00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5.00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208</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社会保障和就业支出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44.06</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44.06</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20801</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人力资源和社会保障管理事务</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10.00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10.00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2080199</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其他人力资源和社会保障管理事务支出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10.00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10.00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615" w:hRule="atLeast"/>
        </w:trPr>
        <w:tc>
          <w:tcPr>
            <w:tcW w:w="15428" w:type="dxa"/>
            <w:gridSpan w:val="14"/>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0" w:type="dxa"/>
            <w:bottom w:w="0" w:type="dxa"/>
            <w:right w:w="0" w:type="dxa"/>
          </w:tblCellMar>
        </w:tblPrEx>
        <w:trPr>
          <w:trHeight w:val="435" w:hRule="atLeast"/>
        </w:trPr>
        <w:tc>
          <w:tcPr>
            <w:tcW w:w="15428" w:type="dxa"/>
            <w:gridSpan w:val="14"/>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853"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647"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3417"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ind w:firstLine="600" w:firstLineChars="300"/>
              <w:rPr>
                <w:rFonts w:ascii="宋体" w:hAnsi="宋体" w:eastAsia="宋体" w:cs="宋体"/>
                <w:color w:val="000000"/>
                <w:sz w:val="20"/>
                <w:szCs w:val="20"/>
              </w:rPr>
            </w:pPr>
            <w:r>
              <w:rPr>
                <w:rFonts w:hint="eastAsia"/>
                <w:color w:val="000000"/>
                <w:sz w:val="20"/>
                <w:szCs w:val="20"/>
              </w:rPr>
              <w:t>部门：</w:t>
            </w:r>
            <w:r>
              <w:rPr>
                <w:rFonts w:hint="eastAsia" w:ascii="宋体" w:hAnsi="宋体" w:eastAsia="宋体" w:cs="宋体"/>
                <w:color w:val="000000"/>
                <w:kern w:val="0"/>
                <w:sz w:val="20"/>
                <w:szCs w:val="20"/>
              </w:rPr>
              <w:t>溆浦县统溪河镇人民政府</w:t>
            </w:r>
          </w:p>
        </w:tc>
        <w:tc>
          <w:tcPr>
            <w:tcW w:w="3647"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9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Before w:val="1"/>
          <w:wBefore w:w="564" w:type="dxa"/>
          <w:trHeight w:val="450" w:hRule="atLeast"/>
        </w:trPr>
        <w:tc>
          <w:tcPr>
            <w:tcW w:w="6500" w:type="dxa"/>
            <w:gridSpan w:val="6"/>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32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32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9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1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43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0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gridBefore w:val="1"/>
          <w:wBefore w:w="564" w:type="dxa"/>
          <w:trHeight w:val="450" w:hRule="atLeast"/>
        </w:trPr>
        <w:tc>
          <w:tcPr>
            <w:tcW w:w="22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4237" w:type="dxa"/>
            <w:gridSpan w:val="5"/>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Before w:val="1"/>
          <w:wBefore w:w="564" w:type="dxa"/>
          <w:trHeight w:val="450" w:hRule="atLeast"/>
        </w:trPr>
        <w:tc>
          <w:tcPr>
            <w:tcW w:w="22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4237" w:type="dxa"/>
            <w:gridSpan w:val="5"/>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Before w:val="1"/>
          <w:wBefore w:w="564" w:type="dxa"/>
          <w:trHeight w:val="450" w:hRule="atLeast"/>
        </w:trPr>
        <w:tc>
          <w:tcPr>
            <w:tcW w:w="6500"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3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1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3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9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1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4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0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20808</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抚恤</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27.96　</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27.96　</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2080801</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死亡抚恤</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27.96</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27.96</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20810</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社会福利</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1.00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1.00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2081001</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儿童福利</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1.00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1.00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20821</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特困人员救助供养</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2.30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2.30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2082102</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农村特困人员救助供养支出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2.30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2.30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20826</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财政对基本养老保险基金的补助</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1.40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1.40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2082699</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财政对其他基本养老保险基金的补助</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1.40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1.40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20828</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退役军人管理事务</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1.40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1.40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2082899</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其他退役军人事务管理支出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1.40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1.40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210</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卫生健康支出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87.45</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87.45</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21001</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卫生健康管理事务</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3.25</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3.25</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2100101</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行政运行</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3.25</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3.25</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615" w:hRule="atLeast"/>
        </w:trPr>
        <w:tc>
          <w:tcPr>
            <w:tcW w:w="15428" w:type="dxa"/>
            <w:gridSpan w:val="14"/>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0" w:type="dxa"/>
            <w:bottom w:w="0" w:type="dxa"/>
            <w:right w:w="0" w:type="dxa"/>
          </w:tblCellMar>
        </w:tblPrEx>
        <w:trPr>
          <w:trHeight w:val="615" w:hRule="atLeast"/>
        </w:trPr>
        <w:tc>
          <w:tcPr>
            <w:tcW w:w="15428" w:type="dxa"/>
            <w:gridSpan w:val="14"/>
            <w:tcBorders>
              <w:top w:val="nil"/>
              <w:left w:val="nil"/>
              <w:bottom w:val="nil"/>
              <w:right w:val="nil"/>
            </w:tcBorders>
            <w:shd w:val="clear" w:color="auto" w:fill="auto"/>
            <w:tcMar>
              <w:top w:w="15" w:type="dxa"/>
              <w:left w:w="15" w:type="dxa"/>
              <w:bottom w:w="0" w:type="dxa"/>
              <w:right w:w="15" w:type="dxa"/>
            </w:tcMar>
            <w:vAlign w:val="center"/>
          </w:tcPr>
          <w:p>
            <w:pPr>
              <w:jc w:val="center"/>
              <w:rPr>
                <w:rFonts w:ascii="华文中宋" w:hAnsi="华文中宋" w:eastAsia="华文中宋"/>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137"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363"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3701"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ind w:firstLine="600" w:firstLineChars="300"/>
              <w:rPr>
                <w:rFonts w:ascii="宋体" w:hAnsi="宋体" w:eastAsia="宋体" w:cs="宋体"/>
                <w:color w:val="000000"/>
                <w:sz w:val="20"/>
                <w:szCs w:val="20"/>
              </w:rPr>
            </w:pPr>
            <w:r>
              <w:rPr>
                <w:rFonts w:hint="eastAsia"/>
                <w:color w:val="000000"/>
                <w:sz w:val="20"/>
                <w:szCs w:val="20"/>
              </w:rPr>
              <w:t>部门：</w:t>
            </w:r>
            <w:r>
              <w:rPr>
                <w:rFonts w:hint="eastAsia" w:ascii="宋体" w:hAnsi="宋体" w:eastAsia="宋体" w:cs="宋体"/>
                <w:color w:val="000000"/>
                <w:kern w:val="0"/>
                <w:sz w:val="20"/>
                <w:szCs w:val="20"/>
              </w:rPr>
              <w:t>溆浦县统溪河镇人民政府</w:t>
            </w:r>
          </w:p>
        </w:tc>
        <w:tc>
          <w:tcPr>
            <w:tcW w:w="3363"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9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Before w:val="1"/>
          <w:wBefore w:w="564" w:type="dxa"/>
          <w:trHeight w:val="450" w:hRule="atLeast"/>
        </w:trPr>
        <w:tc>
          <w:tcPr>
            <w:tcW w:w="6500" w:type="dxa"/>
            <w:gridSpan w:val="6"/>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32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32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9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1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43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0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gridBefore w:val="1"/>
          <w:wBefore w:w="564" w:type="dxa"/>
          <w:trHeight w:val="450" w:hRule="atLeast"/>
        </w:trPr>
        <w:tc>
          <w:tcPr>
            <w:tcW w:w="22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4237" w:type="dxa"/>
            <w:gridSpan w:val="5"/>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Before w:val="1"/>
          <w:wBefore w:w="564" w:type="dxa"/>
          <w:trHeight w:val="450" w:hRule="atLeast"/>
        </w:trPr>
        <w:tc>
          <w:tcPr>
            <w:tcW w:w="22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4237" w:type="dxa"/>
            <w:gridSpan w:val="5"/>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Before w:val="1"/>
          <w:wBefore w:w="564" w:type="dxa"/>
          <w:trHeight w:val="450" w:hRule="atLeast"/>
        </w:trPr>
        <w:tc>
          <w:tcPr>
            <w:tcW w:w="6500"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3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1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3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9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1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4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0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21004</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公共卫生</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1.51　</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1.51　</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2100404</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精神卫生机构</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0.72</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0.72</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2100408</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基本公共卫生服务</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0.43</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0.43</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2100410</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突发公共卫生事件应急处理</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0.36</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0.36</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21007</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计划生育事务</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82.69</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82.69</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2100716</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计划生育机构</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37.07</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37.07</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2100717</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计划生育服务</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10.53</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10.53</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2100799</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其他计划生育事务支出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35.09</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35.09</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211</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节能环保支出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9.40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9.40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21104</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自然生态保护</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9.40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9.40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2110402</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农村环境保护</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9.40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9.40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212</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城乡社区支出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33.55</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33.55</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21201</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城乡社区管理事务</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2.60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2.60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615" w:hRule="atLeast"/>
        </w:trPr>
        <w:tc>
          <w:tcPr>
            <w:tcW w:w="15428" w:type="dxa"/>
            <w:gridSpan w:val="14"/>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0" w:type="dxa"/>
            <w:bottom w:w="0" w:type="dxa"/>
            <w:right w:w="0" w:type="dxa"/>
          </w:tblCellMar>
        </w:tblPrEx>
        <w:trPr>
          <w:trHeight w:val="615" w:hRule="atLeast"/>
        </w:trPr>
        <w:tc>
          <w:tcPr>
            <w:tcW w:w="15428" w:type="dxa"/>
            <w:gridSpan w:val="14"/>
            <w:tcBorders>
              <w:top w:val="nil"/>
              <w:left w:val="nil"/>
              <w:bottom w:val="nil"/>
              <w:right w:val="nil"/>
            </w:tcBorders>
            <w:shd w:val="clear" w:color="auto" w:fill="auto"/>
            <w:tcMar>
              <w:top w:w="15" w:type="dxa"/>
              <w:left w:w="15" w:type="dxa"/>
              <w:bottom w:w="0" w:type="dxa"/>
              <w:right w:w="15" w:type="dxa"/>
            </w:tcMar>
            <w:vAlign w:val="center"/>
          </w:tcPr>
          <w:p>
            <w:pPr>
              <w:jc w:val="center"/>
              <w:rPr>
                <w:rFonts w:ascii="华文中宋" w:hAnsi="华文中宋" w:eastAsia="华文中宋"/>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408"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09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3972" w:type="dxa"/>
            <w:gridSpan w:val="6"/>
            <w:tcBorders>
              <w:top w:val="nil"/>
              <w:left w:val="nil"/>
              <w:bottom w:val="nil"/>
              <w:right w:val="nil"/>
            </w:tcBorders>
            <w:shd w:val="clear" w:color="000000" w:fill="FFFFFF"/>
            <w:noWrap/>
            <w:tcMar>
              <w:top w:w="15" w:type="dxa"/>
              <w:left w:w="15" w:type="dxa"/>
              <w:bottom w:w="0" w:type="dxa"/>
              <w:right w:w="15" w:type="dxa"/>
            </w:tcMar>
            <w:vAlign w:val="center"/>
          </w:tcPr>
          <w:p>
            <w:pPr>
              <w:ind w:firstLine="600" w:firstLineChars="300"/>
              <w:rPr>
                <w:rFonts w:ascii="宋体" w:hAnsi="宋体" w:eastAsia="宋体" w:cs="宋体"/>
                <w:color w:val="000000"/>
                <w:sz w:val="20"/>
                <w:szCs w:val="20"/>
              </w:rPr>
            </w:pPr>
            <w:r>
              <w:rPr>
                <w:rFonts w:hint="eastAsia"/>
                <w:color w:val="000000"/>
                <w:sz w:val="20"/>
                <w:szCs w:val="20"/>
              </w:rPr>
              <w:t>部门：</w:t>
            </w:r>
            <w:r>
              <w:rPr>
                <w:rFonts w:hint="eastAsia" w:ascii="宋体" w:hAnsi="宋体" w:eastAsia="宋体" w:cs="宋体"/>
                <w:color w:val="000000"/>
                <w:kern w:val="0"/>
                <w:sz w:val="20"/>
                <w:szCs w:val="20"/>
              </w:rPr>
              <w:t>溆浦县统溪河镇人民政府</w:t>
            </w:r>
          </w:p>
        </w:tc>
        <w:tc>
          <w:tcPr>
            <w:tcW w:w="309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9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Before w:val="1"/>
          <w:wBefore w:w="564" w:type="dxa"/>
          <w:trHeight w:val="450" w:hRule="atLeast"/>
        </w:trPr>
        <w:tc>
          <w:tcPr>
            <w:tcW w:w="6500" w:type="dxa"/>
            <w:gridSpan w:val="6"/>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32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32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9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1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43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0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gridBefore w:val="1"/>
          <w:wBefore w:w="564" w:type="dxa"/>
          <w:trHeight w:val="450" w:hRule="atLeast"/>
        </w:trPr>
        <w:tc>
          <w:tcPr>
            <w:tcW w:w="22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4237" w:type="dxa"/>
            <w:gridSpan w:val="5"/>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Before w:val="1"/>
          <w:wBefore w:w="564" w:type="dxa"/>
          <w:trHeight w:val="450" w:hRule="atLeast"/>
        </w:trPr>
        <w:tc>
          <w:tcPr>
            <w:tcW w:w="22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4237" w:type="dxa"/>
            <w:gridSpan w:val="5"/>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Before w:val="1"/>
          <w:wBefore w:w="564" w:type="dxa"/>
          <w:trHeight w:val="450" w:hRule="atLeast"/>
        </w:trPr>
        <w:tc>
          <w:tcPr>
            <w:tcW w:w="6500"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3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1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3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9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1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4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0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2120101</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ascii="宋体" w:hAnsi="宋体" w:eastAsia="宋体" w:cs="宋体"/>
                <w:sz w:val="24"/>
                <w:szCs w:val="24"/>
              </w:rPr>
            </w:pPr>
            <w:r>
              <w:rPr>
                <w:rFonts w:hint="eastAsia"/>
              </w:rPr>
              <w:t>行政运行</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2.60　</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2.60　</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21203</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城乡社区公共设施</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14.85</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14.85</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2120303</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小城镇基础设施建设</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14.85</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14.85</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21205</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城乡社区环境卫生</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16.10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16.10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2120501</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城乡社区环境卫生</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16.10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16.10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213</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农林水支出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445.21</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445.21</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21301</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农业农村</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13.15</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13.15</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2130142</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农村道路建设</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2.00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2.00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2130199</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其他农业农村支出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11.15</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11.15</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21302</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林业和草原</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30.17</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30.17</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2130201</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行政运行</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24.88</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24.88</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2130207</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森林资源管理</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1.02</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1.02</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2130209</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森林生态效益补偿</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4.27</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4.27</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615" w:hRule="atLeast"/>
        </w:trPr>
        <w:tc>
          <w:tcPr>
            <w:tcW w:w="15428" w:type="dxa"/>
            <w:gridSpan w:val="14"/>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0" w:type="dxa"/>
            <w:bottom w:w="0" w:type="dxa"/>
            <w:right w:w="0" w:type="dxa"/>
          </w:tblCellMar>
        </w:tblPrEx>
        <w:trPr>
          <w:trHeight w:val="615" w:hRule="atLeast"/>
        </w:trPr>
        <w:tc>
          <w:tcPr>
            <w:tcW w:w="15428" w:type="dxa"/>
            <w:gridSpan w:val="14"/>
            <w:tcBorders>
              <w:top w:val="nil"/>
              <w:left w:val="nil"/>
              <w:bottom w:val="nil"/>
              <w:right w:val="nil"/>
            </w:tcBorders>
            <w:shd w:val="clear" w:color="auto" w:fill="auto"/>
            <w:tcMar>
              <w:top w:w="15" w:type="dxa"/>
              <w:left w:w="15" w:type="dxa"/>
              <w:bottom w:w="0" w:type="dxa"/>
              <w:right w:w="15" w:type="dxa"/>
            </w:tcMar>
            <w:vAlign w:val="center"/>
          </w:tcPr>
          <w:p>
            <w:pPr>
              <w:jc w:val="center"/>
              <w:rPr>
                <w:rFonts w:ascii="华文中宋" w:hAnsi="华文中宋" w:eastAsia="华文中宋"/>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016"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484"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3580"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ind w:firstLine="600" w:firstLineChars="300"/>
              <w:rPr>
                <w:rFonts w:ascii="宋体" w:hAnsi="宋体" w:eastAsia="宋体" w:cs="宋体"/>
                <w:color w:val="000000"/>
                <w:sz w:val="20"/>
                <w:szCs w:val="20"/>
              </w:rPr>
            </w:pPr>
            <w:r>
              <w:rPr>
                <w:rFonts w:hint="eastAsia"/>
                <w:color w:val="000000"/>
                <w:sz w:val="20"/>
                <w:szCs w:val="20"/>
              </w:rPr>
              <w:t>部门：</w:t>
            </w:r>
            <w:r>
              <w:rPr>
                <w:rFonts w:hint="eastAsia" w:ascii="宋体" w:hAnsi="宋体" w:eastAsia="宋体" w:cs="宋体"/>
                <w:color w:val="000000"/>
                <w:kern w:val="0"/>
                <w:sz w:val="20"/>
                <w:szCs w:val="20"/>
              </w:rPr>
              <w:t>溆浦县统溪河镇人民政府</w:t>
            </w:r>
          </w:p>
        </w:tc>
        <w:tc>
          <w:tcPr>
            <w:tcW w:w="3484"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9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Before w:val="1"/>
          <w:wBefore w:w="564" w:type="dxa"/>
          <w:trHeight w:val="450" w:hRule="atLeast"/>
        </w:trPr>
        <w:tc>
          <w:tcPr>
            <w:tcW w:w="6500" w:type="dxa"/>
            <w:gridSpan w:val="6"/>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32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32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9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1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43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0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gridBefore w:val="1"/>
          <w:wBefore w:w="564" w:type="dxa"/>
          <w:trHeight w:val="450" w:hRule="atLeast"/>
        </w:trPr>
        <w:tc>
          <w:tcPr>
            <w:tcW w:w="22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4237" w:type="dxa"/>
            <w:gridSpan w:val="5"/>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Before w:val="1"/>
          <w:wBefore w:w="564" w:type="dxa"/>
          <w:trHeight w:val="450" w:hRule="atLeast"/>
        </w:trPr>
        <w:tc>
          <w:tcPr>
            <w:tcW w:w="22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4237" w:type="dxa"/>
            <w:gridSpan w:val="5"/>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Before w:val="1"/>
          <w:wBefore w:w="564" w:type="dxa"/>
          <w:trHeight w:val="450" w:hRule="atLeast"/>
        </w:trPr>
        <w:tc>
          <w:tcPr>
            <w:tcW w:w="6500"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3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1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3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9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1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4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0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21303</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水利</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2.00　</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2.00　</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2130399</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其他水利支出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2.00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2.00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21305</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扶贫</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213.67</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213.67</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2130504</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农村基础设施建设</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131.47</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131.47</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2130505</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生产发展</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79.20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79.20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2130599</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其他扶贫支出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3.00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3.00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21307</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农村综合改革</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186.22</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186.22</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2130705</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对村民委员会和村党支部的补助</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177.22</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177.22</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2130707</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农村综合改革示范试点补助</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9.00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9.00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221</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住房保障支出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10.57</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10.57</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22102</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住房改革支出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10.57</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10.57</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2210201</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住房公积金</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10.57</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10.57</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224</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灾害防治及应急管理支出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15.00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15.00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615" w:hRule="atLeast"/>
        </w:trPr>
        <w:tc>
          <w:tcPr>
            <w:tcW w:w="15428" w:type="dxa"/>
            <w:gridSpan w:val="14"/>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0" w:type="dxa"/>
            <w:bottom w:w="0" w:type="dxa"/>
            <w:right w:w="0" w:type="dxa"/>
          </w:tblCellMar>
        </w:tblPrEx>
        <w:trPr>
          <w:trHeight w:val="615" w:hRule="atLeast"/>
        </w:trPr>
        <w:tc>
          <w:tcPr>
            <w:tcW w:w="15428" w:type="dxa"/>
            <w:gridSpan w:val="14"/>
            <w:tcBorders>
              <w:top w:val="nil"/>
              <w:left w:val="nil"/>
              <w:bottom w:val="nil"/>
              <w:right w:val="nil"/>
            </w:tcBorders>
            <w:shd w:val="clear" w:color="auto" w:fill="auto"/>
            <w:tcMar>
              <w:top w:w="15" w:type="dxa"/>
              <w:left w:w="15" w:type="dxa"/>
              <w:bottom w:w="0" w:type="dxa"/>
              <w:right w:w="15" w:type="dxa"/>
            </w:tcMar>
            <w:vAlign w:val="center"/>
          </w:tcPr>
          <w:p>
            <w:pPr>
              <w:jc w:val="center"/>
              <w:rPr>
                <w:rFonts w:ascii="华文中宋" w:hAnsi="华文中宋" w:eastAsia="华文中宋"/>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016"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484"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3580"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ind w:firstLine="600" w:firstLineChars="300"/>
              <w:rPr>
                <w:rFonts w:ascii="宋体" w:hAnsi="宋体" w:eastAsia="宋体" w:cs="宋体"/>
                <w:color w:val="000000"/>
                <w:sz w:val="20"/>
                <w:szCs w:val="20"/>
              </w:rPr>
            </w:pPr>
            <w:r>
              <w:rPr>
                <w:rFonts w:hint="eastAsia"/>
                <w:color w:val="000000"/>
                <w:sz w:val="20"/>
                <w:szCs w:val="20"/>
              </w:rPr>
              <w:t>部门：</w:t>
            </w:r>
            <w:r>
              <w:rPr>
                <w:rFonts w:hint="eastAsia" w:ascii="宋体" w:hAnsi="宋体" w:eastAsia="宋体" w:cs="宋体"/>
                <w:color w:val="000000"/>
                <w:kern w:val="0"/>
                <w:sz w:val="20"/>
                <w:szCs w:val="20"/>
              </w:rPr>
              <w:t>溆浦县统溪河镇人民政府</w:t>
            </w:r>
          </w:p>
        </w:tc>
        <w:tc>
          <w:tcPr>
            <w:tcW w:w="3484"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4"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9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Before w:val="1"/>
          <w:wBefore w:w="564" w:type="dxa"/>
          <w:trHeight w:val="450" w:hRule="atLeast"/>
        </w:trPr>
        <w:tc>
          <w:tcPr>
            <w:tcW w:w="6500" w:type="dxa"/>
            <w:gridSpan w:val="6"/>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32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32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9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1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43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0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gridBefore w:val="1"/>
          <w:wBefore w:w="564" w:type="dxa"/>
          <w:trHeight w:val="450" w:hRule="atLeast"/>
        </w:trPr>
        <w:tc>
          <w:tcPr>
            <w:tcW w:w="22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4237" w:type="dxa"/>
            <w:gridSpan w:val="5"/>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Before w:val="1"/>
          <w:wBefore w:w="564" w:type="dxa"/>
          <w:trHeight w:val="450" w:hRule="atLeast"/>
        </w:trPr>
        <w:tc>
          <w:tcPr>
            <w:tcW w:w="22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4237" w:type="dxa"/>
            <w:gridSpan w:val="5"/>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Before w:val="1"/>
          <w:wBefore w:w="564" w:type="dxa"/>
          <w:trHeight w:val="450" w:hRule="atLeast"/>
        </w:trPr>
        <w:tc>
          <w:tcPr>
            <w:tcW w:w="6500"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3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1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3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9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1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4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0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22407</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自然灾害救灾及恢复重建支出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15.00　</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15.00　</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2240704</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自然灾害灾后重建补助</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4.00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4.00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2240799</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其他自然灾害救灾及恢复重建支出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11.00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11.00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229</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其他支出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33.43</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33.43</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22960</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彩票公益金安排的支出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33.43</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33.43</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2296002</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用于社会福利的彩票公益金支出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5.00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5.00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2296003</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用于体育事业的彩票公益金支出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10.00</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10.00</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2296004</w:t>
            </w: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用于教育事业的彩票公益金支出</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18.43</w:t>
            </w: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18.43</w:t>
            </w: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Before w:val="1"/>
          <w:wBefore w:w="564" w:type="dxa"/>
          <w:trHeight w:val="450" w:hRule="atLeast"/>
        </w:trPr>
        <w:tc>
          <w:tcPr>
            <w:tcW w:w="22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tc>
        <w:tc>
          <w:tcPr>
            <w:tcW w:w="4237"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3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615" w:hRule="atLeast"/>
        </w:trPr>
        <w:tc>
          <w:tcPr>
            <w:tcW w:w="15428" w:type="dxa"/>
            <w:gridSpan w:val="14"/>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6"/>
        <w:tblW w:w="26915" w:type="dxa"/>
        <w:tblInd w:w="93" w:type="dxa"/>
        <w:tblLayout w:type="autofit"/>
        <w:tblCellMar>
          <w:top w:w="0" w:type="dxa"/>
          <w:left w:w="108" w:type="dxa"/>
          <w:bottom w:w="0" w:type="dxa"/>
          <w:right w:w="108" w:type="dxa"/>
        </w:tblCellMar>
      </w:tblPr>
      <w:tblGrid>
        <w:gridCol w:w="1042"/>
        <w:gridCol w:w="222"/>
        <w:gridCol w:w="14"/>
        <w:gridCol w:w="2317"/>
        <w:gridCol w:w="342"/>
        <w:gridCol w:w="94"/>
        <w:gridCol w:w="142"/>
        <w:gridCol w:w="936"/>
        <w:gridCol w:w="9"/>
        <w:gridCol w:w="142"/>
        <w:gridCol w:w="592"/>
        <w:gridCol w:w="967"/>
        <w:gridCol w:w="712"/>
        <w:gridCol w:w="989"/>
        <w:gridCol w:w="142"/>
        <w:gridCol w:w="490"/>
        <w:gridCol w:w="58"/>
        <w:gridCol w:w="377"/>
        <w:gridCol w:w="1060"/>
        <w:gridCol w:w="242"/>
        <w:gridCol w:w="271"/>
        <w:gridCol w:w="762"/>
        <w:gridCol w:w="632"/>
        <w:gridCol w:w="629"/>
        <w:gridCol w:w="14"/>
        <w:gridCol w:w="751"/>
        <w:gridCol w:w="1093"/>
        <w:gridCol w:w="480"/>
        <w:gridCol w:w="3798"/>
        <w:gridCol w:w="3798"/>
        <w:gridCol w:w="3798"/>
      </w:tblGrid>
      <w:tr>
        <w:tblPrEx>
          <w:tblCellMar>
            <w:top w:w="0" w:type="dxa"/>
            <w:left w:w="108" w:type="dxa"/>
            <w:bottom w:w="0" w:type="dxa"/>
            <w:right w:w="108" w:type="dxa"/>
          </w:tblCellMar>
        </w:tblPrEx>
        <w:trPr>
          <w:gridAfter w:val="7"/>
          <w:wAfter w:w="13732" w:type="dxa"/>
          <w:trHeight w:val="435" w:hRule="atLeast"/>
        </w:trPr>
        <w:tc>
          <w:tcPr>
            <w:tcW w:w="13183" w:type="dxa"/>
            <w:gridSpan w:val="24"/>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 xml:space="preserve">            支出决算表</w:t>
            </w:r>
          </w:p>
        </w:tc>
      </w:tr>
      <w:tr>
        <w:tblPrEx>
          <w:tblCellMar>
            <w:top w:w="0" w:type="dxa"/>
            <w:left w:w="108" w:type="dxa"/>
            <w:bottom w:w="0" w:type="dxa"/>
            <w:right w:w="108" w:type="dxa"/>
          </w:tblCellMar>
        </w:tblPrEx>
        <w:trPr>
          <w:gridAfter w:val="6"/>
          <w:wAfter w:w="13718" w:type="dxa"/>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5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5"/>
            <w:tcBorders>
              <w:top w:val="nil"/>
              <w:left w:val="nil"/>
              <w:bottom w:val="nil"/>
              <w:right w:val="nil"/>
            </w:tcBorders>
            <w:shd w:val="clear" w:color="000000" w:fill="FFFFFF"/>
            <w:noWrap/>
            <w:vAlign w:val="center"/>
          </w:tcPr>
          <w:p>
            <w:pPr>
              <w:widowControl/>
              <w:wordWrap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公开03表</w:t>
            </w:r>
          </w:p>
        </w:tc>
      </w:tr>
      <w:tr>
        <w:trPr>
          <w:gridAfter w:val="6"/>
          <w:wAfter w:w="13718" w:type="dxa"/>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65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部门：统溪河镇人民政府　</w:t>
            </w: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4"/>
          <w:wAfter w:w="11874" w:type="dxa"/>
          <w:trHeight w:val="450" w:hRule="atLeast"/>
        </w:trPr>
        <w:tc>
          <w:tcPr>
            <w:tcW w:w="5118"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0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43"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85"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27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27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4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4"/>
          <w:wAfter w:w="11874" w:type="dxa"/>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854" w:type="dxa"/>
            <w:gridSpan w:val="7"/>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0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854" w:type="dxa"/>
            <w:gridSpan w:val="7"/>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0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5118"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0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4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85"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27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7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4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4"/>
          <w:wAfter w:w="11874" w:type="dxa"/>
          <w:trHeight w:val="450" w:hRule="atLeast"/>
        </w:trPr>
        <w:tc>
          <w:tcPr>
            <w:tcW w:w="5118"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1291.35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987.65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303.70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sz w:val="24"/>
                <w:szCs w:val="24"/>
              </w:rPr>
            </w:pPr>
            <w:r>
              <w:rPr>
                <w:rFonts w:hint="eastAsia"/>
              </w:rPr>
              <w:t>201</w:t>
            </w:r>
          </w:p>
        </w:tc>
        <w:tc>
          <w:tcPr>
            <w:tcW w:w="3854" w:type="dxa"/>
            <w:gridSpan w:val="7"/>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sz w:val="24"/>
                <w:szCs w:val="24"/>
              </w:rPr>
            </w:pPr>
            <w:r>
              <w:rPr>
                <w:rFonts w:hint="eastAsia"/>
              </w:rPr>
              <w:t>　一般公共服务支出</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ind w:right="120"/>
              <w:jc w:val="right"/>
              <w:rPr>
                <w:rFonts w:ascii="宋体" w:hAnsi="宋体" w:eastAsia="宋体" w:cs="宋体"/>
                <w:kern w:val="0"/>
                <w:sz w:val="24"/>
                <w:szCs w:val="24"/>
              </w:rPr>
            </w:pPr>
            <w:r>
              <w:rPr>
                <w:rFonts w:hint="eastAsia" w:ascii="宋体" w:hAnsi="宋体" w:eastAsia="宋体" w:cs="宋体"/>
                <w:kern w:val="0"/>
                <w:sz w:val="24"/>
                <w:szCs w:val="24"/>
              </w:rPr>
              <w:t>598.24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577.66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20.57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20103</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政府办公厅（室）及相关机构事务</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531.40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514.66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16.74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2010301</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行政运行</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386.23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386.23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2010302</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一般行政管理事务</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16.74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2010399</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其他政府办公厅（室）及相关机构事务支出</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128.43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128.43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20105</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统计信息事务</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3.00</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3.00</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2010507</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专项普查活动</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3.00</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3.00</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20106</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财政事务</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52.11</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51.28</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0.83</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2010601</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行政运行</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51.28</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51.28</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2010602</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一般行政管理事务</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0.83</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0.83</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20129</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群众团体事务</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7.30</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7.30</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630" w:hRule="atLeast"/>
        </w:trPr>
        <w:tc>
          <w:tcPr>
            <w:tcW w:w="15041" w:type="dxa"/>
            <w:gridSpan w:val="27"/>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gridAfter w:val="4"/>
          <w:wAfter w:w="11874" w:type="dxa"/>
          <w:trHeight w:val="630" w:hRule="atLeast"/>
        </w:trPr>
        <w:tc>
          <w:tcPr>
            <w:tcW w:w="15041" w:type="dxa"/>
            <w:gridSpan w:val="27"/>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center"/>
              <w:rPr>
                <w:rFonts w:ascii="宋体" w:hAnsi="宋体" w:eastAsia="宋体" w:cs="宋体"/>
                <w:kern w:val="0"/>
                <w:sz w:val="24"/>
                <w:szCs w:val="24"/>
              </w:rPr>
            </w:pPr>
            <w:r>
              <w:rPr>
                <w:rFonts w:hint="eastAsia" w:ascii="华文中宋" w:hAnsi="华文中宋" w:eastAsia="华文中宋" w:cs="宋体"/>
                <w:color w:val="000000"/>
                <w:kern w:val="0"/>
                <w:sz w:val="32"/>
                <w:szCs w:val="32"/>
              </w:rPr>
              <w:t xml:space="preserve">   支出决算表</w:t>
            </w:r>
          </w:p>
        </w:tc>
      </w:tr>
      <w:tr>
        <w:tblPrEx>
          <w:tblCellMar>
            <w:top w:w="0" w:type="dxa"/>
            <w:left w:w="108" w:type="dxa"/>
            <w:bottom w:w="0" w:type="dxa"/>
            <w:right w:w="108" w:type="dxa"/>
          </w:tblCellMar>
        </w:tblPrEx>
        <w:trPr>
          <w:gridAfter w:val="6"/>
          <w:wAfter w:w="13718" w:type="dxa"/>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5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5"/>
            <w:tcBorders>
              <w:top w:val="nil"/>
              <w:left w:val="nil"/>
              <w:bottom w:val="nil"/>
              <w:right w:val="nil"/>
            </w:tcBorders>
            <w:shd w:val="clear" w:color="000000" w:fill="FFFFFF"/>
            <w:noWrap/>
            <w:vAlign w:val="center"/>
          </w:tcPr>
          <w:p>
            <w:pPr>
              <w:widowControl/>
              <w:wordWrap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公开03表</w:t>
            </w:r>
          </w:p>
        </w:tc>
      </w:tr>
      <w:tr>
        <w:tblPrEx>
          <w:tblCellMar>
            <w:top w:w="0" w:type="dxa"/>
            <w:left w:w="108" w:type="dxa"/>
            <w:bottom w:w="0" w:type="dxa"/>
            <w:right w:w="108" w:type="dxa"/>
          </w:tblCellMar>
        </w:tblPrEx>
        <w:trPr>
          <w:gridAfter w:val="6"/>
          <w:wAfter w:w="13718" w:type="dxa"/>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65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部门：统溪河镇人民政府　</w:t>
            </w: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4"/>
          <w:wAfter w:w="11874" w:type="dxa"/>
          <w:trHeight w:val="450" w:hRule="atLeast"/>
        </w:trPr>
        <w:tc>
          <w:tcPr>
            <w:tcW w:w="5260"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55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43"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85"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27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27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4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4"/>
          <w:wAfter w:w="11874" w:type="dxa"/>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996" w:type="dxa"/>
            <w:gridSpan w:val="8"/>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996" w:type="dxa"/>
            <w:gridSpan w:val="8"/>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5260" w:type="dxa"/>
            <w:gridSpan w:val="10"/>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559"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4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85"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27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7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4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sz w:val="24"/>
                <w:szCs w:val="24"/>
              </w:rPr>
            </w:pPr>
            <w:r>
              <w:rPr>
                <w:rFonts w:hint="eastAsia"/>
              </w:rPr>
              <w:t>2012901</w:t>
            </w:r>
          </w:p>
        </w:tc>
        <w:tc>
          <w:tcPr>
            <w:tcW w:w="3996" w:type="dxa"/>
            <w:gridSpan w:val="8"/>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sz w:val="24"/>
                <w:szCs w:val="24"/>
              </w:rPr>
            </w:pPr>
            <w:r>
              <w:rPr>
                <w:rFonts w:hint="eastAsia"/>
              </w:rPr>
              <w:t>　  行政运行</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7.30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7.30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20199</w:t>
            </w:r>
          </w:p>
        </w:tc>
        <w:tc>
          <w:tcPr>
            <w:tcW w:w="3996" w:type="dxa"/>
            <w:gridSpan w:val="8"/>
            <w:tcBorders>
              <w:top w:val="nil"/>
              <w:left w:val="nil"/>
              <w:bottom w:val="single" w:color="auto" w:sz="4" w:space="0"/>
              <w:right w:val="single" w:color="auto" w:sz="4" w:space="0"/>
            </w:tcBorders>
            <w:shd w:val="clear" w:color="000000" w:fill="FFFFFF"/>
            <w:noWrap/>
            <w:vAlign w:val="center"/>
          </w:tcPr>
          <w:p>
            <w:r>
              <w:rPr>
                <w:rFonts w:hint="eastAsia"/>
              </w:rPr>
              <w:t>其他一般公共服务支出</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4.43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4.43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2019999</w:t>
            </w:r>
          </w:p>
        </w:tc>
        <w:tc>
          <w:tcPr>
            <w:tcW w:w="3996" w:type="dxa"/>
            <w:gridSpan w:val="8"/>
            <w:tcBorders>
              <w:top w:val="nil"/>
              <w:left w:val="nil"/>
              <w:bottom w:val="single" w:color="auto" w:sz="4" w:space="0"/>
              <w:right w:val="single" w:color="auto" w:sz="4" w:space="0"/>
            </w:tcBorders>
            <w:shd w:val="clear" w:color="000000" w:fill="FFFFFF"/>
            <w:noWrap/>
            <w:vAlign w:val="center"/>
          </w:tcPr>
          <w:p>
            <w:r>
              <w:rPr>
                <w:rFonts w:hint="eastAsia"/>
              </w:rPr>
              <w:t xml:space="preserve">  其他一般公共服务支出</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4.43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4.43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204</w:t>
            </w:r>
          </w:p>
        </w:tc>
        <w:tc>
          <w:tcPr>
            <w:tcW w:w="3996" w:type="dxa"/>
            <w:gridSpan w:val="8"/>
            <w:tcBorders>
              <w:top w:val="nil"/>
              <w:left w:val="nil"/>
              <w:bottom w:val="single" w:color="auto" w:sz="4" w:space="0"/>
              <w:right w:val="single" w:color="auto" w:sz="4" w:space="0"/>
            </w:tcBorders>
            <w:shd w:val="clear" w:color="000000" w:fill="FFFFFF"/>
            <w:noWrap/>
            <w:vAlign w:val="center"/>
          </w:tcPr>
          <w:p>
            <w:r>
              <w:rPr>
                <w:rFonts w:hint="eastAsia"/>
              </w:rPr>
              <w:t>公共安全支出</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9.44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4.96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4.48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20402</w:t>
            </w:r>
          </w:p>
        </w:tc>
        <w:tc>
          <w:tcPr>
            <w:tcW w:w="3996" w:type="dxa"/>
            <w:gridSpan w:val="8"/>
            <w:tcBorders>
              <w:top w:val="nil"/>
              <w:left w:val="nil"/>
              <w:bottom w:val="single" w:color="auto" w:sz="4" w:space="0"/>
              <w:right w:val="single" w:color="auto" w:sz="4" w:space="0"/>
            </w:tcBorders>
            <w:shd w:val="clear" w:color="000000" w:fill="FFFFFF"/>
            <w:noWrap/>
            <w:vAlign w:val="center"/>
          </w:tcPr>
          <w:p>
            <w:r>
              <w:rPr>
                <w:rFonts w:hint="eastAsia"/>
              </w:rPr>
              <w:t>公安</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9.44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4.96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4.48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2040202</w:t>
            </w:r>
          </w:p>
        </w:tc>
        <w:tc>
          <w:tcPr>
            <w:tcW w:w="3996" w:type="dxa"/>
            <w:gridSpan w:val="8"/>
            <w:tcBorders>
              <w:top w:val="nil"/>
              <w:left w:val="nil"/>
              <w:bottom w:val="single" w:color="auto" w:sz="4" w:space="0"/>
              <w:right w:val="single" w:color="auto" w:sz="4" w:space="0"/>
            </w:tcBorders>
            <w:shd w:val="clear" w:color="000000" w:fill="FFFFFF"/>
            <w:noWrap/>
            <w:vAlign w:val="center"/>
          </w:tcPr>
          <w:p>
            <w:r>
              <w:rPr>
                <w:rFonts w:hint="eastAsia"/>
              </w:rPr>
              <w:t xml:space="preserve">  一般行政管理事务</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4.48</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4.48</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2040299</w:t>
            </w:r>
          </w:p>
        </w:tc>
        <w:tc>
          <w:tcPr>
            <w:tcW w:w="3996" w:type="dxa"/>
            <w:gridSpan w:val="8"/>
            <w:tcBorders>
              <w:top w:val="nil"/>
              <w:left w:val="nil"/>
              <w:bottom w:val="single" w:color="auto" w:sz="4" w:space="0"/>
              <w:right w:val="single" w:color="auto" w:sz="4" w:space="0"/>
            </w:tcBorders>
            <w:shd w:val="clear" w:color="000000" w:fill="FFFFFF"/>
            <w:noWrap/>
            <w:vAlign w:val="center"/>
          </w:tcPr>
          <w:p>
            <w:r>
              <w:rPr>
                <w:rFonts w:hint="eastAsia"/>
              </w:rPr>
              <w:t xml:space="preserve">  其他公安支出</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4.96</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4.96</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207</w:t>
            </w:r>
          </w:p>
        </w:tc>
        <w:tc>
          <w:tcPr>
            <w:tcW w:w="3996" w:type="dxa"/>
            <w:gridSpan w:val="8"/>
            <w:tcBorders>
              <w:top w:val="nil"/>
              <w:left w:val="nil"/>
              <w:bottom w:val="single" w:color="auto" w:sz="4" w:space="0"/>
              <w:right w:val="single" w:color="auto" w:sz="4" w:space="0"/>
            </w:tcBorders>
            <w:shd w:val="clear" w:color="000000" w:fill="FFFFFF"/>
            <w:noWrap/>
            <w:vAlign w:val="center"/>
          </w:tcPr>
          <w:p>
            <w:r>
              <w:rPr>
                <w:rFonts w:hint="eastAsia"/>
              </w:rPr>
              <w:t>文化旅游体育与传媒支出</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20799</w:t>
            </w:r>
          </w:p>
        </w:tc>
        <w:tc>
          <w:tcPr>
            <w:tcW w:w="3996" w:type="dxa"/>
            <w:gridSpan w:val="8"/>
            <w:tcBorders>
              <w:top w:val="nil"/>
              <w:left w:val="nil"/>
              <w:bottom w:val="single" w:color="auto" w:sz="4" w:space="0"/>
              <w:right w:val="single" w:color="auto" w:sz="4" w:space="0"/>
            </w:tcBorders>
            <w:shd w:val="clear" w:color="000000" w:fill="FFFFFF"/>
            <w:noWrap/>
            <w:vAlign w:val="center"/>
          </w:tcPr>
          <w:p>
            <w:r>
              <w:rPr>
                <w:rFonts w:hint="eastAsia"/>
              </w:rPr>
              <w:t>其他文化旅游体育与传媒支出</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2079999</w:t>
            </w:r>
          </w:p>
        </w:tc>
        <w:tc>
          <w:tcPr>
            <w:tcW w:w="3996" w:type="dxa"/>
            <w:gridSpan w:val="8"/>
            <w:tcBorders>
              <w:top w:val="nil"/>
              <w:left w:val="nil"/>
              <w:bottom w:val="single" w:color="auto" w:sz="4" w:space="0"/>
              <w:right w:val="single" w:color="auto" w:sz="4" w:space="0"/>
            </w:tcBorders>
            <w:shd w:val="clear" w:color="000000" w:fill="FFFFFF"/>
            <w:noWrap/>
            <w:vAlign w:val="center"/>
          </w:tcPr>
          <w:p>
            <w:r>
              <w:rPr>
                <w:rFonts w:hint="eastAsia"/>
              </w:rPr>
              <w:t xml:space="preserve">  其他文化旅游体育与传媒支出</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208</w:t>
            </w:r>
          </w:p>
        </w:tc>
        <w:tc>
          <w:tcPr>
            <w:tcW w:w="3996" w:type="dxa"/>
            <w:gridSpan w:val="8"/>
            <w:tcBorders>
              <w:top w:val="nil"/>
              <w:left w:val="nil"/>
              <w:bottom w:val="single" w:color="auto" w:sz="4" w:space="0"/>
              <w:right w:val="single" w:color="auto" w:sz="4" w:space="0"/>
            </w:tcBorders>
            <w:shd w:val="clear" w:color="000000" w:fill="FFFFFF"/>
            <w:noWrap/>
            <w:vAlign w:val="center"/>
          </w:tcPr>
          <w:p>
            <w:r>
              <w:rPr>
                <w:rFonts w:hint="eastAsia"/>
              </w:rPr>
              <w:t>社会保障和就业支出</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44.06</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41.76</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2.30</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20801</w:t>
            </w:r>
          </w:p>
        </w:tc>
        <w:tc>
          <w:tcPr>
            <w:tcW w:w="3996" w:type="dxa"/>
            <w:gridSpan w:val="8"/>
            <w:tcBorders>
              <w:top w:val="nil"/>
              <w:left w:val="nil"/>
              <w:bottom w:val="single" w:color="auto" w:sz="4" w:space="0"/>
              <w:right w:val="single" w:color="auto" w:sz="4" w:space="0"/>
            </w:tcBorders>
            <w:shd w:val="clear" w:color="000000" w:fill="FFFFFF"/>
            <w:noWrap/>
            <w:vAlign w:val="center"/>
          </w:tcPr>
          <w:p>
            <w:r>
              <w:rPr>
                <w:rFonts w:hint="eastAsia"/>
              </w:rPr>
              <w:t>人力资源和社会保障管理事务</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10.00</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10.00</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2080199</w:t>
            </w:r>
          </w:p>
        </w:tc>
        <w:tc>
          <w:tcPr>
            <w:tcW w:w="3996" w:type="dxa"/>
            <w:gridSpan w:val="8"/>
            <w:tcBorders>
              <w:top w:val="nil"/>
              <w:left w:val="nil"/>
              <w:bottom w:val="single" w:color="auto" w:sz="4" w:space="0"/>
              <w:right w:val="single" w:color="auto" w:sz="4" w:space="0"/>
            </w:tcBorders>
            <w:shd w:val="clear" w:color="000000" w:fill="FFFFFF"/>
            <w:noWrap/>
            <w:vAlign w:val="center"/>
          </w:tcPr>
          <w:p>
            <w:r>
              <w:rPr>
                <w:rFonts w:hint="eastAsia"/>
              </w:rPr>
              <w:t xml:space="preserve">  其他人力资源和社会保障管理事务支出</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10.00</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10.00</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630" w:hRule="atLeast"/>
        </w:trPr>
        <w:tc>
          <w:tcPr>
            <w:tcW w:w="15041" w:type="dxa"/>
            <w:gridSpan w:val="27"/>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gridAfter w:val="4"/>
          <w:wAfter w:w="11874" w:type="dxa"/>
          <w:trHeight w:val="630" w:hRule="atLeast"/>
        </w:trPr>
        <w:tc>
          <w:tcPr>
            <w:tcW w:w="15041" w:type="dxa"/>
            <w:gridSpan w:val="27"/>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pPr>
              <w:widowControl/>
              <w:jc w:val="left"/>
              <w:rPr>
                <w:rFonts w:ascii="宋体" w:hAnsi="宋体" w:eastAsia="宋体" w:cs="宋体"/>
                <w:kern w:val="0"/>
                <w:sz w:val="24"/>
                <w:szCs w:val="24"/>
              </w:rPr>
            </w:pPr>
          </w:p>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华文中宋" w:hAnsi="华文中宋" w:eastAsia="华文中宋" w:cs="宋体"/>
                <w:color w:val="000000"/>
                <w:kern w:val="0"/>
                <w:sz w:val="32"/>
                <w:szCs w:val="32"/>
              </w:rPr>
              <w:t xml:space="preserve"> 支出决算表</w:t>
            </w:r>
          </w:p>
        </w:tc>
      </w:tr>
      <w:tr>
        <w:tblPrEx>
          <w:tblCellMar>
            <w:top w:w="0" w:type="dxa"/>
            <w:left w:w="108" w:type="dxa"/>
            <w:bottom w:w="0" w:type="dxa"/>
            <w:right w:w="108" w:type="dxa"/>
          </w:tblCellMar>
        </w:tblPrEx>
        <w:trPr>
          <w:gridAfter w:val="6"/>
          <w:wAfter w:w="13718" w:type="dxa"/>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5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5"/>
            <w:tcBorders>
              <w:top w:val="nil"/>
              <w:left w:val="nil"/>
              <w:bottom w:val="nil"/>
              <w:right w:val="nil"/>
            </w:tcBorders>
            <w:shd w:val="clear" w:color="000000" w:fill="FFFFFF"/>
            <w:noWrap/>
            <w:vAlign w:val="center"/>
          </w:tcPr>
          <w:p>
            <w:pPr>
              <w:widowControl/>
              <w:wordWrap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公开03表</w:t>
            </w:r>
          </w:p>
        </w:tc>
      </w:tr>
      <w:tr>
        <w:tblPrEx>
          <w:tblCellMar>
            <w:top w:w="0" w:type="dxa"/>
            <w:left w:w="108" w:type="dxa"/>
            <w:bottom w:w="0" w:type="dxa"/>
            <w:right w:w="108" w:type="dxa"/>
          </w:tblCellMar>
        </w:tblPrEx>
        <w:trPr>
          <w:gridAfter w:val="6"/>
          <w:wAfter w:w="13718" w:type="dxa"/>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65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部门：统溪河镇人民政府　</w:t>
            </w: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4"/>
          <w:wAfter w:w="11874" w:type="dxa"/>
          <w:trHeight w:val="450" w:hRule="atLeast"/>
        </w:trPr>
        <w:tc>
          <w:tcPr>
            <w:tcW w:w="5118"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0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43"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85"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27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27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4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4"/>
          <w:wAfter w:w="11874" w:type="dxa"/>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854" w:type="dxa"/>
            <w:gridSpan w:val="7"/>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0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854" w:type="dxa"/>
            <w:gridSpan w:val="7"/>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0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5118"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0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4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85"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27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7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4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sz w:val="24"/>
                <w:szCs w:val="24"/>
              </w:rPr>
            </w:pPr>
            <w:r>
              <w:rPr>
                <w:rFonts w:hint="eastAsia"/>
              </w:rPr>
              <w:t>20808</w:t>
            </w:r>
          </w:p>
        </w:tc>
        <w:tc>
          <w:tcPr>
            <w:tcW w:w="3854" w:type="dxa"/>
            <w:gridSpan w:val="7"/>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sz w:val="24"/>
                <w:szCs w:val="24"/>
              </w:rPr>
            </w:pPr>
            <w:r>
              <w:rPr>
                <w:rFonts w:hint="eastAsia"/>
              </w:rPr>
              <w:t>　抚恤</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27.96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27.96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2080801</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死亡抚恤</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27.96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27.96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20810</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社会福利</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1.00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1.00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2081001</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儿童福利</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1.00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1.00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20821</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特困人员救助供养</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2.30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2.30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2082102</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农村特困人员救助供养支出</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2.30</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2.30</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20826</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财政对基本养老保险基金的补助</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1.40</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1.40</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2082699</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财政对其他基本养老保险基金的补助</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1.40</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1.40</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20828</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退役军人管理事务</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1.40</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1.40</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2082899</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其他退役军人事务管理支出</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1.40</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1.40</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210</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卫生健康支出</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87.45</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87.45</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21001</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卫生健康管理事务</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3.25</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3.25</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2100101</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行政运行</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3.25</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3.25</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630" w:hRule="atLeast"/>
        </w:trPr>
        <w:tc>
          <w:tcPr>
            <w:tcW w:w="15041" w:type="dxa"/>
            <w:gridSpan w:val="27"/>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gridAfter w:val="4"/>
          <w:wAfter w:w="11874" w:type="dxa"/>
          <w:trHeight w:val="630" w:hRule="atLeast"/>
        </w:trPr>
        <w:tc>
          <w:tcPr>
            <w:tcW w:w="15041" w:type="dxa"/>
            <w:gridSpan w:val="27"/>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pPr>
              <w:widowControl/>
              <w:jc w:val="left"/>
              <w:rPr>
                <w:rFonts w:ascii="宋体" w:hAnsi="宋体" w:eastAsia="宋体" w:cs="宋体"/>
                <w:kern w:val="0"/>
                <w:sz w:val="24"/>
                <w:szCs w:val="24"/>
              </w:rPr>
            </w:pPr>
          </w:p>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6"/>
          <w:wAfter w:w="13718" w:type="dxa"/>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5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5"/>
            <w:tcBorders>
              <w:top w:val="nil"/>
              <w:left w:val="nil"/>
              <w:bottom w:val="nil"/>
              <w:right w:val="nil"/>
            </w:tcBorders>
            <w:shd w:val="clear" w:color="000000" w:fill="FFFFFF"/>
            <w:noWrap/>
            <w:vAlign w:val="center"/>
          </w:tcPr>
          <w:p>
            <w:pPr>
              <w:widowControl/>
              <w:wordWrap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公开03表</w:t>
            </w:r>
          </w:p>
        </w:tc>
      </w:tr>
      <w:tr>
        <w:tblPrEx>
          <w:tblCellMar>
            <w:top w:w="0" w:type="dxa"/>
            <w:left w:w="108" w:type="dxa"/>
            <w:bottom w:w="0" w:type="dxa"/>
            <w:right w:w="108" w:type="dxa"/>
          </w:tblCellMar>
        </w:tblPrEx>
        <w:trPr>
          <w:gridAfter w:val="6"/>
          <w:wAfter w:w="13718" w:type="dxa"/>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65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部门：统溪河镇人民政府　</w:t>
            </w: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4"/>
          <w:wAfter w:w="11874" w:type="dxa"/>
          <w:trHeight w:val="450" w:hRule="atLeast"/>
        </w:trPr>
        <w:tc>
          <w:tcPr>
            <w:tcW w:w="5118"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0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43"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85"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27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27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4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4"/>
          <w:wAfter w:w="11874" w:type="dxa"/>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854" w:type="dxa"/>
            <w:gridSpan w:val="7"/>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0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854" w:type="dxa"/>
            <w:gridSpan w:val="7"/>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0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5118"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0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4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85"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27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7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4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sz w:val="24"/>
                <w:szCs w:val="24"/>
              </w:rPr>
            </w:pPr>
            <w:r>
              <w:rPr>
                <w:rFonts w:hint="eastAsia"/>
              </w:rPr>
              <w:t>21004</w:t>
            </w:r>
          </w:p>
        </w:tc>
        <w:tc>
          <w:tcPr>
            <w:tcW w:w="3854" w:type="dxa"/>
            <w:gridSpan w:val="7"/>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sz w:val="24"/>
                <w:szCs w:val="24"/>
              </w:rPr>
            </w:pPr>
            <w:r>
              <w:rPr>
                <w:rFonts w:hint="eastAsia"/>
              </w:rPr>
              <w:t>公共卫生</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1.51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1.51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2100404</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精神卫生机构</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0.72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0.72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2100408</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基本公共卫生服务</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0.43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0.43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2100410</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突发公共卫生事件应急处理</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0.36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0.36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21007</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计划生育事务</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82.69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82.69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2100716</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计划生育机构</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37.07</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37.07</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2100717</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计划生育服务</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10.53</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10.53</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2100799</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其他计划生育事务支出</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35.09</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35.09</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211</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节能环保支出</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9.40</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9.40</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21104</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自然生态保护</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9.40</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9.40</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2110402</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农村环境保护</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9.40</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9.40</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212</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城乡社区支出</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33.55</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18.70</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14.85</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21201</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城乡社区管理事务</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2.60</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2.60</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630" w:hRule="atLeast"/>
        </w:trPr>
        <w:tc>
          <w:tcPr>
            <w:tcW w:w="15041" w:type="dxa"/>
            <w:gridSpan w:val="27"/>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gridAfter w:val="4"/>
          <w:wAfter w:w="11874" w:type="dxa"/>
          <w:trHeight w:val="630" w:hRule="atLeast"/>
        </w:trPr>
        <w:tc>
          <w:tcPr>
            <w:tcW w:w="15041" w:type="dxa"/>
            <w:gridSpan w:val="27"/>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pPr>
              <w:widowControl/>
              <w:jc w:val="left"/>
              <w:rPr>
                <w:rFonts w:ascii="宋体" w:hAnsi="宋体" w:eastAsia="宋体" w:cs="宋体"/>
                <w:kern w:val="0"/>
                <w:sz w:val="24"/>
                <w:szCs w:val="24"/>
              </w:rPr>
            </w:pPr>
          </w:p>
          <w:p>
            <w:pPr>
              <w:widowControl/>
              <w:jc w:val="center"/>
              <w:rPr>
                <w:rFonts w:ascii="宋体" w:hAnsi="宋体" w:eastAsia="宋体" w:cs="宋体"/>
                <w:kern w:val="0"/>
                <w:sz w:val="24"/>
                <w:szCs w:val="24"/>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6"/>
          <w:wAfter w:w="13718" w:type="dxa"/>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5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5"/>
            <w:tcBorders>
              <w:top w:val="nil"/>
              <w:left w:val="nil"/>
              <w:bottom w:val="nil"/>
              <w:right w:val="nil"/>
            </w:tcBorders>
            <w:shd w:val="clear" w:color="000000" w:fill="FFFFFF"/>
            <w:noWrap/>
            <w:vAlign w:val="center"/>
          </w:tcPr>
          <w:p>
            <w:pPr>
              <w:widowControl/>
              <w:wordWrap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公开03表</w:t>
            </w:r>
          </w:p>
        </w:tc>
      </w:tr>
      <w:tr>
        <w:tblPrEx>
          <w:tblCellMar>
            <w:top w:w="0" w:type="dxa"/>
            <w:left w:w="108" w:type="dxa"/>
            <w:bottom w:w="0" w:type="dxa"/>
            <w:right w:w="108" w:type="dxa"/>
          </w:tblCellMar>
        </w:tblPrEx>
        <w:trPr>
          <w:gridAfter w:val="6"/>
          <w:wAfter w:w="13718" w:type="dxa"/>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65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部门：统溪河镇人民政府　</w:t>
            </w: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4"/>
          <w:wAfter w:w="11874" w:type="dxa"/>
          <w:trHeight w:val="450" w:hRule="atLeast"/>
        </w:trPr>
        <w:tc>
          <w:tcPr>
            <w:tcW w:w="5118"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0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43"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85"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27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27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4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4"/>
          <w:wAfter w:w="11874" w:type="dxa"/>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854" w:type="dxa"/>
            <w:gridSpan w:val="7"/>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0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854" w:type="dxa"/>
            <w:gridSpan w:val="7"/>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0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5118"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0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4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85"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27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7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4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sz w:val="24"/>
                <w:szCs w:val="24"/>
              </w:rPr>
            </w:pPr>
            <w:r>
              <w:rPr>
                <w:rFonts w:hint="eastAsia"/>
              </w:rPr>
              <w:t>2120101</w:t>
            </w:r>
          </w:p>
        </w:tc>
        <w:tc>
          <w:tcPr>
            <w:tcW w:w="3854" w:type="dxa"/>
            <w:gridSpan w:val="7"/>
            <w:tcBorders>
              <w:top w:val="nil"/>
              <w:left w:val="nil"/>
              <w:bottom w:val="single" w:color="auto" w:sz="4" w:space="0"/>
              <w:right w:val="single" w:color="auto" w:sz="4" w:space="0"/>
            </w:tcBorders>
            <w:shd w:val="clear" w:color="000000" w:fill="FFFFFF"/>
            <w:noWrap/>
            <w:vAlign w:val="center"/>
          </w:tcPr>
          <w:p>
            <w:pPr>
              <w:ind w:firstLine="210" w:firstLineChars="100"/>
              <w:rPr>
                <w:rFonts w:ascii="宋体" w:hAnsi="宋体" w:eastAsia="宋体" w:cs="宋体"/>
                <w:sz w:val="24"/>
                <w:szCs w:val="24"/>
              </w:rPr>
            </w:pPr>
            <w:r>
              <w:rPr>
                <w:rFonts w:hint="eastAsia"/>
              </w:rPr>
              <w:t>行政运行</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2.60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2.60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21203</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城乡社区公共设施</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14.85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14.85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2120303</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小城镇基础设施建设</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14.85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14.85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21205</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城乡社区环境卫生</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16.10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16.10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2120501</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城乡社区环境卫生</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16.10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16.10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213</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农林水支出</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445.21</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230.54</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214.67</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21301</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农业农村</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13.15</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11.15</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2.00</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2130142</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农村道路建设</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2.00</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2.00</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2130199</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其他农业农村支出</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11.15</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11.15</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21302</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林业和草原</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30.17</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30.17</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2130201</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行政运行</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24.88</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24.88</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2130207</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森林资源管理</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1.02</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1.02</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2130209</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森林生态效益补偿</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4.27</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4.27</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630" w:hRule="atLeast"/>
        </w:trPr>
        <w:tc>
          <w:tcPr>
            <w:tcW w:w="15041" w:type="dxa"/>
            <w:gridSpan w:val="27"/>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gridAfter w:val="4"/>
          <w:wAfter w:w="11874" w:type="dxa"/>
          <w:trHeight w:val="630" w:hRule="atLeast"/>
        </w:trPr>
        <w:tc>
          <w:tcPr>
            <w:tcW w:w="15041" w:type="dxa"/>
            <w:gridSpan w:val="27"/>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pPr>
              <w:widowControl/>
              <w:jc w:val="left"/>
              <w:rPr>
                <w:rFonts w:ascii="宋体" w:hAnsi="宋体" w:eastAsia="宋体" w:cs="宋体"/>
                <w:kern w:val="0"/>
                <w:sz w:val="24"/>
                <w:szCs w:val="24"/>
              </w:rPr>
            </w:pPr>
          </w:p>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6"/>
          <w:wAfter w:w="13718" w:type="dxa"/>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5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5"/>
            <w:tcBorders>
              <w:top w:val="nil"/>
              <w:left w:val="nil"/>
              <w:bottom w:val="nil"/>
              <w:right w:val="nil"/>
            </w:tcBorders>
            <w:shd w:val="clear" w:color="000000" w:fill="FFFFFF"/>
            <w:noWrap/>
            <w:vAlign w:val="center"/>
          </w:tcPr>
          <w:p>
            <w:pPr>
              <w:widowControl/>
              <w:wordWrap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公开03表</w:t>
            </w:r>
          </w:p>
        </w:tc>
      </w:tr>
      <w:tr>
        <w:tblPrEx>
          <w:tblCellMar>
            <w:top w:w="0" w:type="dxa"/>
            <w:left w:w="108" w:type="dxa"/>
            <w:bottom w:w="0" w:type="dxa"/>
            <w:right w:w="108" w:type="dxa"/>
          </w:tblCellMar>
        </w:tblPrEx>
        <w:trPr>
          <w:gridAfter w:val="6"/>
          <w:wAfter w:w="13718" w:type="dxa"/>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65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部门：统溪河镇人民政府　</w:t>
            </w: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4"/>
          <w:wAfter w:w="11874" w:type="dxa"/>
          <w:trHeight w:val="450" w:hRule="atLeast"/>
        </w:trPr>
        <w:tc>
          <w:tcPr>
            <w:tcW w:w="5118"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0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43"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85"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27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27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4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4"/>
          <w:wAfter w:w="11874" w:type="dxa"/>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854" w:type="dxa"/>
            <w:gridSpan w:val="7"/>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0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854" w:type="dxa"/>
            <w:gridSpan w:val="7"/>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0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5118"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0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4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85"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27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7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4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sz w:val="24"/>
                <w:szCs w:val="24"/>
              </w:rPr>
            </w:pPr>
            <w:r>
              <w:rPr>
                <w:rFonts w:hint="eastAsia"/>
              </w:rPr>
              <w:t>21303</w:t>
            </w:r>
          </w:p>
        </w:tc>
        <w:tc>
          <w:tcPr>
            <w:tcW w:w="3854" w:type="dxa"/>
            <w:gridSpan w:val="7"/>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sz w:val="24"/>
                <w:szCs w:val="24"/>
              </w:rPr>
            </w:pPr>
            <w:r>
              <w:rPr>
                <w:rFonts w:hint="eastAsia"/>
              </w:rPr>
              <w:t>水利</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2.00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2.00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2130399</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其他水利支出</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2.00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2.00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21305</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扶贫</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213.67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3.00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210.67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2130504</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农村基础设施建设</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131.47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131.47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2130505</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生产发展</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79.20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79.20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2130599</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其他扶贫支出</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3.00</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3.00</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21307</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农村综合改革</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186.22</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186.22</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2130705</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对村民委员会和村党支部的补助</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177.22</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177.22</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2130707</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农村综合改革示范试点补助</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9.00</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9.00</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221</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住房保障支出</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10.57</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10.57</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22102</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住房改革支出</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10.57</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10.57</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2210201</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住房公积金</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10.57</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10.57</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224</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灾害防治及应急管理支出</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15.00</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11.00</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4.00</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630" w:hRule="atLeast"/>
        </w:trPr>
        <w:tc>
          <w:tcPr>
            <w:tcW w:w="15041" w:type="dxa"/>
            <w:gridSpan w:val="27"/>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gridAfter w:val="4"/>
          <w:wAfter w:w="11874" w:type="dxa"/>
          <w:trHeight w:val="630" w:hRule="atLeast"/>
        </w:trPr>
        <w:tc>
          <w:tcPr>
            <w:tcW w:w="15041" w:type="dxa"/>
            <w:gridSpan w:val="27"/>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pPr>
              <w:widowControl/>
              <w:jc w:val="left"/>
              <w:rPr>
                <w:rFonts w:ascii="宋体" w:hAnsi="宋体" w:eastAsia="宋体" w:cs="宋体"/>
                <w:kern w:val="0"/>
                <w:sz w:val="24"/>
                <w:szCs w:val="24"/>
              </w:rPr>
            </w:pPr>
          </w:p>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6"/>
          <w:wAfter w:w="13718" w:type="dxa"/>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5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5"/>
            <w:tcBorders>
              <w:top w:val="nil"/>
              <w:left w:val="nil"/>
              <w:bottom w:val="nil"/>
              <w:right w:val="nil"/>
            </w:tcBorders>
            <w:shd w:val="clear" w:color="000000" w:fill="FFFFFF"/>
            <w:noWrap/>
            <w:vAlign w:val="center"/>
          </w:tcPr>
          <w:p>
            <w:pPr>
              <w:widowControl/>
              <w:wordWrap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公开03表</w:t>
            </w:r>
          </w:p>
        </w:tc>
      </w:tr>
      <w:tr>
        <w:tblPrEx>
          <w:tblCellMar>
            <w:top w:w="0" w:type="dxa"/>
            <w:left w:w="108" w:type="dxa"/>
            <w:bottom w:w="0" w:type="dxa"/>
            <w:right w:w="108" w:type="dxa"/>
          </w:tblCellMar>
        </w:tblPrEx>
        <w:trPr>
          <w:gridAfter w:val="6"/>
          <w:wAfter w:w="13718" w:type="dxa"/>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65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部门：统溪河镇人民政府　</w:t>
            </w: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4"/>
          <w:wAfter w:w="11874" w:type="dxa"/>
          <w:trHeight w:val="450" w:hRule="atLeast"/>
        </w:trPr>
        <w:tc>
          <w:tcPr>
            <w:tcW w:w="5118"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0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43"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85"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27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27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4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4"/>
          <w:wAfter w:w="11874" w:type="dxa"/>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854" w:type="dxa"/>
            <w:gridSpan w:val="7"/>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0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854" w:type="dxa"/>
            <w:gridSpan w:val="7"/>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0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5118"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0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4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85"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27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7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4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sz w:val="24"/>
                <w:szCs w:val="24"/>
              </w:rPr>
            </w:pPr>
            <w:r>
              <w:rPr>
                <w:rFonts w:hint="eastAsia"/>
              </w:rPr>
              <w:t>22407</w:t>
            </w:r>
          </w:p>
        </w:tc>
        <w:tc>
          <w:tcPr>
            <w:tcW w:w="3854" w:type="dxa"/>
            <w:gridSpan w:val="7"/>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sz w:val="24"/>
                <w:szCs w:val="24"/>
              </w:rPr>
            </w:pPr>
            <w:r>
              <w:rPr>
                <w:rFonts w:hint="eastAsia"/>
              </w:rPr>
              <w:t>自然灾害救灾及恢复重建支出</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15.00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11.00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4.00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2240704</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自然灾害灾后重建补助</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4.00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4.00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2240799</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其他自然灾害救灾及恢复重建支出</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11.00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11.00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229</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其他支出</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33.43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33.43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22960</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彩票公益金安排的支出</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33.43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33.43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2296002</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用于社会福利的彩票公益金支出</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2296003</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用于体育事业的彩票公益金支出</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10.00</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10.00</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2296004</w:t>
            </w:r>
          </w:p>
        </w:tc>
        <w:tc>
          <w:tcPr>
            <w:tcW w:w="3854" w:type="dxa"/>
            <w:gridSpan w:val="7"/>
            <w:tcBorders>
              <w:top w:val="nil"/>
              <w:left w:val="nil"/>
              <w:bottom w:val="single" w:color="auto" w:sz="4" w:space="0"/>
              <w:right w:val="single" w:color="auto" w:sz="4" w:space="0"/>
            </w:tcBorders>
            <w:shd w:val="clear" w:color="000000" w:fill="FFFFFF"/>
            <w:noWrap/>
            <w:vAlign w:val="center"/>
          </w:tcPr>
          <w:p>
            <w:r>
              <w:rPr>
                <w:rFonts w:hint="eastAsia"/>
              </w:rPr>
              <w:t xml:space="preserve">  用于教育事业的彩票公益金支出</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18.43</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18.43</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p>
        </w:tc>
        <w:tc>
          <w:tcPr>
            <w:tcW w:w="3854"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p>
        </w:tc>
        <w:tc>
          <w:tcPr>
            <w:tcW w:w="3854"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p>
        </w:tc>
        <w:tc>
          <w:tcPr>
            <w:tcW w:w="3854"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p>
        </w:tc>
        <w:tc>
          <w:tcPr>
            <w:tcW w:w="3854"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p>
        </w:tc>
        <w:tc>
          <w:tcPr>
            <w:tcW w:w="3854"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4"/>
          <w:wAfter w:w="11874"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54"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4"/>
          <w:wAfter w:w="11874" w:type="dxa"/>
          <w:trHeight w:val="630" w:hRule="atLeast"/>
        </w:trPr>
        <w:tc>
          <w:tcPr>
            <w:tcW w:w="15041" w:type="dxa"/>
            <w:gridSpan w:val="27"/>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gridAfter w:val="3"/>
          <w:wAfter w:w="11394" w:type="dxa"/>
          <w:trHeight w:val="360" w:hRule="atLeast"/>
        </w:trPr>
        <w:tc>
          <w:tcPr>
            <w:tcW w:w="15521" w:type="dxa"/>
            <w:gridSpan w:val="2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0" w:name="RANGE!A1:I22"/>
            <w:bookmarkEnd w:id="0"/>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gridAfter w:val="3"/>
          <w:wAfter w:w="11394" w:type="dxa"/>
          <w:trHeight w:val="199" w:hRule="atLeast"/>
        </w:trPr>
        <w:tc>
          <w:tcPr>
            <w:tcW w:w="3595"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8"/>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rPr>
          <w:gridAfter w:val="3"/>
          <w:wAfter w:w="11394" w:type="dxa"/>
          <w:trHeight w:val="300" w:hRule="atLeast"/>
        </w:trPr>
        <w:tc>
          <w:tcPr>
            <w:tcW w:w="3595"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部门：统溪河镇人民政府</w:t>
            </w:r>
          </w:p>
        </w:tc>
        <w:tc>
          <w:tcPr>
            <w:tcW w:w="4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8"/>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3"/>
          <w:wAfter w:w="11394" w:type="dxa"/>
          <w:trHeight w:val="402" w:hRule="atLeast"/>
        </w:trPr>
        <w:tc>
          <w:tcPr>
            <w:tcW w:w="5109"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20"/>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gridAfter w:val="3"/>
          <w:wAfter w:w="11394" w:type="dxa"/>
          <w:trHeight w:val="630"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1257.92</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33</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598.24</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598.24</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33.43</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34</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35</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36</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9.44</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9.44</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37</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38</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七、文化旅游体育与传媒支出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39</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40</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44.06</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44.06</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九、卫生健康支出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41</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87.45</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87.45</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十、节能环保支出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42</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9.40</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9.40</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十一、城乡社区支出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43</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33.55</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33.55</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十二、农林水支出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44</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445.21</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445.21</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十三、交通运输支出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45</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p>
        </w:tc>
        <w:tc>
          <w:tcPr>
            <w:tcW w:w="43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十四、资源勘探工业信息等支出</w:t>
            </w:r>
          </w:p>
        </w:tc>
        <w:tc>
          <w:tcPr>
            <w:tcW w:w="1067"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46</w:t>
            </w:r>
          </w:p>
        </w:tc>
        <w:tc>
          <w:tcPr>
            <w:tcW w:w="157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p>
        </w:tc>
        <w:tc>
          <w:tcPr>
            <w:tcW w:w="43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411" w:type="dxa"/>
            <w:gridSpan w:val="6"/>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十五、商业服务业等支出</w:t>
            </w:r>
          </w:p>
        </w:tc>
        <w:tc>
          <w:tcPr>
            <w:tcW w:w="1067"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47</w:t>
            </w:r>
          </w:p>
        </w:tc>
        <w:tc>
          <w:tcPr>
            <w:tcW w:w="157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p>
        </w:tc>
        <w:tc>
          <w:tcPr>
            <w:tcW w:w="43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411" w:type="dxa"/>
            <w:gridSpan w:val="6"/>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十六、金融支出</w:t>
            </w:r>
          </w:p>
        </w:tc>
        <w:tc>
          <w:tcPr>
            <w:tcW w:w="1067"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48</w:t>
            </w:r>
          </w:p>
        </w:tc>
        <w:tc>
          <w:tcPr>
            <w:tcW w:w="157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585" w:hRule="atLeast"/>
        </w:trPr>
        <w:tc>
          <w:tcPr>
            <w:tcW w:w="15521" w:type="dxa"/>
            <w:gridSpan w:val="28"/>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c>
          <w:tcPr>
            <w:tcW w:w="3798" w:type="dxa"/>
          </w:tcPr>
          <w:p>
            <w:pPr>
              <w:widowControl/>
              <w:jc w:val="left"/>
            </w:pPr>
          </w:p>
        </w:tc>
        <w:tc>
          <w:tcPr>
            <w:tcW w:w="3798" w:type="dxa"/>
          </w:tcPr>
          <w:p>
            <w:pPr>
              <w:widowControl/>
              <w:jc w:val="left"/>
            </w:pPr>
          </w:p>
        </w:tc>
        <w:tc>
          <w:tcPr>
            <w:tcW w:w="3798" w:type="dxa"/>
            <w:vAlign w:val="center"/>
          </w:tcPr>
          <w:p>
            <w:pPr>
              <w:widowControl/>
              <w:jc w:val="left"/>
              <w:rPr>
                <w:rFonts w:ascii="宋体" w:hAnsi="宋体" w:eastAsia="宋体" w:cs="宋体"/>
                <w:kern w:val="0"/>
                <w:sz w:val="22"/>
              </w:rPr>
            </w:pPr>
            <w:r>
              <w:rPr>
                <w:rFonts w:hint="eastAsia" w:ascii="宋体" w:hAnsi="宋体" w:eastAsia="宋体" w:cs="宋体"/>
                <w:kern w:val="0"/>
                <w:sz w:val="22"/>
              </w:rPr>
              <w:t>十五、商业服务业等支出</w:t>
            </w:r>
          </w:p>
        </w:tc>
      </w:tr>
      <w:tr>
        <w:tblPrEx>
          <w:tblCellMar>
            <w:top w:w="0" w:type="dxa"/>
            <w:left w:w="108" w:type="dxa"/>
            <w:bottom w:w="0" w:type="dxa"/>
            <w:right w:w="108" w:type="dxa"/>
          </w:tblCellMar>
        </w:tblPrEx>
        <w:trPr>
          <w:gridAfter w:val="3"/>
          <w:wAfter w:w="11394" w:type="dxa"/>
          <w:trHeight w:val="360" w:hRule="atLeast"/>
        </w:trPr>
        <w:tc>
          <w:tcPr>
            <w:tcW w:w="15521" w:type="dxa"/>
            <w:gridSpan w:val="2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gridAfter w:val="3"/>
          <w:wAfter w:w="11394" w:type="dxa"/>
          <w:trHeight w:val="199" w:hRule="atLeast"/>
        </w:trPr>
        <w:tc>
          <w:tcPr>
            <w:tcW w:w="3595"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8"/>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rPr>
          <w:gridAfter w:val="3"/>
          <w:wAfter w:w="11394" w:type="dxa"/>
          <w:trHeight w:val="300" w:hRule="atLeast"/>
        </w:trPr>
        <w:tc>
          <w:tcPr>
            <w:tcW w:w="3595"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部门：统溪河镇人民政府</w:t>
            </w:r>
          </w:p>
        </w:tc>
        <w:tc>
          <w:tcPr>
            <w:tcW w:w="4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8"/>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3"/>
          <w:wAfter w:w="11394" w:type="dxa"/>
          <w:trHeight w:val="402" w:hRule="atLeast"/>
        </w:trPr>
        <w:tc>
          <w:tcPr>
            <w:tcW w:w="5109"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20"/>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gridAfter w:val="3"/>
          <w:wAfter w:w="11394" w:type="dxa"/>
          <w:trHeight w:val="630"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十七、援助其他地区支出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49</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十八、自然资源海洋气象等支出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十九、住房保障支出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51</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10.57</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10.57</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二十、粮油物资储备支出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52</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二十一、国有资本经营预算支出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53</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二十二、灾害防治及应急管理支出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54</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15.00</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15.00</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二十三、其他支出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55</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33.43</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33.43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二十四、债务还本支出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56</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二十五、债务付息支出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57</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二十六、抗疫特别国债安排的支出　</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58</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1291.35</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59</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1291.35</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1291.35</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29</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61</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62</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31</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63</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3"/>
          <w:wAfter w:w="11394" w:type="dxa"/>
          <w:trHeight w:val="402" w:hRule="atLeast"/>
        </w:trPr>
        <w:tc>
          <w:tcPr>
            <w:tcW w:w="3595" w:type="dxa"/>
            <w:gridSpan w:val="4"/>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1291.35</w:t>
            </w:r>
          </w:p>
        </w:tc>
        <w:tc>
          <w:tcPr>
            <w:tcW w:w="3411" w:type="dxa"/>
            <w:gridSpan w:val="6"/>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64</w:t>
            </w:r>
          </w:p>
        </w:tc>
        <w:tc>
          <w:tcPr>
            <w:tcW w:w="157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1291.35</w:t>
            </w:r>
          </w:p>
        </w:tc>
        <w:tc>
          <w:tcPr>
            <w:tcW w:w="139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1257.92</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33.43</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gridAfter w:val="3"/>
          <w:wAfter w:w="11394" w:type="dxa"/>
          <w:trHeight w:val="585" w:hRule="atLeast"/>
        </w:trPr>
        <w:tc>
          <w:tcPr>
            <w:tcW w:w="15521" w:type="dxa"/>
            <w:gridSpan w:val="28"/>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bookmarkStart w:id="1" w:name="RANGE!A1:F16"/>
      <w:r>
        <w:rPr>
          <w:rFonts w:ascii="Times New Roman" w:hAnsi="Times New Roman" w:eastAsia="方正小标宋_GBK" w:cs="Times New Roman"/>
          <w:kern w:val="0"/>
          <w:sz w:val="36"/>
          <w:szCs w:val="36"/>
        </w:rPr>
        <w:t>一般公共预算财政拨款支出决算表</w:t>
      </w:r>
      <w:bookmarkEnd w:id="1"/>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p>
    <w:p>
      <w:pPr>
        <w:widowControl/>
        <w:spacing w:line="320" w:lineRule="exact"/>
        <w:ind w:left="13650" w:hanging="13650" w:hangingChars="65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统溪河镇人民政府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公开05表</w:t>
      </w:r>
    </w:p>
    <w:p>
      <w:pPr>
        <w:widowControl/>
        <w:spacing w:line="320" w:lineRule="exact"/>
        <w:ind w:left="13440" w:hanging="13440" w:hangingChars="64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1257.92</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987.65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270.27</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201</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　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ind w:right="120"/>
              <w:jc w:val="right"/>
              <w:rPr>
                <w:rFonts w:ascii="宋体" w:hAnsi="宋体" w:eastAsia="宋体" w:cs="宋体"/>
                <w:kern w:val="0"/>
                <w:sz w:val="24"/>
                <w:szCs w:val="24"/>
              </w:rPr>
            </w:pPr>
            <w:r>
              <w:rPr>
                <w:rFonts w:hint="eastAsia" w:ascii="宋体" w:hAnsi="宋体" w:eastAsia="宋体" w:cs="宋体"/>
                <w:kern w:val="0"/>
                <w:sz w:val="24"/>
                <w:szCs w:val="24"/>
              </w:rPr>
              <w:t>598.24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577.66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20.57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20103</w:t>
            </w:r>
          </w:p>
        </w:tc>
        <w:tc>
          <w:tcPr>
            <w:tcW w:w="3527" w:type="dxa"/>
            <w:tcBorders>
              <w:top w:val="nil"/>
              <w:left w:val="nil"/>
              <w:bottom w:val="single" w:color="auto" w:sz="4" w:space="0"/>
              <w:right w:val="single" w:color="auto" w:sz="4" w:space="0"/>
            </w:tcBorders>
            <w:shd w:val="clear" w:color="auto" w:fill="auto"/>
            <w:vAlign w:val="center"/>
          </w:tcPr>
          <w:p>
            <w:r>
              <w:rPr>
                <w:rFonts w:hint="eastAsia"/>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531.40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514.66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16.74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2010301</w:t>
            </w:r>
          </w:p>
        </w:tc>
        <w:tc>
          <w:tcPr>
            <w:tcW w:w="3527" w:type="dxa"/>
            <w:tcBorders>
              <w:top w:val="nil"/>
              <w:left w:val="nil"/>
              <w:bottom w:val="single" w:color="auto" w:sz="4" w:space="0"/>
              <w:right w:val="single" w:color="auto" w:sz="4" w:space="0"/>
            </w:tcBorders>
            <w:shd w:val="clear" w:color="auto" w:fill="auto"/>
            <w:vAlign w:val="center"/>
          </w:tcPr>
          <w:p>
            <w:r>
              <w:rPr>
                <w:rFonts w:hint="eastAsia"/>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386.23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386.23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2010302</w:t>
            </w:r>
          </w:p>
        </w:tc>
        <w:tc>
          <w:tcPr>
            <w:tcW w:w="3527" w:type="dxa"/>
            <w:tcBorders>
              <w:top w:val="nil"/>
              <w:left w:val="nil"/>
              <w:bottom w:val="single" w:color="auto" w:sz="4" w:space="0"/>
              <w:right w:val="single" w:color="auto" w:sz="4" w:space="0"/>
            </w:tcBorders>
            <w:shd w:val="clear" w:color="auto" w:fill="auto"/>
            <w:vAlign w:val="center"/>
          </w:tcPr>
          <w:p>
            <w:r>
              <w:rPr>
                <w:rFonts w:hint="eastAsia"/>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16.74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2010399</w:t>
            </w:r>
          </w:p>
        </w:tc>
        <w:tc>
          <w:tcPr>
            <w:tcW w:w="3527" w:type="dxa"/>
            <w:tcBorders>
              <w:top w:val="nil"/>
              <w:left w:val="nil"/>
              <w:bottom w:val="single" w:color="auto" w:sz="4" w:space="0"/>
              <w:right w:val="single" w:color="auto" w:sz="4" w:space="0"/>
            </w:tcBorders>
            <w:shd w:val="clear" w:color="auto" w:fill="auto"/>
            <w:vAlign w:val="center"/>
          </w:tcPr>
          <w:p>
            <w:r>
              <w:rPr>
                <w:rFonts w:hint="eastAsia"/>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128.43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128.43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20105</w:t>
            </w:r>
          </w:p>
        </w:tc>
        <w:tc>
          <w:tcPr>
            <w:tcW w:w="3527" w:type="dxa"/>
            <w:tcBorders>
              <w:top w:val="nil"/>
              <w:left w:val="nil"/>
              <w:bottom w:val="single" w:color="auto" w:sz="8" w:space="0"/>
              <w:right w:val="single" w:color="auto" w:sz="4" w:space="0"/>
            </w:tcBorders>
            <w:shd w:val="clear" w:color="auto" w:fill="auto"/>
            <w:vAlign w:val="center"/>
          </w:tcPr>
          <w:p>
            <w:r>
              <w:rPr>
                <w:rFonts w:hint="eastAsia"/>
              </w:rPr>
              <w:t>统计信息事务</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3.00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2010507</w:t>
            </w:r>
          </w:p>
        </w:tc>
        <w:tc>
          <w:tcPr>
            <w:tcW w:w="3527" w:type="dxa"/>
            <w:tcBorders>
              <w:top w:val="nil"/>
              <w:left w:val="nil"/>
              <w:bottom w:val="single" w:color="auto" w:sz="8" w:space="0"/>
              <w:right w:val="single" w:color="auto" w:sz="4" w:space="0"/>
            </w:tcBorders>
            <w:shd w:val="clear" w:color="auto" w:fill="auto"/>
            <w:vAlign w:val="center"/>
          </w:tcPr>
          <w:p>
            <w:r>
              <w:rPr>
                <w:rFonts w:hint="eastAsia"/>
              </w:rPr>
              <w:t xml:space="preserve">  专项普查活动</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3.00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20106</w:t>
            </w:r>
          </w:p>
        </w:tc>
        <w:tc>
          <w:tcPr>
            <w:tcW w:w="3527" w:type="dxa"/>
            <w:tcBorders>
              <w:top w:val="nil"/>
              <w:left w:val="nil"/>
              <w:bottom w:val="single" w:color="auto" w:sz="8" w:space="0"/>
              <w:right w:val="single" w:color="auto" w:sz="4" w:space="0"/>
            </w:tcBorders>
            <w:shd w:val="clear" w:color="auto" w:fill="auto"/>
            <w:vAlign w:val="center"/>
          </w:tcPr>
          <w:p>
            <w:r>
              <w:rPr>
                <w:rFonts w:hint="eastAsia"/>
              </w:rPr>
              <w:t>财政事务</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52.11</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51.28</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0.83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2010601</w:t>
            </w:r>
          </w:p>
        </w:tc>
        <w:tc>
          <w:tcPr>
            <w:tcW w:w="3527" w:type="dxa"/>
            <w:tcBorders>
              <w:top w:val="nil"/>
              <w:left w:val="nil"/>
              <w:bottom w:val="single" w:color="auto" w:sz="8" w:space="0"/>
              <w:right w:val="single" w:color="auto" w:sz="4" w:space="0"/>
            </w:tcBorders>
            <w:shd w:val="clear" w:color="auto" w:fill="auto"/>
            <w:vAlign w:val="center"/>
          </w:tcPr>
          <w:p>
            <w:r>
              <w:rPr>
                <w:rFonts w:hint="eastAsia"/>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51.28</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51.28</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2010602</w:t>
            </w:r>
          </w:p>
        </w:tc>
        <w:tc>
          <w:tcPr>
            <w:tcW w:w="3527" w:type="dxa"/>
            <w:tcBorders>
              <w:top w:val="nil"/>
              <w:left w:val="nil"/>
              <w:bottom w:val="single" w:color="auto" w:sz="8" w:space="0"/>
              <w:right w:val="single" w:color="auto" w:sz="4" w:space="0"/>
            </w:tcBorders>
            <w:shd w:val="clear" w:color="auto" w:fill="auto"/>
            <w:vAlign w:val="center"/>
          </w:tcPr>
          <w:p>
            <w:r>
              <w:rPr>
                <w:rFonts w:hint="eastAsia"/>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0.83</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0.83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20129</w:t>
            </w:r>
          </w:p>
        </w:tc>
        <w:tc>
          <w:tcPr>
            <w:tcW w:w="3527" w:type="dxa"/>
            <w:tcBorders>
              <w:top w:val="nil"/>
              <w:left w:val="nil"/>
              <w:bottom w:val="single" w:color="auto" w:sz="8" w:space="0"/>
              <w:right w:val="single" w:color="auto" w:sz="4" w:space="0"/>
            </w:tcBorders>
            <w:shd w:val="clear" w:color="auto" w:fill="auto"/>
            <w:vAlign w:val="center"/>
          </w:tcPr>
          <w:p>
            <w:r>
              <w:rPr>
                <w:rFonts w:hint="eastAsia"/>
              </w:rPr>
              <w:t>群众团体事务</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7.30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7.30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p>
    <w:p>
      <w:pPr>
        <w:widowControl/>
        <w:spacing w:line="320" w:lineRule="exact"/>
        <w:ind w:left="13650" w:hanging="13650" w:hangingChars="65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统溪河镇人民政府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公开05表</w:t>
      </w:r>
    </w:p>
    <w:p>
      <w:pPr>
        <w:widowControl/>
        <w:spacing w:line="320" w:lineRule="exact"/>
        <w:ind w:left="13440" w:hanging="13440" w:hangingChars="64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4165"/>
        <w:gridCol w:w="2362"/>
        <w:gridCol w:w="3492"/>
        <w:gridCol w:w="3000"/>
      </w:tblGrid>
      <w:tr>
        <w:tblPrEx>
          <w:tblCellMar>
            <w:top w:w="0" w:type="dxa"/>
            <w:left w:w="108" w:type="dxa"/>
            <w:bottom w:w="0" w:type="dxa"/>
            <w:right w:w="108" w:type="dxa"/>
          </w:tblCellMar>
        </w:tblPrEx>
        <w:trPr>
          <w:trHeight w:val="571" w:hRule="atLeast"/>
          <w:jc w:val="center"/>
        </w:trPr>
        <w:tc>
          <w:tcPr>
            <w:tcW w:w="5365"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854"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500"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16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36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16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36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16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36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36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36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2012901</w:t>
            </w:r>
          </w:p>
        </w:tc>
        <w:tc>
          <w:tcPr>
            <w:tcW w:w="4165"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　  行政运行</w:t>
            </w:r>
          </w:p>
        </w:tc>
        <w:tc>
          <w:tcPr>
            <w:tcW w:w="23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7.30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7.30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20199</w:t>
            </w:r>
          </w:p>
        </w:tc>
        <w:tc>
          <w:tcPr>
            <w:tcW w:w="4165" w:type="dxa"/>
            <w:tcBorders>
              <w:top w:val="nil"/>
              <w:left w:val="nil"/>
              <w:bottom w:val="single" w:color="auto" w:sz="4" w:space="0"/>
              <w:right w:val="single" w:color="auto" w:sz="4" w:space="0"/>
            </w:tcBorders>
            <w:shd w:val="clear" w:color="auto" w:fill="auto"/>
            <w:vAlign w:val="center"/>
          </w:tcPr>
          <w:p>
            <w:r>
              <w:rPr>
                <w:rFonts w:hint="eastAsia"/>
              </w:rPr>
              <w:t>其他一般公共服务支出</w:t>
            </w:r>
          </w:p>
        </w:tc>
        <w:tc>
          <w:tcPr>
            <w:tcW w:w="23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4.43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4.43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2019999</w:t>
            </w:r>
          </w:p>
        </w:tc>
        <w:tc>
          <w:tcPr>
            <w:tcW w:w="4165" w:type="dxa"/>
            <w:tcBorders>
              <w:top w:val="nil"/>
              <w:left w:val="nil"/>
              <w:bottom w:val="single" w:color="auto" w:sz="4" w:space="0"/>
              <w:right w:val="single" w:color="auto" w:sz="4" w:space="0"/>
            </w:tcBorders>
            <w:shd w:val="clear" w:color="auto" w:fill="auto"/>
            <w:vAlign w:val="center"/>
          </w:tcPr>
          <w:p>
            <w:r>
              <w:rPr>
                <w:rFonts w:hint="eastAsia"/>
              </w:rPr>
              <w:t xml:space="preserve">  其他一般公共服务支出</w:t>
            </w:r>
          </w:p>
        </w:tc>
        <w:tc>
          <w:tcPr>
            <w:tcW w:w="23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4.43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4.43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204</w:t>
            </w:r>
          </w:p>
        </w:tc>
        <w:tc>
          <w:tcPr>
            <w:tcW w:w="4165" w:type="dxa"/>
            <w:tcBorders>
              <w:top w:val="nil"/>
              <w:left w:val="nil"/>
              <w:bottom w:val="single" w:color="auto" w:sz="4" w:space="0"/>
              <w:right w:val="single" w:color="auto" w:sz="4" w:space="0"/>
            </w:tcBorders>
            <w:shd w:val="clear" w:color="auto" w:fill="auto"/>
            <w:vAlign w:val="center"/>
          </w:tcPr>
          <w:p>
            <w:r>
              <w:rPr>
                <w:rFonts w:hint="eastAsia"/>
              </w:rPr>
              <w:t>公共安全支出</w:t>
            </w:r>
          </w:p>
        </w:tc>
        <w:tc>
          <w:tcPr>
            <w:tcW w:w="23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9.44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4.96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4.48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20402</w:t>
            </w:r>
          </w:p>
        </w:tc>
        <w:tc>
          <w:tcPr>
            <w:tcW w:w="4165" w:type="dxa"/>
            <w:tcBorders>
              <w:top w:val="nil"/>
              <w:left w:val="nil"/>
              <w:bottom w:val="single" w:color="auto" w:sz="4" w:space="0"/>
              <w:right w:val="single" w:color="auto" w:sz="4" w:space="0"/>
            </w:tcBorders>
            <w:shd w:val="clear" w:color="auto" w:fill="auto"/>
            <w:vAlign w:val="center"/>
          </w:tcPr>
          <w:p>
            <w:r>
              <w:rPr>
                <w:rFonts w:hint="eastAsia"/>
              </w:rPr>
              <w:t>公安</w:t>
            </w:r>
          </w:p>
        </w:tc>
        <w:tc>
          <w:tcPr>
            <w:tcW w:w="23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9.44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4.96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4.48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2040202</w:t>
            </w:r>
          </w:p>
        </w:tc>
        <w:tc>
          <w:tcPr>
            <w:tcW w:w="4165" w:type="dxa"/>
            <w:tcBorders>
              <w:top w:val="nil"/>
              <w:left w:val="nil"/>
              <w:bottom w:val="single" w:color="auto" w:sz="4" w:space="0"/>
              <w:right w:val="single" w:color="auto" w:sz="4" w:space="0"/>
            </w:tcBorders>
            <w:shd w:val="clear" w:color="auto" w:fill="auto"/>
            <w:vAlign w:val="center"/>
          </w:tcPr>
          <w:p>
            <w:r>
              <w:rPr>
                <w:rFonts w:hint="eastAsia"/>
              </w:rPr>
              <w:t xml:space="preserve">  一般行政管理事务</w:t>
            </w:r>
          </w:p>
        </w:tc>
        <w:tc>
          <w:tcPr>
            <w:tcW w:w="23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4.48</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4.48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2040299</w:t>
            </w:r>
          </w:p>
        </w:tc>
        <w:tc>
          <w:tcPr>
            <w:tcW w:w="4165" w:type="dxa"/>
            <w:tcBorders>
              <w:top w:val="nil"/>
              <w:left w:val="nil"/>
              <w:bottom w:val="single" w:color="auto" w:sz="4" w:space="0"/>
              <w:right w:val="single" w:color="auto" w:sz="4" w:space="0"/>
            </w:tcBorders>
            <w:shd w:val="clear" w:color="auto" w:fill="auto"/>
            <w:vAlign w:val="center"/>
          </w:tcPr>
          <w:p>
            <w:r>
              <w:rPr>
                <w:rFonts w:hint="eastAsia"/>
              </w:rPr>
              <w:t xml:space="preserve">  其他公安支出</w:t>
            </w:r>
          </w:p>
        </w:tc>
        <w:tc>
          <w:tcPr>
            <w:tcW w:w="23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4.96</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4.96</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207</w:t>
            </w:r>
          </w:p>
        </w:tc>
        <w:tc>
          <w:tcPr>
            <w:tcW w:w="4165" w:type="dxa"/>
            <w:tcBorders>
              <w:top w:val="nil"/>
              <w:left w:val="nil"/>
              <w:bottom w:val="single" w:color="auto" w:sz="8" w:space="0"/>
              <w:right w:val="single" w:color="auto" w:sz="4" w:space="0"/>
            </w:tcBorders>
            <w:shd w:val="clear" w:color="auto" w:fill="auto"/>
            <w:vAlign w:val="center"/>
          </w:tcPr>
          <w:p>
            <w:r>
              <w:rPr>
                <w:rFonts w:hint="eastAsia"/>
              </w:rPr>
              <w:t>文化旅游体育与传媒支出</w:t>
            </w:r>
          </w:p>
        </w:tc>
        <w:tc>
          <w:tcPr>
            <w:tcW w:w="236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20799</w:t>
            </w:r>
          </w:p>
        </w:tc>
        <w:tc>
          <w:tcPr>
            <w:tcW w:w="4165" w:type="dxa"/>
            <w:tcBorders>
              <w:top w:val="nil"/>
              <w:left w:val="nil"/>
              <w:bottom w:val="single" w:color="auto" w:sz="8" w:space="0"/>
              <w:right w:val="single" w:color="auto" w:sz="4" w:space="0"/>
            </w:tcBorders>
            <w:shd w:val="clear" w:color="auto" w:fill="auto"/>
            <w:vAlign w:val="center"/>
          </w:tcPr>
          <w:p>
            <w:r>
              <w:rPr>
                <w:rFonts w:hint="eastAsia"/>
              </w:rPr>
              <w:t>其他文化旅游体育与传媒支出</w:t>
            </w:r>
          </w:p>
        </w:tc>
        <w:tc>
          <w:tcPr>
            <w:tcW w:w="236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2079999</w:t>
            </w:r>
          </w:p>
        </w:tc>
        <w:tc>
          <w:tcPr>
            <w:tcW w:w="4165" w:type="dxa"/>
            <w:tcBorders>
              <w:top w:val="nil"/>
              <w:left w:val="nil"/>
              <w:bottom w:val="single" w:color="auto" w:sz="8" w:space="0"/>
              <w:right w:val="single" w:color="auto" w:sz="4" w:space="0"/>
            </w:tcBorders>
            <w:shd w:val="clear" w:color="auto" w:fill="auto"/>
            <w:vAlign w:val="center"/>
          </w:tcPr>
          <w:p>
            <w:r>
              <w:rPr>
                <w:rFonts w:hint="eastAsia"/>
              </w:rPr>
              <w:t xml:space="preserve">  其他文化旅游体育与传媒支出</w:t>
            </w:r>
          </w:p>
        </w:tc>
        <w:tc>
          <w:tcPr>
            <w:tcW w:w="236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208</w:t>
            </w:r>
          </w:p>
        </w:tc>
        <w:tc>
          <w:tcPr>
            <w:tcW w:w="4165" w:type="dxa"/>
            <w:tcBorders>
              <w:top w:val="nil"/>
              <w:left w:val="nil"/>
              <w:bottom w:val="single" w:color="auto" w:sz="8" w:space="0"/>
              <w:right w:val="single" w:color="auto" w:sz="4" w:space="0"/>
            </w:tcBorders>
            <w:shd w:val="clear" w:color="auto" w:fill="auto"/>
            <w:vAlign w:val="center"/>
          </w:tcPr>
          <w:p>
            <w:r>
              <w:rPr>
                <w:rFonts w:hint="eastAsia"/>
              </w:rPr>
              <w:t>社会保障和就业支出</w:t>
            </w:r>
          </w:p>
        </w:tc>
        <w:tc>
          <w:tcPr>
            <w:tcW w:w="236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44.06</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41.76</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2.30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20801</w:t>
            </w:r>
          </w:p>
        </w:tc>
        <w:tc>
          <w:tcPr>
            <w:tcW w:w="4165" w:type="dxa"/>
            <w:tcBorders>
              <w:top w:val="nil"/>
              <w:left w:val="nil"/>
              <w:bottom w:val="single" w:color="auto" w:sz="8" w:space="0"/>
              <w:right w:val="single" w:color="auto" w:sz="4" w:space="0"/>
            </w:tcBorders>
            <w:shd w:val="clear" w:color="auto" w:fill="auto"/>
            <w:vAlign w:val="center"/>
          </w:tcPr>
          <w:p>
            <w:r>
              <w:rPr>
                <w:rFonts w:hint="eastAsia"/>
              </w:rPr>
              <w:t>人力资源和社会保障管理事务</w:t>
            </w:r>
          </w:p>
        </w:tc>
        <w:tc>
          <w:tcPr>
            <w:tcW w:w="236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10.00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10.00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2080199</w:t>
            </w:r>
          </w:p>
        </w:tc>
        <w:tc>
          <w:tcPr>
            <w:tcW w:w="4165" w:type="dxa"/>
            <w:tcBorders>
              <w:top w:val="nil"/>
              <w:left w:val="nil"/>
              <w:bottom w:val="single" w:color="auto" w:sz="8" w:space="0"/>
              <w:right w:val="single" w:color="auto" w:sz="4" w:space="0"/>
            </w:tcBorders>
            <w:shd w:val="clear" w:color="auto" w:fill="auto"/>
            <w:vAlign w:val="center"/>
          </w:tcPr>
          <w:p>
            <w:r>
              <w:rPr>
                <w:rFonts w:hint="eastAsia"/>
              </w:rPr>
              <w:t xml:space="preserve">  其他人力资源和社会保障管理事务支出</w:t>
            </w:r>
          </w:p>
        </w:tc>
        <w:tc>
          <w:tcPr>
            <w:tcW w:w="236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10.00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10.00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p>
    <w:p>
      <w:pPr>
        <w:widowControl/>
        <w:spacing w:line="320" w:lineRule="exact"/>
        <w:ind w:left="13650" w:hanging="13650" w:hangingChars="65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统溪河镇人民政府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公开05表</w:t>
      </w:r>
    </w:p>
    <w:p>
      <w:pPr>
        <w:widowControl/>
        <w:spacing w:line="320" w:lineRule="exact"/>
        <w:ind w:left="13440" w:hanging="13440" w:hangingChars="64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881"/>
        <w:gridCol w:w="2646"/>
        <w:gridCol w:w="3492"/>
        <w:gridCol w:w="3000"/>
      </w:tblGrid>
      <w:tr>
        <w:tblPrEx>
          <w:tblCellMar>
            <w:top w:w="0" w:type="dxa"/>
            <w:left w:w="108" w:type="dxa"/>
            <w:bottom w:w="0" w:type="dxa"/>
            <w:right w:w="108" w:type="dxa"/>
          </w:tblCellMar>
        </w:tblPrEx>
        <w:trPr>
          <w:trHeight w:val="571" w:hRule="atLeast"/>
          <w:jc w:val="center"/>
        </w:trPr>
        <w:tc>
          <w:tcPr>
            <w:tcW w:w="5081"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138"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500"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88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646"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88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646"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88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646"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08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20808</w:t>
            </w:r>
          </w:p>
        </w:tc>
        <w:tc>
          <w:tcPr>
            <w:tcW w:w="3881"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　抚恤</w:t>
            </w:r>
          </w:p>
        </w:tc>
        <w:tc>
          <w:tcPr>
            <w:tcW w:w="264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27.96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27.96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2080801</w:t>
            </w:r>
          </w:p>
        </w:tc>
        <w:tc>
          <w:tcPr>
            <w:tcW w:w="3881" w:type="dxa"/>
            <w:tcBorders>
              <w:top w:val="nil"/>
              <w:left w:val="nil"/>
              <w:bottom w:val="single" w:color="auto" w:sz="4" w:space="0"/>
              <w:right w:val="single" w:color="auto" w:sz="4" w:space="0"/>
            </w:tcBorders>
            <w:shd w:val="clear" w:color="auto" w:fill="auto"/>
            <w:vAlign w:val="center"/>
          </w:tcPr>
          <w:p>
            <w:r>
              <w:rPr>
                <w:rFonts w:hint="eastAsia"/>
              </w:rPr>
              <w:t xml:space="preserve">  死亡抚恤</w:t>
            </w:r>
          </w:p>
        </w:tc>
        <w:tc>
          <w:tcPr>
            <w:tcW w:w="264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27.96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27.96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20810</w:t>
            </w:r>
          </w:p>
        </w:tc>
        <w:tc>
          <w:tcPr>
            <w:tcW w:w="3881" w:type="dxa"/>
            <w:tcBorders>
              <w:top w:val="nil"/>
              <w:left w:val="nil"/>
              <w:bottom w:val="single" w:color="auto" w:sz="4" w:space="0"/>
              <w:right w:val="single" w:color="auto" w:sz="4" w:space="0"/>
            </w:tcBorders>
            <w:shd w:val="clear" w:color="auto" w:fill="auto"/>
            <w:vAlign w:val="center"/>
          </w:tcPr>
          <w:p>
            <w:r>
              <w:rPr>
                <w:rFonts w:hint="eastAsia"/>
              </w:rPr>
              <w:t>社会福利</w:t>
            </w:r>
          </w:p>
        </w:tc>
        <w:tc>
          <w:tcPr>
            <w:tcW w:w="264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1.00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1.00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2081001</w:t>
            </w:r>
          </w:p>
        </w:tc>
        <w:tc>
          <w:tcPr>
            <w:tcW w:w="3881" w:type="dxa"/>
            <w:tcBorders>
              <w:top w:val="nil"/>
              <w:left w:val="nil"/>
              <w:bottom w:val="single" w:color="auto" w:sz="4" w:space="0"/>
              <w:right w:val="single" w:color="auto" w:sz="4" w:space="0"/>
            </w:tcBorders>
            <w:shd w:val="clear" w:color="auto" w:fill="auto"/>
            <w:vAlign w:val="center"/>
          </w:tcPr>
          <w:p>
            <w:r>
              <w:rPr>
                <w:rFonts w:hint="eastAsia"/>
              </w:rPr>
              <w:t xml:space="preserve">  儿童福利</w:t>
            </w:r>
          </w:p>
        </w:tc>
        <w:tc>
          <w:tcPr>
            <w:tcW w:w="264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1.00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1.00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20821</w:t>
            </w:r>
          </w:p>
        </w:tc>
        <w:tc>
          <w:tcPr>
            <w:tcW w:w="3881" w:type="dxa"/>
            <w:tcBorders>
              <w:top w:val="nil"/>
              <w:left w:val="nil"/>
              <w:bottom w:val="single" w:color="auto" w:sz="4" w:space="0"/>
              <w:right w:val="single" w:color="auto" w:sz="4" w:space="0"/>
            </w:tcBorders>
            <w:shd w:val="clear" w:color="auto" w:fill="auto"/>
            <w:vAlign w:val="center"/>
          </w:tcPr>
          <w:p>
            <w:r>
              <w:rPr>
                <w:rFonts w:hint="eastAsia"/>
              </w:rPr>
              <w:t>特困人员救助供养</w:t>
            </w:r>
          </w:p>
        </w:tc>
        <w:tc>
          <w:tcPr>
            <w:tcW w:w="264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2.30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2.30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2082102</w:t>
            </w:r>
          </w:p>
        </w:tc>
        <w:tc>
          <w:tcPr>
            <w:tcW w:w="3881" w:type="dxa"/>
            <w:tcBorders>
              <w:top w:val="nil"/>
              <w:left w:val="nil"/>
              <w:bottom w:val="single" w:color="auto" w:sz="4" w:space="0"/>
              <w:right w:val="single" w:color="auto" w:sz="4" w:space="0"/>
            </w:tcBorders>
            <w:shd w:val="clear" w:color="auto" w:fill="auto"/>
            <w:vAlign w:val="center"/>
          </w:tcPr>
          <w:p>
            <w:r>
              <w:rPr>
                <w:rFonts w:hint="eastAsia"/>
              </w:rPr>
              <w:t xml:space="preserve">  农村特困人员救助供养支出</w:t>
            </w:r>
          </w:p>
        </w:tc>
        <w:tc>
          <w:tcPr>
            <w:tcW w:w="264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2.30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2.30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20826</w:t>
            </w:r>
          </w:p>
        </w:tc>
        <w:tc>
          <w:tcPr>
            <w:tcW w:w="3881" w:type="dxa"/>
            <w:tcBorders>
              <w:top w:val="nil"/>
              <w:left w:val="nil"/>
              <w:bottom w:val="single" w:color="auto" w:sz="4" w:space="0"/>
              <w:right w:val="single" w:color="auto" w:sz="4" w:space="0"/>
            </w:tcBorders>
            <w:shd w:val="clear" w:color="auto" w:fill="auto"/>
            <w:vAlign w:val="center"/>
          </w:tcPr>
          <w:p>
            <w:r>
              <w:rPr>
                <w:rFonts w:hint="eastAsia"/>
              </w:rPr>
              <w:t>财政对基本养老保险基金的补助</w:t>
            </w:r>
          </w:p>
        </w:tc>
        <w:tc>
          <w:tcPr>
            <w:tcW w:w="264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1.40</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2082699</w:t>
            </w:r>
          </w:p>
        </w:tc>
        <w:tc>
          <w:tcPr>
            <w:tcW w:w="3881" w:type="dxa"/>
            <w:tcBorders>
              <w:top w:val="nil"/>
              <w:left w:val="nil"/>
              <w:bottom w:val="single" w:color="auto" w:sz="8" w:space="0"/>
              <w:right w:val="single" w:color="auto" w:sz="4" w:space="0"/>
            </w:tcBorders>
            <w:shd w:val="clear" w:color="auto" w:fill="auto"/>
            <w:vAlign w:val="center"/>
          </w:tcPr>
          <w:p>
            <w:r>
              <w:rPr>
                <w:rFonts w:hint="eastAsia"/>
              </w:rPr>
              <w:t xml:space="preserve">  财政对其他基本养老保险基金的补助</w:t>
            </w:r>
          </w:p>
        </w:tc>
        <w:tc>
          <w:tcPr>
            <w:tcW w:w="2646"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20828</w:t>
            </w:r>
          </w:p>
        </w:tc>
        <w:tc>
          <w:tcPr>
            <w:tcW w:w="3881" w:type="dxa"/>
            <w:tcBorders>
              <w:top w:val="nil"/>
              <w:left w:val="nil"/>
              <w:bottom w:val="single" w:color="auto" w:sz="8" w:space="0"/>
              <w:right w:val="single" w:color="auto" w:sz="4" w:space="0"/>
            </w:tcBorders>
            <w:shd w:val="clear" w:color="auto" w:fill="auto"/>
            <w:vAlign w:val="center"/>
          </w:tcPr>
          <w:p>
            <w:r>
              <w:rPr>
                <w:rFonts w:hint="eastAsia"/>
              </w:rPr>
              <w:t>退役军人管理事务</w:t>
            </w:r>
          </w:p>
        </w:tc>
        <w:tc>
          <w:tcPr>
            <w:tcW w:w="2646"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2082899</w:t>
            </w:r>
          </w:p>
        </w:tc>
        <w:tc>
          <w:tcPr>
            <w:tcW w:w="3881" w:type="dxa"/>
            <w:tcBorders>
              <w:top w:val="nil"/>
              <w:left w:val="nil"/>
              <w:bottom w:val="single" w:color="auto" w:sz="8" w:space="0"/>
              <w:right w:val="single" w:color="auto" w:sz="4" w:space="0"/>
            </w:tcBorders>
            <w:shd w:val="clear" w:color="auto" w:fill="auto"/>
            <w:vAlign w:val="center"/>
          </w:tcPr>
          <w:p>
            <w:r>
              <w:rPr>
                <w:rFonts w:hint="eastAsia"/>
              </w:rPr>
              <w:t xml:space="preserve">  其他退役军人事务管理支出</w:t>
            </w:r>
          </w:p>
        </w:tc>
        <w:tc>
          <w:tcPr>
            <w:tcW w:w="2646"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210</w:t>
            </w:r>
          </w:p>
        </w:tc>
        <w:tc>
          <w:tcPr>
            <w:tcW w:w="3881" w:type="dxa"/>
            <w:tcBorders>
              <w:top w:val="nil"/>
              <w:left w:val="nil"/>
              <w:bottom w:val="single" w:color="auto" w:sz="8" w:space="0"/>
              <w:right w:val="single" w:color="auto" w:sz="4" w:space="0"/>
            </w:tcBorders>
            <w:shd w:val="clear" w:color="auto" w:fill="auto"/>
            <w:vAlign w:val="center"/>
          </w:tcPr>
          <w:p>
            <w:r>
              <w:rPr>
                <w:rFonts w:hint="eastAsia"/>
              </w:rPr>
              <w:t>卫生健康支出</w:t>
            </w:r>
          </w:p>
        </w:tc>
        <w:tc>
          <w:tcPr>
            <w:tcW w:w="2646"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87.45</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87.45</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21001</w:t>
            </w:r>
          </w:p>
        </w:tc>
        <w:tc>
          <w:tcPr>
            <w:tcW w:w="3881" w:type="dxa"/>
            <w:tcBorders>
              <w:top w:val="nil"/>
              <w:left w:val="nil"/>
              <w:bottom w:val="single" w:color="auto" w:sz="8" w:space="0"/>
              <w:right w:val="single" w:color="auto" w:sz="4" w:space="0"/>
            </w:tcBorders>
            <w:shd w:val="clear" w:color="auto" w:fill="auto"/>
            <w:vAlign w:val="center"/>
          </w:tcPr>
          <w:p>
            <w:r>
              <w:rPr>
                <w:rFonts w:hint="eastAsia"/>
              </w:rPr>
              <w:t>卫生健康管理事务</w:t>
            </w:r>
          </w:p>
        </w:tc>
        <w:tc>
          <w:tcPr>
            <w:tcW w:w="2646"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3.25</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3.25</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2100101</w:t>
            </w:r>
          </w:p>
        </w:tc>
        <w:tc>
          <w:tcPr>
            <w:tcW w:w="3881" w:type="dxa"/>
            <w:tcBorders>
              <w:top w:val="nil"/>
              <w:left w:val="nil"/>
              <w:bottom w:val="single" w:color="auto" w:sz="8" w:space="0"/>
              <w:right w:val="single" w:color="auto" w:sz="4" w:space="0"/>
            </w:tcBorders>
            <w:shd w:val="clear" w:color="auto" w:fill="auto"/>
            <w:vAlign w:val="center"/>
          </w:tcPr>
          <w:p>
            <w:r>
              <w:rPr>
                <w:rFonts w:hint="eastAsia"/>
              </w:rPr>
              <w:t xml:space="preserve">  行政运行</w:t>
            </w:r>
          </w:p>
        </w:tc>
        <w:tc>
          <w:tcPr>
            <w:tcW w:w="2646"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3.25</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3.25</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p>
    <w:p>
      <w:pPr>
        <w:widowControl/>
        <w:spacing w:line="320" w:lineRule="exact"/>
        <w:ind w:left="13650" w:hanging="13650" w:hangingChars="65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统溪河镇人民政府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公开05表</w:t>
      </w:r>
    </w:p>
    <w:p>
      <w:pPr>
        <w:widowControl/>
        <w:spacing w:line="320" w:lineRule="exact"/>
        <w:ind w:left="13440" w:hanging="13440" w:hangingChars="64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571"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500"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21004</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公共卫生</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1.51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1.51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2100404</w:t>
            </w:r>
          </w:p>
        </w:tc>
        <w:tc>
          <w:tcPr>
            <w:tcW w:w="3527" w:type="dxa"/>
            <w:tcBorders>
              <w:top w:val="nil"/>
              <w:left w:val="nil"/>
              <w:bottom w:val="single" w:color="auto" w:sz="4" w:space="0"/>
              <w:right w:val="single" w:color="auto" w:sz="4" w:space="0"/>
            </w:tcBorders>
            <w:shd w:val="clear" w:color="auto" w:fill="auto"/>
            <w:vAlign w:val="center"/>
          </w:tcPr>
          <w:p>
            <w:r>
              <w:rPr>
                <w:rFonts w:hint="eastAsia"/>
              </w:rPr>
              <w:t xml:space="preserve">  精神卫生机构</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0.72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0.72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2100408</w:t>
            </w:r>
          </w:p>
        </w:tc>
        <w:tc>
          <w:tcPr>
            <w:tcW w:w="3527" w:type="dxa"/>
            <w:tcBorders>
              <w:top w:val="nil"/>
              <w:left w:val="nil"/>
              <w:bottom w:val="single" w:color="auto" w:sz="4" w:space="0"/>
              <w:right w:val="single" w:color="auto" w:sz="4" w:space="0"/>
            </w:tcBorders>
            <w:shd w:val="clear" w:color="auto" w:fill="auto"/>
            <w:vAlign w:val="center"/>
          </w:tcPr>
          <w:p>
            <w:r>
              <w:rPr>
                <w:rFonts w:hint="eastAsia"/>
              </w:rPr>
              <w:t xml:space="preserve">  基本公共卫生服务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0.43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0.43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2100410</w:t>
            </w:r>
          </w:p>
        </w:tc>
        <w:tc>
          <w:tcPr>
            <w:tcW w:w="3527" w:type="dxa"/>
            <w:tcBorders>
              <w:top w:val="nil"/>
              <w:left w:val="nil"/>
              <w:bottom w:val="single" w:color="auto" w:sz="4" w:space="0"/>
              <w:right w:val="single" w:color="auto" w:sz="4" w:space="0"/>
            </w:tcBorders>
            <w:shd w:val="clear" w:color="auto" w:fill="auto"/>
            <w:vAlign w:val="center"/>
          </w:tcPr>
          <w:p>
            <w:r>
              <w:rPr>
                <w:rFonts w:hint="eastAsia"/>
              </w:rPr>
              <w:t xml:space="preserve">  突发公共卫生事件应急处理</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0.36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0.36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21007</w:t>
            </w:r>
          </w:p>
        </w:tc>
        <w:tc>
          <w:tcPr>
            <w:tcW w:w="3527" w:type="dxa"/>
            <w:tcBorders>
              <w:top w:val="nil"/>
              <w:left w:val="nil"/>
              <w:bottom w:val="single" w:color="auto" w:sz="4" w:space="0"/>
              <w:right w:val="single" w:color="auto" w:sz="4" w:space="0"/>
            </w:tcBorders>
            <w:shd w:val="clear" w:color="auto" w:fill="auto"/>
            <w:vAlign w:val="center"/>
          </w:tcPr>
          <w:p>
            <w:r>
              <w:rPr>
                <w:rFonts w:hint="eastAsia"/>
              </w:rPr>
              <w:t>计划生育事务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82.69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82.69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2100716</w:t>
            </w:r>
          </w:p>
        </w:tc>
        <w:tc>
          <w:tcPr>
            <w:tcW w:w="3527" w:type="dxa"/>
            <w:tcBorders>
              <w:top w:val="nil"/>
              <w:left w:val="nil"/>
              <w:bottom w:val="single" w:color="auto" w:sz="4" w:space="0"/>
              <w:right w:val="single" w:color="auto" w:sz="4" w:space="0"/>
            </w:tcBorders>
            <w:shd w:val="clear" w:color="auto" w:fill="auto"/>
            <w:vAlign w:val="center"/>
          </w:tcPr>
          <w:p>
            <w:r>
              <w:rPr>
                <w:rFonts w:hint="eastAsia"/>
              </w:rPr>
              <w:t xml:space="preserve">  计划生育机构</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37.07</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37.07</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2100717</w:t>
            </w:r>
          </w:p>
        </w:tc>
        <w:tc>
          <w:tcPr>
            <w:tcW w:w="3527" w:type="dxa"/>
            <w:tcBorders>
              <w:top w:val="nil"/>
              <w:left w:val="nil"/>
              <w:bottom w:val="single" w:color="auto" w:sz="4" w:space="0"/>
              <w:right w:val="single" w:color="auto" w:sz="4" w:space="0"/>
            </w:tcBorders>
            <w:shd w:val="clear" w:color="auto" w:fill="auto"/>
            <w:vAlign w:val="center"/>
          </w:tcPr>
          <w:p>
            <w:r>
              <w:rPr>
                <w:rFonts w:hint="eastAsia"/>
              </w:rPr>
              <w:t xml:space="preserve">  计划生育服务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10.53</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10.53</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2100799</w:t>
            </w:r>
          </w:p>
        </w:tc>
        <w:tc>
          <w:tcPr>
            <w:tcW w:w="3527" w:type="dxa"/>
            <w:tcBorders>
              <w:top w:val="nil"/>
              <w:left w:val="nil"/>
              <w:bottom w:val="single" w:color="auto" w:sz="8" w:space="0"/>
              <w:right w:val="single" w:color="auto" w:sz="4" w:space="0"/>
            </w:tcBorders>
            <w:shd w:val="clear" w:color="auto" w:fill="auto"/>
            <w:vAlign w:val="center"/>
          </w:tcPr>
          <w:p>
            <w:r>
              <w:rPr>
                <w:rFonts w:hint="eastAsia"/>
              </w:rPr>
              <w:t xml:space="preserve">  其他计划生育事务支出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35.09</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35.09</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211</w:t>
            </w:r>
          </w:p>
        </w:tc>
        <w:tc>
          <w:tcPr>
            <w:tcW w:w="3527" w:type="dxa"/>
            <w:tcBorders>
              <w:top w:val="nil"/>
              <w:left w:val="nil"/>
              <w:bottom w:val="single" w:color="auto" w:sz="8" w:space="0"/>
              <w:right w:val="single" w:color="auto" w:sz="4" w:space="0"/>
            </w:tcBorders>
            <w:shd w:val="clear" w:color="auto" w:fill="auto"/>
            <w:vAlign w:val="center"/>
          </w:tcPr>
          <w:p>
            <w:r>
              <w:rPr>
                <w:rFonts w:hint="eastAsia"/>
              </w:rPr>
              <w:t>节能环保支出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9.40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21104</w:t>
            </w:r>
          </w:p>
        </w:tc>
        <w:tc>
          <w:tcPr>
            <w:tcW w:w="3527" w:type="dxa"/>
            <w:tcBorders>
              <w:top w:val="nil"/>
              <w:left w:val="nil"/>
              <w:bottom w:val="single" w:color="auto" w:sz="8" w:space="0"/>
              <w:right w:val="single" w:color="auto" w:sz="4" w:space="0"/>
            </w:tcBorders>
            <w:shd w:val="clear" w:color="auto" w:fill="auto"/>
            <w:vAlign w:val="center"/>
          </w:tcPr>
          <w:p>
            <w:r>
              <w:rPr>
                <w:rFonts w:hint="eastAsia"/>
              </w:rPr>
              <w:t>自然生态保护</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9.40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2110402</w:t>
            </w:r>
          </w:p>
        </w:tc>
        <w:tc>
          <w:tcPr>
            <w:tcW w:w="3527" w:type="dxa"/>
            <w:tcBorders>
              <w:top w:val="nil"/>
              <w:left w:val="nil"/>
              <w:bottom w:val="single" w:color="auto" w:sz="8" w:space="0"/>
              <w:right w:val="single" w:color="auto" w:sz="4" w:space="0"/>
            </w:tcBorders>
            <w:shd w:val="clear" w:color="auto" w:fill="auto"/>
            <w:vAlign w:val="center"/>
          </w:tcPr>
          <w:p>
            <w:r>
              <w:rPr>
                <w:rFonts w:hint="eastAsia"/>
              </w:rPr>
              <w:t xml:space="preserve">  农村环境保护</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9.40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212</w:t>
            </w:r>
          </w:p>
        </w:tc>
        <w:tc>
          <w:tcPr>
            <w:tcW w:w="3527" w:type="dxa"/>
            <w:tcBorders>
              <w:top w:val="nil"/>
              <w:left w:val="nil"/>
              <w:bottom w:val="single" w:color="auto" w:sz="8" w:space="0"/>
              <w:right w:val="single" w:color="auto" w:sz="4" w:space="0"/>
            </w:tcBorders>
            <w:shd w:val="clear" w:color="auto" w:fill="auto"/>
            <w:vAlign w:val="center"/>
          </w:tcPr>
          <w:p>
            <w:r>
              <w:rPr>
                <w:rFonts w:hint="eastAsia"/>
              </w:rPr>
              <w:t>城乡社区支出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33.55</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18.70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14.85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21201</w:t>
            </w:r>
          </w:p>
        </w:tc>
        <w:tc>
          <w:tcPr>
            <w:tcW w:w="3527" w:type="dxa"/>
            <w:tcBorders>
              <w:top w:val="nil"/>
              <w:left w:val="nil"/>
              <w:bottom w:val="single" w:color="auto" w:sz="8" w:space="0"/>
              <w:right w:val="single" w:color="auto" w:sz="4" w:space="0"/>
            </w:tcBorders>
            <w:shd w:val="clear" w:color="auto" w:fill="auto"/>
            <w:vAlign w:val="center"/>
          </w:tcPr>
          <w:p>
            <w:r>
              <w:rPr>
                <w:rFonts w:hint="eastAsia"/>
              </w:rPr>
              <w:t>城乡社区管理事务</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2.60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2.60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p>
    <w:p>
      <w:pPr>
        <w:widowControl/>
        <w:spacing w:line="320" w:lineRule="exact"/>
        <w:ind w:left="13650" w:hanging="13650" w:hangingChars="65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统溪河镇人民政府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公开05表</w:t>
      </w:r>
    </w:p>
    <w:p>
      <w:pPr>
        <w:widowControl/>
        <w:spacing w:line="320" w:lineRule="exact"/>
        <w:ind w:left="13440" w:hanging="13440" w:hangingChars="64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571"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500"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2120101</w:t>
            </w:r>
          </w:p>
        </w:tc>
        <w:tc>
          <w:tcPr>
            <w:tcW w:w="3527" w:type="dxa"/>
            <w:tcBorders>
              <w:top w:val="nil"/>
              <w:left w:val="nil"/>
              <w:bottom w:val="single" w:color="auto" w:sz="4" w:space="0"/>
              <w:right w:val="single" w:color="auto" w:sz="4" w:space="0"/>
            </w:tcBorders>
            <w:shd w:val="clear" w:color="auto" w:fill="auto"/>
            <w:vAlign w:val="center"/>
          </w:tcPr>
          <w:p>
            <w:pPr>
              <w:ind w:firstLine="210" w:firstLineChars="100"/>
              <w:rPr>
                <w:rFonts w:ascii="宋体" w:hAnsi="宋体" w:eastAsia="宋体" w:cs="宋体"/>
                <w:sz w:val="24"/>
                <w:szCs w:val="24"/>
              </w:rPr>
            </w:pPr>
            <w:r>
              <w:rPr>
                <w:rFonts w:hint="eastAsia"/>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2.60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2.60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21203</w:t>
            </w:r>
          </w:p>
        </w:tc>
        <w:tc>
          <w:tcPr>
            <w:tcW w:w="3527" w:type="dxa"/>
            <w:tcBorders>
              <w:top w:val="nil"/>
              <w:left w:val="nil"/>
              <w:bottom w:val="single" w:color="auto" w:sz="4" w:space="0"/>
              <w:right w:val="single" w:color="auto" w:sz="4" w:space="0"/>
            </w:tcBorders>
            <w:shd w:val="clear" w:color="auto" w:fill="auto"/>
            <w:vAlign w:val="center"/>
          </w:tcPr>
          <w:p>
            <w:r>
              <w:rPr>
                <w:rFonts w:hint="eastAsia"/>
              </w:rPr>
              <w:t>城乡社区公共设施</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14.85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14.85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2120303</w:t>
            </w:r>
          </w:p>
        </w:tc>
        <w:tc>
          <w:tcPr>
            <w:tcW w:w="3527" w:type="dxa"/>
            <w:tcBorders>
              <w:top w:val="nil"/>
              <w:left w:val="nil"/>
              <w:bottom w:val="single" w:color="auto" w:sz="4" w:space="0"/>
              <w:right w:val="single" w:color="auto" w:sz="4" w:space="0"/>
            </w:tcBorders>
            <w:shd w:val="clear" w:color="auto" w:fill="auto"/>
            <w:vAlign w:val="center"/>
          </w:tcPr>
          <w:p>
            <w:r>
              <w:rPr>
                <w:rFonts w:hint="eastAsia"/>
              </w:rPr>
              <w:t xml:space="preserve">  小城镇基础设施建设</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14.85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14.85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21205</w:t>
            </w:r>
          </w:p>
        </w:tc>
        <w:tc>
          <w:tcPr>
            <w:tcW w:w="3527" w:type="dxa"/>
            <w:tcBorders>
              <w:top w:val="nil"/>
              <w:left w:val="nil"/>
              <w:bottom w:val="single" w:color="auto" w:sz="4" w:space="0"/>
              <w:right w:val="single" w:color="auto" w:sz="4" w:space="0"/>
            </w:tcBorders>
            <w:shd w:val="clear" w:color="auto" w:fill="auto"/>
            <w:vAlign w:val="center"/>
          </w:tcPr>
          <w:p>
            <w:r>
              <w:rPr>
                <w:rFonts w:hint="eastAsia"/>
              </w:rPr>
              <w:t>城乡社区环境卫生</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16.10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16.10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2120501</w:t>
            </w:r>
          </w:p>
        </w:tc>
        <w:tc>
          <w:tcPr>
            <w:tcW w:w="3527" w:type="dxa"/>
            <w:tcBorders>
              <w:top w:val="nil"/>
              <w:left w:val="nil"/>
              <w:bottom w:val="single" w:color="auto" w:sz="4" w:space="0"/>
              <w:right w:val="single" w:color="auto" w:sz="4" w:space="0"/>
            </w:tcBorders>
            <w:shd w:val="clear" w:color="auto" w:fill="auto"/>
            <w:vAlign w:val="center"/>
          </w:tcPr>
          <w:p>
            <w:r>
              <w:rPr>
                <w:rFonts w:hint="eastAsia"/>
              </w:rPr>
              <w:t xml:space="preserve">  城乡社区环境卫生</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16.10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16.10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213</w:t>
            </w:r>
          </w:p>
        </w:tc>
        <w:tc>
          <w:tcPr>
            <w:tcW w:w="3527" w:type="dxa"/>
            <w:tcBorders>
              <w:top w:val="nil"/>
              <w:left w:val="nil"/>
              <w:bottom w:val="single" w:color="auto" w:sz="4" w:space="0"/>
              <w:right w:val="single" w:color="auto" w:sz="4" w:space="0"/>
            </w:tcBorders>
            <w:shd w:val="clear" w:color="auto" w:fill="auto"/>
            <w:vAlign w:val="center"/>
          </w:tcPr>
          <w:p>
            <w:r>
              <w:rPr>
                <w:rFonts w:hint="eastAsia"/>
              </w:rPr>
              <w:t>农林水支出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445.21</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230.54</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214.67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21301</w:t>
            </w:r>
          </w:p>
        </w:tc>
        <w:tc>
          <w:tcPr>
            <w:tcW w:w="3527" w:type="dxa"/>
            <w:tcBorders>
              <w:top w:val="nil"/>
              <w:left w:val="nil"/>
              <w:bottom w:val="single" w:color="auto" w:sz="4" w:space="0"/>
              <w:right w:val="single" w:color="auto" w:sz="4" w:space="0"/>
            </w:tcBorders>
            <w:shd w:val="clear" w:color="auto" w:fill="auto"/>
            <w:vAlign w:val="center"/>
          </w:tcPr>
          <w:p>
            <w:r>
              <w:rPr>
                <w:rFonts w:hint="eastAsia"/>
              </w:rPr>
              <w:t>农业农村</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13.15</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11.15</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2130142</w:t>
            </w:r>
          </w:p>
        </w:tc>
        <w:tc>
          <w:tcPr>
            <w:tcW w:w="3527" w:type="dxa"/>
            <w:tcBorders>
              <w:top w:val="nil"/>
              <w:left w:val="nil"/>
              <w:bottom w:val="single" w:color="auto" w:sz="8" w:space="0"/>
              <w:right w:val="single" w:color="auto" w:sz="4" w:space="0"/>
            </w:tcBorders>
            <w:shd w:val="clear" w:color="auto" w:fill="auto"/>
            <w:vAlign w:val="center"/>
          </w:tcPr>
          <w:p>
            <w:r>
              <w:rPr>
                <w:rFonts w:hint="eastAsia"/>
              </w:rPr>
              <w:t xml:space="preserve">  农村道路建设</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2.00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2130199</w:t>
            </w:r>
          </w:p>
        </w:tc>
        <w:tc>
          <w:tcPr>
            <w:tcW w:w="3527" w:type="dxa"/>
            <w:tcBorders>
              <w:top w:val="nil"/>
              <w:left w:val="nil"/>
              <w:bottom w:val="single" w:color="auto" w:sz="8" w:space="0"/>
              <w:right w:val="single" w:color="auto" w:sz="4" w:space="0"/>
            </w:tcBorders>
            <w:shd w:val="clear" w:color="auto" w:fill="auto"/>
            <w:vAlign w:val="center"/>
          </w:tcPr>
          <w:p>
            <w:r>
              <w:rPr>
                <w:rFonts w:hint="eastAsia"/>
              </w:rPr>
              <w:t xml:space="preserve">  其他农业农村支出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11.15</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11.15</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21302</w:t>
            </w:r>
          </w:p>
        </w:tc>
        <w:tc>
          <w:tcPr>
            <w:tcW w:w="3527" w:type="dxa"/>
            <w:tcBorders>
              <w:top w:val="nil"/>
              <w:left w:val="nil"/>
              <w:bottom w:val="single" w:color="auto" w:sz="8" w:space="0"/>
              <w:right w:val="single" w:color="auto" w:sz="4" w:space="0"/>
            </w:tcBorders>
            <w:shd w:val="clear" w:color="auto" w:fill="auto"/>
            <w:vAlign w:val="center"/>
          </w:tcPr>
          <w:p>
            <w:r>
              <w:rPr>
                <w:rFonts w:hint="eastAsia"/>
              </w:rPr>
              <w:t>林业和草原</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30.17</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30.17</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2130201</w:t>
            </w:r>
          </w:p>
        </w:tc>
        <w:tc>
          <w:tcPr>
            <w:tcW w:w="3527" w:type="dxa"/>
            <w:tcBorders>
              <w:top w:val="nil"/>
              <w:left w:val="nil"/>
              <w:bottom w:val="single" w:color="auto" w:sz="8" w:space="0"/>
              <w:right w:val="single" w:color="auto" w:sz="4" w:space="0"/>
            </w:tcBorders>
            <w:shd w:val="clear" w:color="auto" w:fill="auto"/>
            <w:vAlign w:val="center"/>
          </w:tcPr>
          <w:p>
            <w:r>
              <w:rPr>
                <w:rFonts w:hint="eastAsia"/>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24.88</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24.88</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2130207</w:t>
            </w:r>
          </w:p>
        </w:tc>
        <w:tc>
          <w:tcPr>
            <w:tcW w:w="3527" w:type="dxa"/>
            <w:tcBorders>
              <w:top w:val="nil"/>
              <w:left w:val="nil"/>
              <w:bottom w:val="single" w:color="auto" w:sz="8" w:space="0"/>
              <w:right w:val="single" w:color="auto" w:sz="4" w:space="0"/>
            </w:tcBorders>
            <w:shd w:val="clear" w:color="auto" w:fill="auto"/>
            <w:vAlign w:val="center"/>
          </w:tcPr>
          <w:p>
            <w:r>
              <w:rPr>
                <w:rFonts w:hint="eastAsia"/>
              </w:rPr>
              <w:t xml:space="preserve">  森林资源管理</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1.02</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1.02</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2130209</w:t>
            </w:r>
          </w:p>
        </w:tc>
        <w:tc>
          <w:tcPr>
            <w:tcW w:w="3527" w:type="dxa"/>
            <w:tcBorders>
              <w:top w:val="nil"/>
              <w:left w:val="nil"/>
              <w:bottom w:val="single" w:color="auto" w:sz="8" w:space="0"/>
              <w:right w:val="single" w:color="auto" w:sz="4" w:space="0"/>
            </w:tcBorders>
            <w:shd w:val="clear" w:color="auto" w:fill="auto"/>
            <w:vAlign w:val="center"/>
          </w:tcPr>
          <w:p>
            <w:r>
              <w:rPr>
                <w:rFonts w:hint="eastAsia"/>
              </w:rPr>
              <w:t xml:space="preserve">  森林生态效益补偿</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4.27</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4.27</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p>
    <w:p>
      <w:pPr>
        <w:widowControl/>
        <w:spacing w:line="320" w:lineRule="exact"/>
        <w:ind w:left="13650" w:hanging="13650" w:hangingChars="65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统溪河镇人民政府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公开05表</w:t>
      </w:r>
    </w:p>
    <w:p>
      <w:pPr>
        <w:widowControl/>
        <w:spacing w:line="320" w:lineRule="exact"/>
        <w:ind w:left="13440" w:hanging="13440" w:hangingChars="64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571"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500"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21303</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水利</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2.00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2.00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2130399</w:t>
            </w:r>
          </w:p>
        </w:tc>
        <w:tc>
          <w:tcPr>
            <w:tcW w:w="3527" w:type="dxa"/>
            <w:tcBorders>
              <w:top w:val="nil"/>
              <w:left w:val="nil"/>
              <w:bottom w:val="single" w:color="auto" w:sz="4" w:space="0"/>
              <w:right w:val="single" w:color="auto" w:sz="4" w:space="0"/>
            </w:tcBorders>
            <w:shd w:val="clear" w:color="auto" w:fill="auto"/>
            <w:vAlign w:val="center"/>
          </w:tcPr>
          <w:p>
            <w:r>
              <w:rPr>
                <w:rFonts w:hint="eastAsia"/>
              </w:rPr>
              <w:t xml:space="preserve">  其他水利支出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2.00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2.00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21305</w:t>
            </w:r>
          </w:p>
        </w:tc>
        <w:tc>
          <w:tcPr>
            <w:tcW w:w="3527" w:type="dxa"/>
            <w:tcBorders>
              <w:top w:val="nil"/>
              <w:left w:val="nil"/>
              <w:bottom w:val="single" w:color="auto" w:sz="4" w:space="0"/>
              <w:right w:val="single" w:color="auto" w:sz="4" w:space="0"/>
            </w:tcBorders>
            <w:shd w:val="clear" w:color="auto" w:fill="auto"/>
            <w:vAlign w:val="center"/>
          </w:tcPr>
          <w:p>
            <w:r>
              <w:rPr>
                <w:rFonts w:hint="eastAsia"/>
              </w:rPr>
              <w:t>扶贫</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213.67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3.00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210.67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2130504</w:t>
            </w:r>
          </w:p>
        </w:tc>
        <w:tc>
          <w:tcPr>
            <w:tcW w:w="3527" w:type="dxa"/>
            <w:tcBorders>
              <w:top w:val="nil"/>
              <w:left w:val="nil"/>
              <w:bottom w:val="single" w:color="auto" w:sz="4" w:space="0"/>
              <w:right w:val="single" w:color="auto" w:sz="4" w:space="0"/>
            </w:tcBorders>
            <w:shd w:val="clear" w:color="auto" w:fill="auto"/>
            <w:vAlign w:val="center"/>
          </w:tcPr>
          <w:p>
            <w:r>
              <w:rPr>
                <w:rFonts w:hint="eastAsia"/>
              </w:rPr>
              <w:t xml:space="preserve">  农村基础设施建设</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131.47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131.47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2130505</w:t>
            </w:r>
          </w:p>
        </w:tc>
        <w:tc>
          <w:tcPr>
            <w:tcW w:w="3527" w:type="dxa"/>
            <w:tcBorders>
              <w:top w:val="nil"/>
              <w:left w:val="nil"/>
              <w:bottom w:val="single" w:color="auto" w:sz="4" w:space="0"/>
              <w:right w:val="single" w:color="auto" w:sz="4" w:space="0"/>
            </w:tcBorders>
            <w:shd w:val="clear" w:color="auto" w:fill="auto"/>
            <w:vAlign w:val="center"/>
          </w:tcPr>
          <w:p>
            <w:r>
              <w:rPr>
                <w:rFonts w:hint="eastAsia"/>
              </w:rPr>
              <w:t xml:space="preserve">  生产发展</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79.20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79.20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2130599</w:t>
            </w:r>
          </w:p>
        </w:tc>
        <w:tc>
          <w:tcPr>
            <w:tcW w:w="3527" w:type="dxa"/>
            <w:tcBorders>
              <w:top w:val="nil"/>
              <w:left w:val="nil"/>
              <w:bottom w:val="single" w:color="auto" w:sz="4" w:space="0"/>
              <w:right w:val="single" w:color="auto" w:sz="4" w:space="0"/>
            </w:tcBorders>
            <w:shd w:val="clear" w:color="auto" w:fill="auto"/>
            <w:vAlign w:val="center"/>
          </w:tcPr>
          <w:p>
            <w:r>
              <w:rPr>
                <w:rFonts w:hint="eastAsia"/>
              </w:rPr>
              <w:t xml:space="preserve">  其他扶贫支出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3.00</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21307</w:t>
            </w:r>
          </w:p>
        </w:tc>
        <w:tc>
          <w:tcPr>
            <w:tcW w:w="3527" w:type="dxa"/>
            <w:tcBorders>
              <w:top w:val="nil"/>
              <w:left w:val="nil"/>
              <w:bottom w:val="single" w:color="auto" w:sz="4" w:space="0"/>
              <w:right w:val="single" w:color="auto" w:sz="4" w:space="0"/>
            </w:tcBorders>
            <w:shd w:val="clear" w:color="auto" w:fill="auto"/>
            <w:vAlign w:val="center"/>
          </w:tcPr>
          <w:p>
            <w:r>
              <w:rPr>
                <w:rFonts w:hint="eastAsia"/>
              </w:rPr>
              <w:t>农村综合改革</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186.22</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186.22</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2130705</w:t>
            </w:r>
          </w:p>
        </w:tc>
        <w:tc>
          <w:tcPr>
            <w:tcW w:w="3527" w:type="dxa"/>
            <w:tcBorders>
              <w:top w:val="nil"/>
              <w:left w:val="nil"/>
              <w:bottom w:val="single" w:color="auto" w:sz="8" w:space="0"/>
              <w:right w:val="single" w:color="auto" w:sz="4" w:space="0"/>
            </w:tcBorders>
            <w:shd w:val="clear" w:color="auto" w:fill="auto"/>
            <w:vAlign w:val="center"/>
          </w:tcPr>
          <w:p>
            <w:r>
              <w:rPr>
                <w:rFonts w:hint="eastAsia"/>
              </w:rPr>
              <w:t xml:space="preserve">  对村民委员会和村党支部的补助</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177.22</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177.22</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2130707</w:t>
            </w:r>
          </w:p>
        </w:tc>
        <w:tc>
          <w:tcPr>
            <w:tcW w:w="3527" w:type="dxa"/>
            <w:tcBorders>
              <w:top w:val="nil"/>
              <w:left w:val="nil"/>
              <w:bottom w:val="single" w:color="auto" w:sz="8" w:space="0"/>
              <w:right w:val="single" w:color="auto" w:sz="4" w:space="0"/>
            </w:tcBorders>
            <w:shd w:val="clear" w:color="auto" w:fill="auto"/>
            <w:vAlign w:val="center"/>
          </w:tcPr>
          <w:p>
            <w:r>
              <w:rPr>
                <w:rFonts w:hint="eastAsia"/>
              </w:rPr>
              <w:t xml:space="preserve">  农村综合改革示范试点补助</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9.00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9.00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221</w:t>
            </w:r>
          </w:p>
        </w:tc>
        <w:tc>
          <w:tcPr>
            <w:tcW w:w="3527" w:type="dxa"/>
            <w:tcBorders>
              <w:top w:val="nil"/>
              <w:left w:val="nil"/>
              <w:bottom w:val="single" w:color="auto" w:sz="8" w:space="0"/>
              <w:right w:val="single" w:color="auto" w:sz="4" w:space="0"/>
            </w:tcBorders>
            <w:shd w:val="clear" w:color="auto" w:fill="auto"/>
            <w:vAlign w:val="center"/>
          </w:tcPr>
          <w:p>
            <w:r>
              <w:rPr>
                <w:rFonts w:hint="eastAsia"/>
              </w:rPr>
              <w:t>住房保障支出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10.57</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10.57</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22102</w:t>
            </w:r>
          </w:p>
        </w:tc>
        <w:tc>
          <w:tcPr>
            <w:tcW w:w="3527" w:type="dxa"/>
            <w:tcBorders>
              <w:top w:val="nil"/>
              <w:left w:val="nil"/>
              <w:bottom w:val="single" w:color="auto" w:sz="8" w:space="0"/>
              <w:right w:val="single" w:color="auto" w:sz="4" w:space="0"/>
            </w:tcBorders>
            <w:shd w:val="clear" w:color="auto" w:fill="auto"/>
            <w:vAlign w:val="center"/>
          </w:tcPr>
          <w:p>
            <w:r>
              <w:rPr>
                <w:rFonts w:hint="eastAsia"/>
              </w:rPr>
              <w:t>住房改革支出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10.57</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10.57</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2210201</w:t>
            </w:r>
          </w:p>
        </w:tc>
        <w:tc>
          <w:tcPr>
            <w:tcW w:w="3527" w:type="dxa"/>
            <w:tcBorders>
              <w:top w:val="nil"/>
              <w:left w:val="nil"/>
              <w:bottom w:val="single" w:color="auto" w:sz="8" w:space="0"/>
              <w:right w:val="single" w:color="auto" w:sz="4" w:space="0"/>
            </w:tcBorders>
            <w:shd w:val="clear" w:color="auto" w:fill="auto"/>
            <w:vAlign w:val="center"/>
          </w:tcPr>
          <w:p>
            <w:r>
              <w:rPr>
                <w:rFonts w:hint="eastAsia"/>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10.57</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10.57</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224</w:t>
            </w:r>
          </w:p>
        </w:tc>
        <w:tc>
          <w:tcPr>
            <w:tcW w:w="3527" w:type="dxa"/>
            <w:tcBorders>
              <w:top w:val="nil"/>
              <w:left w:val="nil"/>
              <w:bottom w:val="single" w:color="auto" w:sz="8" w:space="0"/>
              <w:right w:val="single" w:color="auto" w:sz="4" w:space="0"/>
            </w:tcBorders>
            <w:shd w:val="clear" w:color="auto" w:fill="auto"/>
            <w:vAlign w:val="center"/>
          </w:tcPr>
          <w:p>
            <w:r>
              <w:rPr>
                <w:rFonts w:hint="eastAsia"/>
              </w:rPr>
              <w:t>灾害防治及应急管理支出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15.00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11.00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p>
    <w:p>
      <w:pPr>
        <w:widowControl/>
        <w:spacing w:line="320" w:lineRule="exact"/>
        <w:ind w:left="13650" w:hanging="13650" w:hangingChars="65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统溪河镇人民政府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公开05表</w:t>
      </w:r>
    </w:p>
    <w:p>
      <w:pPr>
        <w:widowControl/>
        <w:spacing w:line="320" w:lineRule="exact"/>
        <w:ind w:left="13440" w:hanging="13440" w:hangingChars="64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4023"/>
        <w:gridCol w:w="2504"/>
        <w:gridCol w:w="3492"/>
        <w:gridCol w:w="3000"/>
      </w:tblGrid>
      <w:tr>
        <w:tblPrEx>
          <w:tblCellMar>
            <w:top w:w="0" w:type="dxa"/>
            <w:left w:w="108" w:type="dxa"/>
            <w:bottom w:w="0" w:type="dxa"/>
            <w:right w:w="108" w:type="dxa"/>
          </w:tblCellMar>
        </w:tblPrEx>
        <w:trPr>
          <w:trHeight w:val="571" w:hRule="atLeast"/>
          <w:jc w:val="center"/>
        </w:trPr>
        <w:tc>
          <w:tcPr>
            <w:tcW w:w="522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96"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500"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02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504"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02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504"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02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504"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22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50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22407</w:t>
            </w:r>
          </w:p>
        </w:tc>
        <w:tc>
          <w:tcPr>
            <w:tcW w:w="4023"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自然灾害救灾及恢复重建支出</w:t>
            </w:r>
          </w:p>
        </w:tc>
        <w:tc>
          <w:tcPr>
            <w:tcW w:w="25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15.00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11.00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4.00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2240704</w:t>
            </w:r>
          </w:p>
        </w:tc>
        <w:tc>
          <w:tcPr>
            <w:tcW w:w="4023" w:type="dxa"/>
            <w:tcBorders>
              <w:top w:val="nil"/>
              <w:left w:val="nil"/>
              <w:bottom w:val="single" w:color="auto" w:sz="4" w:space="0"/>
              <w:right w:val="single" w:color="auto" w:sz="4" w:space="0"/>
            </w:tcBorders>
            <w:shd w:val="clear" w:color="auto" w:fill="auto"/>
            <w:vAlign w:val="center"/>
          </w:tcPr>
          <w:p>
            <w:r>
              <w:rPr>
                <w:rFonts w:hint="eastAsia"/>
              </w:rPr>
              <w:t xml:space="preserve">  自然灾害灾后重建补助</w:t>
            </w:r>
          </w:p>
        </w:tc>
        <w:tc>
          <w:tcPr>
            <w:tcW w:w="25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4.00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4.00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2240799</w:t>
            </w:r>
          </w:p>
        </w:tc>
        <w:tc>
          <w:tcPr>
            <w:tcW w:w="4023" w:type="dxa"/>
            <w:tcBorders>
              <w:top w:val="nil"/>
              <w:left w:val="nil"/>
              <w:bottom w:val="single" w:color="auto" w:sz="4" w:space="0"/>
              <w:right w:val="single" w:color="auto" w:sz="4" w:space="0"/>
            </w:tcBorders>
            <w:shd w:val="clear" w:color="auto" w:fill="auto"/>
            <w:vAlign w:val="center"/>
          </w:tcPr>
          <w:p>
            <w:r>
              <w:rPr>
                <w:rFonts w:hint="eastAsia"/>
              </w:rPr>
              <w:t xml:space="preserve">  其他自然灾害救灾及恢复重建支出</w:t>
            </w:r>
          </w:p>
        </w:tc>
        <w:tc>
          <w:tcPr>
            <w:tcW w:w="25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11.00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11.00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250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50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50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50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023"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504"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4023"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2504"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4023"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2504"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4023"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2504"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0" w:type="auto"/>
        <w:tblInd w:w="0" w:type="dxa"/>
        <w:tblLayout w:type="fixed"/>
        <w:tblCellMar>
          <w:top w:w="0" w:type="dxa"/>
          <w:left w:w="108" w:type="dxa"/>
          <w:bottom w:w="0" w:type="dxa"/>
          <w:right w:w="108" w:type="dxa"/>
        </w:tblCellMar>
      </w:tblPr>
      <w:tblGrid>
        <w:gridCol w:w="1311"/>
        <w:gridCol w:w="3121"/>
        <w:gridCol w:w="1120"/>
        <w:gridCol w:w="981"/>
        <w:gridCol w:w="2096"/>
        <w:gridCol w:w="1045"/>
        <w:gridCol w:w="963"/>
        <w:gridCol w:w="3930"/>
        <w:gridCol w:w="1047"/>
      </w:tblGrid>
      <w:tr>
        <w:tblPrEx>
          <w:tblCellMar>
            <w:top w:w="0" w:type="dxa"/>
            <w:left w:w="108" w:type="dxa"/>
            <w:bottom w:w="0" w:type="dxa"/>
            <w:right w:w="108" w:type="dxa"/>
          </w:tblCellMar>
        </w:tblPrEx>
        <w:trPr>
          <w:trHeight w:val="113" w:hRule="atLeast"/>
        </w:trPr>
        <w:tc>
          <w:tcPr>
            <w:tcW w:w="15614"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21"/>
              </w:rPr>
            </w:pPr>
            <w:bookmarkStart w:id="2" w:name="RANGE!A1:I34"/>
            <w:r>
              <w:rPr>
                <w:rFonts w:hint="eastAsia" w:ascii="华文中宋" w:hAnsi="华文中宋" w:eastAsia="华文中宋" w:cs="宋体"/>
                <w:color w:val="000000"/>
                <w:kern w:val="0"/>
                <w:szCs w:val="21"/>
              </w:rPr>
              <w:t>一般公共预算财政拨款基本支出决算表</w:t>
            </w:r>
            <w:bookmarkEnd w:id="2"/>
          </w:p>
          <w:p>
            <w:pPr>
              <w:widowControl/>
              <w:spacing w:line="320" w:lineRule="exact"/>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公开06表</w:t>
            </w:r>
          </w:p>
          <w:p>
            <w:pPr>
              <w:widowControl/>
              <w:wordWrap w:val="0"/>
              <w:spacing w:line="320" w:lineRule="exact"/>
              <w:ind w:right="315"/>
              <w:jc w:val="center"/>
              <w:rPr>
                <w:rFonts w:ascii="华文中宋" w:hAnsi="华文中宋" w:eastAsia="华文中宋" w:cs="宋体"/>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统溪河镇人民政府                                                                                                                单位：万元</w:t>
            </w:r>
          </w:p>
        </w:tc>
      </w:tr>
      <w:tr>
        <w:tblPrEx>
          <w:tblCellMar>
            <w:top w:w="0" w:type="dxa"/>
            <w:left w:w="108" w:type="dxa"/>
            <w:bottom w:w="0" w:type="dxa"/>
            <w:right w:w="108" w:type="dxa"/>
          </w:tblCellMar>
        </w:tblPrEx>
        <w:trPr>
          <w:trHeight w:val="113" w:hRule="atLeast"/>
        </w:trPr>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540.55</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248.99</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225.68</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23.55</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158.54</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15.50</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69.96</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2.00</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5.80</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7.75</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2.00</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6.30</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2.00</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7.40</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8.00</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14.00</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10.57</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3.00</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9.00</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59.00</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198.10</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13.00</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0.80</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29.75</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18.11</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138.86</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18.00</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4.00</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9.30</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2.29</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11.96</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8.00</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14.50</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7.77</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5.00</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4.11</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21.36</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3.00</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48.79</w:t>
            </w:r>
          </w:p>
        </w:tc>
        <w:tc>
          <w:tcPr>
            <w:tcW w:w="9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738.65</w:t>
            </w:r>
          </w:p>
        </w:tc>
        <w:tc>
          <w:tcPr>
            <w:tcW w:w="9015"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248.99</w:t>
            </w:r>
          </w:p>
        </w:tc>
      </w:tr>
      <w:tr>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spacing w:line="360" w:lineRule="exact"/>
        <w:ind w:left="13965" w:hanging="13965" w:hangingChars="66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tabs>
          <w:tab w:val="left" w:pos="735"/>
          <w:tab w:val="right" w:pos="14978"/>
        </w:tabs>
        <w:spacing w:line="360" w:lineRule="exact"/>
        <w:ind w:right="42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统溪河镇人民政府</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6.52</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1.52</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5.80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5.00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0.80</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spacing w:line="36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统溪河镇人民政府</w:t>
      </w:r>
      <w:r>
        <w:rPr>
          <w:rFonts w:ascii="Times New Roman" w:hAnsi="Times New Roman" w:eastAsia="仿宋_GB2312" w:cs="Times New Roman"/>
          <w:color w:val="000000"/>
          <w:kern w:val="0"/>
          <w:szCs w:val="21"/>
        </w:rPr>
        <w:t xml:space="preserve">                                                                                                                  公开08表</w:t>
      </w:r>
    </w:p>
    <w:p>
      <w:pPr>
        <w:widowControl/>
        <w:spacing w:line="36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0" w:hRule="atLeast"/>
          <w:jc w:val="center"/>
        </w:trPr>
        <w:tc>
          <w:tcPr>
            <w:tcW w:w="1120" w:type="dxa"/>
            <w:vMerge w:val="restart"/>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spacing w:line="500" w:lineRule="exact"/>
              <w:jc w:val="left"/>
              <w:rPr>
                <w:rFonts w:ascii="Times New Roman" w:hAnsi="Times New Roman" w:eastAsia="仿宋_GB2312" w:cs="Times New Roman"/>
                <w:b/>
                <w:kern w:val="0"/>
                <w:szCs w:val="21"/>
              </w:rPr>
            </w:pPr>
          </w:p>
        </w:tc>
        <w:tc>
          <w:tcPr>
            <w:tcW w:w="2000" w:type="dxa"/>
            <w:vMerge w:val="continue"/>
            <w:vAlign w:val="center"/>
          </w:tcPr>
          <w:p>
            <w:pPr>
              <w:widowControl/>
              <w:spacing w:line="500" w:lineRule="exact"/>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spacing w:line="50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spacing w:line="500" w:lineRule="exact"/>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0" w:hRule="atLeast"/>
          <w:jc w:val="center"/>
        </w:trPr>
        <w:tc>
          <w:tcPr>
            <w:tcW w:w="1120" w:type="dxa"/>
            <w:vMerge w:val="continue"/>
            <w:vAlign w:val="center"/>
          </w:tcPr>
          <w:p>
            <w:pPr>
              <w:widowControl/>
              <w:spacing w:line="500" w:lineRule="exact"/>
              <w:jc w:val="left"/>
              <w:rPr>
                <w:rFonts w:ascii="Times New Roman" w:hAnsi="Times New Roman" w:eastAsia="仿宋_GB2312" w:cs="Times New Roman"/>
                <w:kern w:val="0"/>
                <w:szCs w:val="21"/>
              </w:rPr>
            </w:pPr>
          </w:p>
        </w:tc>
        <w:tc>
          <w:tcPr>
            <w:tcW w:w="1320" w:type="dxa"/>
            <w:vMerge w:val="continue"/>
            <w:vAlign w:val="center"/>
          </w:tcPr>
          <w:p>
            <w:pPr>
              <w:widowControl/>
              <w:spacing w:line="500" w:lineRule="exact"/>
              <w:jc w:val="left"/>
              <w:rPr>
                <w:rFonts w:ascii="Times New Roman" w:hAnsi="Times New Roman" w:eastAsia="仿宋_GB2312" w:cs="Times New Roman"/>
                <w:kern w:val="0"/>
                <w:szCs w:val="21"/>
              </w:rPr>
            </w:pPr>
          </w:p>
        </w:tc>
        <w:tc>
          <w:tcPr>
            <w:tcW w:w="2000" w:type="dxa"/>
            <w:vMerge w:val="continue"/>
            <w:vAlign w:val="center"/>
          </w:tcPr>
          <w:p>
            <w:pPr>
              <w:widowControl/>
              <w:spacing w:line="500" w:lineRule="exact"/>
              <w:jc w:val="left"/>
              <w:rPr>
                <w:rFonts w:ascii="Times New Roman" w:hAnsi="Times New Roman" w:eastAsia="仿宋_GB2312" w:cs="Times New Roman"/>
                <w:kern w:val="0"/>
                <w:szCs w:val="21"/>
              </w:rPr>
            </w:pPr>
          </w:p>
        </w:tc>
        <w:tc>
          <w:tcPr>
            <w:tcW w:w="2000" w:type="dxa"/>
            <w:vMerge w:val="continue"/>
            <w:vAlign w:val="center"/>
          </w:tcPr>
          <w:p>
            <w:pPr>
              <w:widowControl/>
              <w:spacing w:line="500" w:lineRule="exact"/>
              <w:jc w:val="left"/>
              <w:rPr>
                <w:rFonts w:ascii="Times New Roman" w:hAnsi="Times New Roman" w:eastAsia="仿宋_GB2312" w:cs="Times New Roman"/>
                <w:kern w:val="0"/>
                <w:szCs w:val="21"/>
              </w:rPr>
            </w:pPr>
          </w:p>
        </w:tc>
        <w:tc>
          <w:tcPr>
            <w:tcW w:w="2000" w:type="dxa"/>
            <w:vMerge w:val="continue"/>
            <w:vAlign w:val="center"/>
          </w:tcPr>
          <w:p>
            <w:pPr>
              <w:widowControl/>
              <w:spacing w:line="500" w:lineRule="exact"/>
              <w:jc w:val="left"/>
              <w:rPr>
                <w:rFonts w:ascii="Times New Roman" w:hAnsi="Times New Roman" w:eastAsia="仿宋_GB2312" w:cs="Times New Roman"/>
                <w:kern w:val="0"/>
                <w:szCs w:val="21"/>
              </w:rPr>
            </w:pPr>
          </w:p>
        </w:tc>
        <w:tc>
          <w:tcPr>
            <w:tcW w:w="2000" w:type="dxa"/>
            <w:vMerge w:val="continue"/>
            <w:vAlign w:val="center"/>
          </w:tcPr>
          <w:p>
            <w:pPr>
              <w:widowControl/>
              <w:spacing w:line="500" w:lineRule="exact"/>
              <w:jc w:val="left"/>
              <w:rPr>
                <w:rFonts w:ascii="Times New Roman" w:hAnsi="Times New Roman" w:eastAsia="仿宋_GB2312" w:cs="Times New Roman"/>
                <w:kern w:val="0"/>
                <w:szCs w:val="21"/>
              </w:rPr>
            </w:pPr>
          </w:p>
        </w:tc>
        <w:tc>
          <w:tcPr>
            <w:tcW w:w="2000" w:type="dxa"/>
            <w:vMerge w:val="continue"/>
            <w:vAlign w:val="center"/>
          </w:tcPr>
          <w:p>
            <w:pPr>
              <w:widowControl/>
              <w:spacing w:line="500" w:lineRule="exact"/>
              <w:jc w:val="left"/>
              <w:rPr>
                <w:rFonts w:ascii="Times New Roman" w:hAnsi="Times New Roman" w:eastAsia="仿宋_GB2312" w:cs="Times New Roman"/>
                <w:kern w:val="0"/>
                <w:szCs w:val="21"/>
              </w:rPr>
            </w:pPr>
          </w:p>
        </w:tc>
        <w:tc>
          <w:tcPr>
            <w:tcW w:w="2000" w:type="dxa"/>
            <w:vMerge w:val="continue"/>
            <w:vAlign w:val="center"/>
          </w:tcPr>
          <w:p>
            <w:pPr>
              <w:widowControl/>
              <w:spacing w:line="500" w:lineRule="exact"/>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0" w:hRule="atLeast"/>
          <w:jc w:val="center"/>
        </w:trPr>
        <w:tc>
          <w:tcPr>
            <w:tcW w:w="1120" w:type="dxa"/>
            <w:vMerge w:val="continue"/>
            <w:vAlign w:val="center"/>
          </w:tcPr>
          <w:p>
            <w:pPr>
              <w:widowControl/>
              <w:spacing w:line="500" w:lineRule="exact"/>
              <w:jc w:val="left"/>
              <w:rPr>
                <w:rFonts w:ascii="Times New Roman" w:hAnsi="Times New Roman" w:eastAsia="仿宋_GB2312" w:cs="Times New Roman"/>
                <w:kern w:val="0"/>
                <w:szCs w:val="21"/>
              </w:rPr>
            </w:pPr>
          </w:p>
        </w:tc>
        <w:tc>
          <w:tcPr>
            <w:tcW w:w="1320" w:type="dxa"/>
            <w:vMerge w:val="continue"/>
            <w:vAlign w:val="center"/>
          </w:tcPr>
          <w:p>
            <w:pPr>
              <w:widowControl/>
              <w:spacing w:line="500" w:lineRule="exact"/>
              <w:jc w:val="left"/>
              <w:rPr>
                <w:rFonts w:ascii="Times New Roman" w:hAnsi="Times New Roman" w:eastAsia="仿宋_GB2312" w:cs="Times New Roman"/>
                <w:kern w:val="0"/>
                <w:szCs w:val="21"/>
              </w:rPr>
            </w:pPr>
          </w:p>
        </w:tc>
        <w:tc>
          <w:tcPr>
            <w:tcW w:w="2000" w:type="dxa"/>
            <w:vMerge w:val="continue"/>
            <w:vAlign w:val="center"/>
          </w:tcPr>
          <w:p>
            <w:pPr>
              <w:widowControl/>
              <w:spacing w:line="500" w:lineRule="exact"/>
              <w:jc w:val="left"/>
              <w:rPr>
                <w:rFonts w:ascii="Times New Roman" w:hAnsi="Times New Roman" w:eastAsia="仿宋_GB2312" w:cs="Times New Roman"/>
                <w:kern w:val="0"/>
                <w:szCs w:val="21"/>
              </w:rPr>
            </w:pPr>
          </w:p>
        </w:tc>
        <w:tc>
          <w:tcPr>
            <w:tcW w:w="2000" w:type="dxa"/>
            <w:vMerge w:val="continue"/>
            <w:vAlign w:val="center"/>
          </w:tcPr>
          <w:p>
            <w:pPr>
              <w:widowControl/>
              <w:spacing w:line="500" w:lineRule="exact"/>
              <w:jc w:val="left"/>
              <w:rPr>
                <w:rFonts w:ascii="Times New Roman" w:hAnsi="Times New Roman" w:eastAsia="仿宋_GB2312" w:cs="Times New Roman"/>
                <w:kern w:val="0"/>
                <w:szCs w:val="21"/>
              </w:rPr>
            </w:pPr>
          </w:p>
        </w:tc>
        <w:tc>
          <w:tcPr>
            <w:tcW w:w="2000" w:type="dxa"/>
            <w:vMerge w:val="continue"/>
            <w:vAlign w:val="center"/>
          </w:tcPr>
          <w:p>
            <w:pPr>
              <w:widowControl/>
              <w:spacing w:line="500" w:lineRule="exact"/>
              <w:jc w:val="left"/>
              <w:rPr>
                <w:rFonts w:ascii="Times New Roman" w:hAnsi="Times New Roman" w:eastAsia="仿宋_GB2312" w:cs="Times New Roman"/>
                <w:kern w:val="0"/>
                <w:szCs w:val="21"/>
              </w:rPr>
            </w:pPr>
          </w:p>
        </w:tc>
        <w:tc>
          <w:tcPr>
            <w:tcW w:w="2000" w:type="dxa"/>
            <w:vMerge w:val="continue"/>
            <w:vAlign w:val="center"/>
          </w:tcPr>
          <w:p>
            <w:pPr>
              <w:widowControl/>
              <w:spacing w:line="500" w:lineRule="exact"/>
              <w:jc w:val="left"/>
              <w:rPr>
                <w:rFonts w:ascii="Times New Roman" w:hAnsi="Times New Roman" w:eastAsia="仿宋_GB2312" w:cs="Times New Roman"/>
                <w:kern w:val="0"/>
                <w:szCs w:val="21"/>
              </w:rPr>
            </w:pPr>
          </w:p>
        </w:tc>
        <w:tc>
          <w:tcPr>
            <w:tcW w:w="2000" w:type="dxa"/>
            <w:vMerge w:val="continue"/>
            <w:vAlign w:val="center"/>
          </w:tcPr>
          <w:p>
            <w:pPr>
              <w:widowControl/>
              <w:spacing w:line="500" w:lineRule="exact"/>
              <w:jc w:val="left"/>
              <w:rPr>
                <w:rFonts w:ascii="Times New Roman" w:hAnsi="Times New Roman" w:eastAsia="仿宋_GB2312" w:cs="Times New Roman"/>
                <w:kern w:val="0"/>
                <w:szCs w:val="21"/>
              </w:rPr>
            </w:pPr>
          </w:p>
        </w:tc>
        <w:tc>
          <w:tcPr>
            <w:tcW w:w="2000" w:type="dxa"/>
            <w:vMerge w:val="continue"/>
            <w:vAlign w:val="center"/>
          </w:tcPr>
          <w:p>
            <w:pPr>
              <w:widowControl/>
              <w:spacing w:line="500" w:lineRule="exact"/>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spacing w:line="5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spacing w:line="5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spacing w:line="5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spacing w:line="5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spacing w:line="5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spacing w:line="5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spacing w:line="5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33.43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33.43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33.43</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r>
              <w:rPr>
                <w:rFonts w:hint="eastAsia"/>
              </w:rPr>
              <w:t>229</w:t>
            </w:r>
          </w:p>
        </w:tc>
        <w:tc>
          <w:tcPr>
            <w:tcW w:w="1320" w:type="dxa"/>
            <w:shd w:val="clear" w:color="auto" w:fill="auto"/>
            <w:vAlign w:val="center"/>
          </w:tcPr>
          <w:p>
            <w:r>
              <w:rPr>
                <w:rFonts w:hint="eastAsia"/>
              </w:rPr>
              <w:t>其他支出</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33.43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33.43</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33.43</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r>
              <w:rPr>
                <w:rFonts w:hint="eastAsia"/>
              </w:rPr>
              <w:t>22960</w:t>
            </w:r>
          </w:p>
        </w:tc>
        <w:tc>
          <w:tcPr>
            <w:tcW w:w="1320" w:type="dxa"/>
            <w:shd w:val="clear" w:color="auto" w:fill="auto"/>
            <w:vAlign w:val="center"/>
          </w:tcPr>
          <w:p>
            <w:r>
              <w:rPr>
                <w:rFonts w:hint="eastAsia"/>
              </w:rPr>
              <w:t>彩票公益金安排的支出</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33.43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33.43</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33.43</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r>
              <w:rPr>
                <w:rFonts w:hint="eastAsia"/>
              </w:rPr>
              <w:t>2296002</w:t>
            </w:r>
          </w:p>
        </w:tc>
        <w:tc>
          <w:tcPr>
            <w:tcW w:w="1320" w:type="dxa"/>
            <w:shd w:val="clear" w:color="auto" w:fill="auto"/>
            <w:vAlign w:val="center"/>
          </w:tcPr>
          <w:p>
            <w:r>
              <w:rPr>
                <w:rFonts w:hint="eastAsia"/>
              </w:rPr>
              <w:t xml:space="preserve">  用于社会福利的彩票公益金支出</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r>
              <w:rPr>
                <w:rFonts w:hint="eastAsia"/>
              </w:rPr>
              <w:t>2296003</w:t>
            </w:r>
          </w:p>
        </w:tc>
        <w:tc>
          <w:tcPr>
            <w:tcW w:w="1320" w:type="dxa"/>
            <w:shd w:val="clear" w:color="auto" w:fill="auto"/>
            <w:vAlign w:val="center"/>
          </w:tcPr>
          <w:p>
            <w:r>
              <w:rPr>
                <w:rFonts w:hint="eastAsia"/>
              </w:rPr>
              <w:t xml:space="preserve">  用于体育事业的彩票公益金支出</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r>
              <w:rPr>
                <w:rFonts w:hint="eastAsia"/>
              </w:rPr>
              <w:t>2296004</w:t>
            </w:r>
          </w:p>
        </w:tc>
        <w:tc>
          <w:tcPr>
            <w:tcW w:w="1320" w:type="dxa"/>
            <w:shd w:val="clear" w:color="auto" w:fill="auto"/>
            <w:vAlign w:val="center"/>
          </w:tcPr>
          <w:p>
            <w:r>
              <w:rPr>
                <w:rFonts w:hint="eastAsia"/>
              </w:rPr>
              <w:t xml:space="preserve">  用于教育事业的彩票公益金支出</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18.43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18.43</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18.43</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r>
        <w:rPr>
          <w:rFonts w:ascii="黑体" w:hAnsi="黑体" w:eastAsia="黑体"/>
          <w:szCs w:val="21"/>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部门：统溪河镇人民政府</w:t>
            </w:r>
          </w:p>
        </w:tc>
        <w:tc>
          <w:tcPr>
            <w:tcW w:w="1225" w:type="dxa"/>
            <w:tcBorders>
              <w:top w:val="nil"/>
              <w:left w:val="nil"/>
              <w:bottom w:val="single" w:color="auto" w:sz="8" w:space="0"/>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0"/>
        <w:rPr>
          <w:sz w:val="72"/>
          <w:szCs w:val="72"/>
        </w:rPr>
        <w:sectPr>
          <w:pgSz w:w="16838" w:h="11906" w:orient="landscape"/>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2"/>
          <w:szCs w:val="72"/>
        </w:rPr>
      </w:pPr>
    </w:p>
    <w:p>
      <w:pPr>
        <w:pStyle w:val="10"/>
        <w:jc w:val="center"/>
        <w:rPr>
          <w:sz w:val="72"/>
          <w:szCs w:val="72"/>
        </w:rPr>
      </w:pPr>
      <w:r>
        <w:rPr>
          <w:sz w:val="72"/>
          <w:szCs w:val="72"/>
        </w:rPr>
        <w:t>20</w:t>
      </w:r>
      <w:r>
        <w:rPr>
          <w:rFonts w:hint="eastAsia"/>
          <w:sz w:val="72"/>
          <w:szCs w:val="72"/>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2020年度收、支总计1291.35万元。与上年1442.25万元相比，减少150.90万元，减少10.46%，主要是因为项目支出的减少。</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本年收入合计1291.35万元，其中：财政拨款收入1291.35万元，占100%；上级补助收入0万元，占0%；事业收入0万元，占0%；经营收入0万元，占0%；附属单位上缴收入0万元，占0%；其他收入0万元，占0%。</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本年支出合计1291.35万元，其中：基本支出987.65万元，占76.48%；项目支出303.70万元，占23.52%；上缴上级支出0万元，占0%；经营支出0万元，占0%；对附属单位补助支出0万元，占0%。</w:t>
      </w:r>
    </w:p>
    <w:p>
      <w:pPr>
        <w:pStyle w:val="10"/>
        <w:rPr>
          <w:rFonts w:hAnsi="黑体"/>
          <w:b/>
          <w:sz w:val="32"/>
          <w:szCs w:val="32"/>
        </w:rPr>
      </w:pPr>
      <w:r>
        <w:rPr>
          <w:rFonts w:hint="eastAsia" w:hAnsi="黑体"/>
          <w:b/>
          <w:sz w:val="32"/>
          <w:szCs w:val="32"/>
        </w:rPr>
        <w:t>四、财政拨款收入支出决算总体情况说明</w:t>
      </w:r>
    </w:p>
    <w:p>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2020年度财政拨款收、支总计1291.35万元，与上年相比，减少150.90万元,减少10.46%，主要是因为项目支出的减少。</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2020年度财政拨款支出1257.92万元，占本年支出合计的100%，与上年相比，财政拨款支出减少172.53万元，减少12.06%，主要是因为项目支出的减少。</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1257.92万元，主要用于以下方面：一般公共服务（类）支出598.24万元，占47.56%；公共安全（类）支出9.44万元，占0.75%；文化旅游体育与传媒（类）支出5.00万元，占0.40%；社会保障和就业（类）支出44.06万元，占3.50%；卫生健康（类）支出87.45万元，占6.95%；节能环保（类）支出9.40万元，占0.75%；城乡社区（类）支出33.55万元，占2.67%；农林水（类）支出445.21万元，占35.39%；住房保障（类）支出10.57万元，占0.84%；灾害防治及应急管理（类）支出15.00万元，占1.19%。</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2020年度财政拨款支出年初预算数为987.44万元，支出决算数为1257.92万元，完成年初预算的127.39%，其中：</w:t>
      </w:r>
    </w:p>
    <w:p>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1、一般公共服务支出（类）人大事务（款）行政运行（项）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年初预算为2万元，支出决算为0万元，完成年初预算的0%，决算数小于年初预算数的主要原应是：账务处理时直接化为办公经费开支计入政府办公厅（室）及相关机构事务当中。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2、一般公共服务支出（类）政协事务（款）行政运行（项）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年初预算为1万元，支出决算为0万元，完成年初预算的0%，决算数小于年初预算数的主要原应是：账务处理时直接化为办公经费开支计入政府办公厅（室）及相关机构事务当中。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3、一般公共服务支出（类）政府办公厅（室）及相关机构事务（款）行政运行（项）。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年初预算为656.89万元，支出决算为386.23万元，完成年初预算的58.80%，决算数小于年初预算数的主要原因是：工资福利支出及服务型开支的减少。</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4、一般公共服务支出（类）政府办公厅（室）及相关机构事务（款）一般行政管理事务（项）。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年初预算为0万元，支出决算为16.74万元，超额完成年初预算，决算数大于年初预算数的主要原因是由于预算项未计入，为决算支出。</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5、一般公共服务支出（类）政府办公厅（室）及相关机构事务（款）其他政府办公厅（室）及相关机构事务支出（项）。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年初预算为10万元，支出决算为128.43万元，完成年初预算的1284.3%，决算数大于年初预算数的主要原因是由于将相关办公经费开支列入此项。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6、一般公共服务支出（类）统计信息事务（款）专项普查活动（项）。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年初预算为0万元，支出决算为3.00万元，超额完成年初预算，决算数大于年初预算数的主要原因是由于预算项未计入，为决算支出。</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7、一般公共服务支出（类）财政事务（款）行政运行（项）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年初预算为52.87万元，支出决算为51.28万元，完成年初预算的97%，决算数小于年初预算数的主要原因是由于办公经费开支的减少。</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8、一般公共服务支出（类）财政事务（款）一般行政管理事务（项）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年初预算为0万元，支出决算为0.83万元，超额完成年初预算，决算数大于年初预算数的主要原因是由于预算项未计入，为决算支出。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9、一般公共服务支出（类）群众团体事务（款）行政运行（项）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年初预算为0万元，支出决算为7.30万元，超额完成年初预算，决算数大于年初预算数的主要原因是由于预算项未计入，为决算支出。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10、一般公共服务支出（类）其他一般公共服务支出（款）其他一般公共服务支出（项）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年初预算为0万元，支出决算为4.43万元，超额完成年初预算，决算数大于年初预算数的主要原因是由于预算项未计入，为决算支出。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11、公共安全支出（类）公安（款）一般行政管理事务（项）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年初预算为0万元，支出决算为4.48万元，超额完成年初预算，决算数大于年初预算数的主要原因是由于预算项未计入，为决算支出。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12、公共安全支出（类）公安（款）其他公安支出（项）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年初预算为0万元，支出决算为4.96万元，超额完成年初预算，决算数大于年初预算数的主要原因是由于预算项未计入，为决算支出。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13、文化旅游体育与传媒支出（类）其他文化旅游体育与传媒支出（款）其他文化旅游体育与传媒支出（项）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年初预算为0万元，支出决算为5.00万元，超额完成年初预算，决算数大于年初预算数的主要原因是由于预算项未计入，为决算支出。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14、社会保障和就业支出（类）人力资源和社会保障管理事务（款）其他人力资源和社会保障管理事务（项）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年初预算为0万元，支出决算为10.00万元，超额完成年初预算，决算数大于年初预算数的主要原因是由于预算项未计入，为决算支出。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15、社会保障和就业支出（类）抚恤（款）死亡抚恤（项）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年初预算为0万元，支出决算为27.96万元，超额完成年初预算，决算数大于年初预算数的主要原因是由于预算项未计入，为决算支出。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16、社会保障和就业支出（类）社会福利（款）儿童福利（项）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年初预算为0万元，支出决算为1.00万元，超额完成年初预算，决算数大于年初预算数的主要原因是由于预算项未计入，为决算支出。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17、社会保障和就业支出（类）特困人员救助供养（款）农村特困人员救助供养（项）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年初预算为0万元，支出决算为2.30万元，超额完成年初预算，决算数大于年初预算数的主要原因是由于预算项未计入，为决算支出。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18、社会保障和就业支出（类）财政对基本养老保险基金的补助（款）财政对其他基本养老保险基金的补助（项）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年初预算为0万元，支出决算为1.40万元，超额完成年初预算，决算数大于年初预算数的主要原因是由于预算项未计入，为决算支出。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19、社会保障和就业支出（类）退役军人管理事务（款）其他退役军人管理事务（项）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年初预算为0万元，支出决算为1.40万元，超额完成年初预算，决算数大于年初预算数的主要原因是由于预算项未计入，为决算支出。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20、卫生健康支出（类）卫生健康管理事务（款）行政运行（项）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初预算为0万元，支出决算为3.25万元，超额完成年初预算，决算数大于年初预算数的主要原因是由于预算项未计入，为决算支出。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21、卫生健康支出（类）公共卫生（款）精神卫生机构（项）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年初预算为0万元，支出决算为0.72万元，超额完成年初预算，决算数大于年初预算数的主要原因是由于预算项未计入，为决算支出。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22、卫生健康支出（类）公共卫生（款）基本公共卫生服务（项）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年初预算为0万元，支出决算为0.43万元，超额完成年初预算，决算数大于年初预算数的主要原因是由于预算项未计入，为决算支出。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23、卫生健康支出（类）公共卫生（款）突发公共卫生事件应急处理（项）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年初预算为0万元，支出决算为0.36万元，超额完成年初预算，决算数大于年初预算数的主要原因是由于预算项未计入，为决算支出。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24、卫生健康支出（类）计划生育事务（款）计划生育机构（项）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年初预算为44.16万元，支出决算为37.07万元，完成年初预算的83.94%，决算数小于年初预算数的主要原因是由于经费开支列入其他项，导致决算支出减少。</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25、卫生健康支出（类）计划生育事务（款）计划生育服务（项）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年初预算为0万元，支出决算为10.53万元，超额完成年初预算，决算数大于年初预算数的主要原因是由于预算项未计入，为决算支出。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26、卫生健康支出（类）计划生育事务（款）其他计划生育事务支出（项）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年初预算为0万元，支出决算为35.09万元，超额完成年初预算，决算数大于年初预算数的主要原因是由于预算项未计入，为决算支出。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27、节能环保支出（类）自然生态保护（款）农村环境保护（项）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年初预算为0万元，支出决算为9.40万元，超额完成年初预算，决算数大于年初预算数的主要原因是由于预算项未计入，为决算支出。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28、城乡社区支出（类）城乡社区管理事务（款）行政运行（项）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年初预算为0万元，支出决算为2.60万元，超额完成年初预算，决算数大于年初预算数的主要原因是由于预算项未计入，为决算支出。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29、城乡社区支出（类）城乡社区公共设施（款）小城镇基础设施建设（项）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年初预算为0万元，支出决算为14.85万元，超额完成年初预算，决算数大于年初预算数的主要原因是由于预算项未计入，为决算支出。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30、城乡社区支出（类）城乡社区环境卫生（款）城乡社区环境卫生（项）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年初预算为0万元，支出决算为16.10万元，超额完成年初预算，决算数大于年初预算数的主要原因是由于预算项未计入，为决算支出。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31、农林水支出（类）农业农村（款）农村道路建设（项）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年初预算为0万元，支出决算为2.00万元，超额完成年初预算，决算数大于年初预算数的主要原因是由于预算项未计入，为决算支出。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32、农林水支出（类）农业农村（款）其他农业农村支出（项）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年初预算为0万元，支出决算为11.15万元，超额完成年初预算，决算数大于年初预算数的主要原因是由于预算项未计入，为决算支出。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33、农林水支出（类）林业和草原（款）行政运行（项）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年初预算为30.44万元，支出决算为24.88万元，完成年初预算的81.73%，决算数小于年初预算数的主要原因是由于款项支出列入其他项，导致决算支出减少。</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34、农林水支出（类）林业和草原（款）森林资源管理（项）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年初预算为0万元，支出决算为1.02万元，超额完成年初预算，决算数大于年初预算数的主要原因是由于预算项未计入，为决算支出。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35、农林水支出（类）林业和草原（款）森林生态效益补偿（项）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年初预算为0万元，支出决算为4.27万元，超额完成年初预算，决算数大于年初预算数的主要原因是由于预算项未计入，为决算支出。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36、农林水支出（类）水利（款）其他水利支出（项）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年初预算为0万元，支出决算为2.00万元，超额完成年初预算，决算数大于年初预算数的主要原因是由于预算项未计入，为决算支出。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37、农林水支出（类）扶贫（款）农村基础设施建设（项）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年初预算为0万元，支出决算为131.47万元，超额完成年初预算，决算数大于年初预算数的主要原因是由于预算项未计入，为决算支出。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38、农林水支出（类）扶贫（款）生产发展（项）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年初预算为0万元，支出决算为79.20万元，超额完成年初预算，决算数大于年初预算数的主要原因是由于预算项未计入，为决算支出。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39、农林水支出（类）扶贫（款）其他扶贫支出（项）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年初预算为0万元，支出决算为3.00万元，超额完成年初预算，决算数大于年初预算数的主要原因是由于预算项未计入，为决算支出。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40、农林水支出（类）农村综合改革（款）对村民委员会和村党支部的补助（项）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年初预算为187.08万元，支出决算为177.22万元，完成年初预算的94.73%，决算数小于年初预算数的主要原因是由于部分支出计入其他项，导致决算支出减少。</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41、农林水支出（类）农村综合改革（款）农村综合改革示范试点补助（项）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年初预算为0万元，支出决算为9.00万元，超额完成年初预算，决算数大于年初预算数的主要原因是由于预算项未计入，为决算支出。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42、住房保障支出（类）住房改革支出（款）住房公积金（项）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年初预算为0万元，支出决算为10.57万元，超额完成年初预算，决算数大于年初预算数的主要原因是由于预算项未计入，为决算支出。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43、灾害防治及应急管理支出（类）自然灾害救灾及恢复重建支出（款）自然灾害灾后重建补助（项）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年初预算为0万元，支出决算为4.00万元，超额完成年初预算，决算数大于年初预算数的主要原因是由于预算项未计入，为决算支出。</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44、灾害防治及应急管理支出（类）自然灾害救灾及恢复重建支出（款）其他自然灾害救灾及恢复重建支出（项）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年初预算为0万元，支出决算为11.00万元，超额完成年初预算，决算数大于年初预算数的主要原因是由于预算项未计入，为决算支出。</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2020年度财政拨款基本支出987.6</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其中：人员经费738.65万元，占基本支出的74.79%,主要包括基本工资、津贴补贴、奖金、伙食补助费、其他社会保障缴费、住房公积金、医疗费、其他工资福利支出、抚恤金、生活补助、救济费、奖励金、个人农业生产补贴、其他对个人和家庭的补助支出；公用经费24</w:t>
      </w:r>
      <w:r>
        <w:rPr>
          <w:rFonts w:hint="eastAsia" w:asciiTheme="minorEastAsia" w:hAnsiTheme="minorEastAsia" w:eastAsiaTheme="minorEastAsia"/>
          <w:sz w:val="32"/>
          <w:szCs w:val="32"/>
          <w:lang w:val="en-US" w:eastAsia="zh-CN"/>
        </w:rPr>
        <w:t>8.99</w:t>
      </w:r>
      <w:r>
        <w:rPr>
          <w:rFonts w:hint="eastAsia" w:asciiTheme="minorEastAsia" w:hAnsiTheme="minorEastAsia" w:eastAsiaTheme="minorEastAsia"/>
          <w:sz w:val="32"/>
          <w:szCs w:val="32"/>
        </w:rPr>
        <w:t>万元，占基本支出的25.21%，主要包括办公费、印刷费、咨询费、手续费、水费、电费、邮电费、取暖费、差旅费、维修（护）费、会议费、公务接待费、专用材料费、专用燃料费、劳务费、委托业务费、工会经费、福利费、公务用车运行维护费、其他交通费用、税金及附加费用、其他商品和服务。</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“三公”经费财政拨款支出预算为6.52万元，支出决算为5.80万元，完成预算的88.96%，其中：</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因公出国（境）费支出预算为0.00万元，支出决算为0.00万元，完成预算的100.00%，决算数等于预算数，与上年相比数值不变。</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公务接待费支出预算为1.52万元，支出决算为0.8万元，完成预算的52.63%，决算数小于预算数的主要原因是控制公务接待的次数与规模，与上年相比数值不变，很好的控制住公务接待的水平。</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公务用车购置费及运行维护费支出预算为5.00万元，支出决算为5.00万元，完成预算的100.00%，决算数等于预算数。与上年相比增加0.1万元，增长2.04%,增长的主要原因是防疫用车需要。</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2020年度“三公”经费财政拨款支出决算中，公务接待费支出决算0.8万元，占13.79%,因公出国（境）费支出决算0.00万元，占0.00%,公务用车购置费及运行维护费支出决算5.00万元，占86.21%。其中：</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2、公务接待费支出决算为0.8万元，全年共接待来访团组50个、来宾230人次，主要是工作业务活动发生的接待支出。</w:t>
      </w:r>
    </w:p>
    <w:p>
      <w:pPr>
        <w:adjustRightInd w:val="0"/>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3、公务用车购置费及运行维护费支出决算为5.00万元，其中：公务用车购置费0万元，更新公务用车0辆</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公务用车运行维护费5.00万元，主要是公务活动出车支出，截止2020年12月31日，我单位开支财政拨款的公务用车保有量为1辆。</w:t>
      </w:r>
    </w:p>
    <w:p>
      <w:pPr>
        <w:pStyle w:val="10"/>
        <w:rPr>
          <w:rFonts w:hAnsi="黑体"/>
          <w:b/>
          <w:sz w:val="32"/>
          <w:szCs w:val="32"/>
        </w:rPr>
      </w:pPr>
      <w:r>
        <w:rPr>
          <w:rFonts w:hint="eastAsia" w:hAnsi="黑体"/>
          <w:b/>
          <w:sz w:val="32"/>
          <w:szCs w:val="32"/>
        </w:rPr>
        <w:t>八、政府性基金预算收入支出决算情况</w:t>
      </w:r>
    </w:p>
    <w:p>
      <w:pPr>
        <w:pStyle w:val="10"/>
        <w:rPr>
          <w:rFonts w:hint="eastAsia"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2020年度政府性基金预算财政拨款收入33.43万元；年初结转和结余0.00万元；支出33.43万元，其中基本支出0.00万元，项目支出33.43万元；年末结转和结余0.00万元。</w:t>
      </w:r>
    </w:p>
    <w:p>
      <w:pPr>
        <w:pStyle w:val="10"/>
        <w:rPr>
          <w:rFonts w:hAnsi="黑体"/>
          <w:b/>
          <w:sz w:val="32"/>
          <w:szCs w:val="32"/>
        </w:rPr>
      </w:pPr>
      <w:r>
        <w:rPr>
          <w:rFonts w:hint="eastAsia" w:hAnsi="黑体"/>
          <w:b/>
          <w:sz w:val="32"/>
          <w:szCs w:val="32"/>
        </w:rPr>
        <w:t>九、关于机关运行经费支出说明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本部门2020年度机关运行经费支出24</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99</w:t>
      </w:r>
      <w:r>
        <w:rPr>
          <w:rFonts w:hint="eastAsia" w:asciiTheme="minorEastAsia" w:hAnsiTheme="minorEastAsia" w:eastAsiaTheme="minorEastAsia"/>
          <w:sz w:val="32"/>
          <w:szCs w:val="32"/>
        </w:rPr>
        <w:t>万元，比上年决算数增加41.48 万元，增长16.66%。主要原因是：由于人事调整，导致政府人员数量增加，在2020年度经费增加。</w:t>
      </w:r>
      <w:bookmarkStart w:id="3" w:name="_GoBack"/>
      <w:bookmarkEnd w:id="3"/>
    </w:p>
    <w:p>
      <w:pPr>
        <w:pStyle w:val="10"/>
        <w:rPr>
          <w:rFonts w:hAnsi="黑体"/>
          <w:b/>
          <w:sz w:val="32"/>
          <w:szCs w:val="32"/>
        </w:rPr>
      </w:pPr>
      <w:r>
        <w:rPr>
          <w:rFonts w:hint="eastAsia" w:hAnsi="黑体"/>
          <w:b/>
          <w:sz w:val="32"/>
          <w:szCs w:val="32"/>
        </w:rPr>
        <w:t>十、一般性支出情况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本部门开支会议费13.00万元，用于召开政府及村级会议，人数6500人次，内容为全体政府会议及村级党员和代表会议；开支培训费0.00万元；没有举办节庆、晚会、论坛、赛事等活动，开支0.00万元。（注：三类会议、培训活动，节庆、晚会、论坛、赛事等活动，请分项列明活动计划及经费预算情况）</w:t>
      </w:r>
    </w:p>
    <w:p>
      <w:pPr>
        <w:pStyle w:val="10"/>
        <w:rPr>
          <w:rFonts w:hAnsi="黑体"/>
          <w:b/>
          <w:sz w:val="32"/>
          <w:szCs w:val="32"/>
        </w:rPr>
      </w:pPr>
      <w:r>
        <w:rPr>
          <w:rFonts w:hint="eastAsia" w:hAnsi="黑体"/>
          <w:b/>
          <w:sz w:val="32"/>
          <w:szCs w:val="32"/>
        </w:rPr>
        <w:t>十一、关于政府采购支出说明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0.00万元，其中：政府采购货物支出0.00万元、政府采购工程支出0.00万元、政府采购服务支出0.00万元。授予中小企业合同金额0.00万元，占政府采购支出总额的0.00%，其中：授予小微企业合同金额0.00万元，占政府采购支出总额的0.00%。</w:t>
      </w:r>
    </w:p>
    <w:p>
      <w:pPr>
        <w:pStyle w:val="10"/>
        <w:rPr>
          <w:rFonts w:hAnsi="黑体"/>
          <w:b/>
          <w:sz w:val="32"/>
          <w:szCs w:val="32"/>
        </w:rPr>
      </w:pPr>
      <w:r>
        <w:rPr>
          <w:rFonts w:hint="eastAsia" w:hAnsi="黑体"/>
          <w:b/>
          <w:sz w:val="32"/>
          <w:szCs w:val="32"/>
        </w:rPr>
        <w:t>十二、关于国有资产占用情况说明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1辆，其中，主要领导干部用车0辆，机要通信用车0辆、应急保障用车0辆、执法执勤用车0辆、特种专业技术用车0辆、其他用车1辆，其他用车主要是公务用车；单位价值50万元以上通用设备0台（套）；单位价值100万元以上专用设备0台（套）。</w:t>
      </w:r>
    </w:p>
    <w:p>
      <w:pPr>
        <w:pStyle w:val="10"/>
        <w:rPr>
          <w:rFonts w:hAnsi="黑体"/>
          <w:b/>
          <w:sz w:val="32"/>
          <w:szCs w:val="32"/>
        </w:rPr>
      </w:pPr>
      <w:r>
        <w:rPr>
          <w:rFonts w:hint="eastAsia" w:hAnsi="黑体"/>
          <w:b/>
          <w:sz w:val="32"/>
          <w:szCs w:val="32"/>
        </w:rPr>
        <w:t>十三、关于2020年度预算绩效情况的说明</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为做好预算绩效管理工作，我单位重点在以下几个方面上下功夫：一是全力以赴抓好重点民生实事项目建设；二是全力以赴促进经济社会高质量发展；三是全力以赴打好三大攻坚战；四是全力以赴抓好党的建设；五是全力以赴抓好社会稳定和安全生产工作。</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本单位的绩效目标：一是确保政府正常运转，人员经费及时足额发放；</w:t>
      </w:r>
    </w:p>
    <w:p>
      <w:pPr>
        <w:pStyle w:val="1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 xml:space="preserve">二是确保村（居）正常运转，巩固基层政权建设；三是完善基础设施，提升群众满意度；四是狠抓基层党建，筑牢战斗堡垒；五是奋战脱贫攻坚，实现整体脱贫摘帽，全面决战决胜小康建设；六是抓好综合治理，保障社会稳定；七是强化安全生产，确保人民安居乐业；八是完成县委、县政府交办的其他工作。                                </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绩效评价报告以作为附件公开。</w:t>
      </w:r>
    </w:p>
    <w:p>
      <w:pPr>
        <w:pStyle w:val="10"/>
        <w:rPr>
          <w:rFonts w:hAnsi="黑体"/>
          <w:b/>
          <w:sz w:val="32"/>
          <w:szCs w:val="3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rFonts w:hint="eastAsia"/>
          <w:sz w:val="72"/>
          <w:szCs w:val="72"/>
        </w:rPr>
      </w:pPr>
    </w:p>
    <w:p>
      <w:pPr>
        <w:pStyle w:val="10"/>
        <w:jc w:val="center"/>
        <w:rPr>
          <w:rFonts w:hint="eastAsia"/>
          <w:sz w:val="72"/>
          <w:szCs w:val="72"/>
        </w:rPr>
      </w:pPr>
    </w:p>
    <w:p>
      <w:pPr>
        <w:pStyle w:val="10"/>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第四部分</w:t>
      </w:r>
    </w:p>
    <w:p>
      <w:pPr>
        <w:adjustRightInd w:val="0"/>
        <w:jc w:val="center"/>
        <w:rPr>
          <w:rFonts w:ascii="黑体" w:eastAsia="黑体" w:cs="黑体"/>
          <w:color w:val="000000"/>
          <w:kern w:val="0"/>
          <w:sz w:val="70"/>
          <w:szCs w:val="70"/>
        </w:rPr>
      </w:pPr>
    </w:p>
    <w:p>
      <w:pPr>
        <w:adjustRightInd w:val="0"/>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adjustRightInd w:val="0"/>
        <w:jc w:val="left"/>
        <w:rPr>
          <w:rFonts w:ascii="黑体" w:eastAsia="黑体" w:cs="黑体"/>
          <w:color w:val="000000"/>
          <w:kern w:val="0"/>
          <w:sz w:val="70"/>
          <w:szCs w:val="70"/>
        </w:rPr>
      </w:pPr>
      <w:r>
        <w:rPr>
          <w:rFonts w:ascii="黑体" w:eastAsia="黑体" w:cs="黑体"/>
          <w:color w:val="000000"/>
          <w:kern w:val="0"/>
          <w:sz w:val="70"/>
          <w:szCs w:val="70"/>
        </w:rPr>
        <w:br w:type="page"/>
      </w:r>
    </w:p>
    <w:p>
      <w:pPr>
        <w:adjustRightInd w:val="0"/>
        <w:ind w:firstLine="640" w:firstLineChars="200"/>
        <w:jc w:val="left"/>
        <w:rPr>
          <w:rFonts w:cs="黑体" w:asciiTheme="minorEastAsia" w:hAnsiTheme="minorEastAsia"/>
          <w:color w:val="000000"/>
          <w:kern w:val="0"/>
          <w:sz w:val="32"/>
          <w:szCs w:val="32"/>
        </w:rPr>
      </w:pPr>
    </w:p>
    <w:p>
      <w:pPr>
        <w:spacing w:line="600" w:lineRule="exact"/>
        <w:ind w:firstLine="640" w:firstLineChars="200"/>
        <w:rPr>
          <w:rFonts w:asciiTheme="majorEastAsia" w:hAnsiTheme="majorEastAsia" w:eastAsiaTheme="majorEastAsia"/>
          <w:kern w:val="0"/>
          <w:sz w:val="32"/>
          <w:szCs w:val="32"/>
        </w:rPr>
      </w:pPr>
      <w:r>
        <w:rPr>
          <w:rFonts w:hint="eastAsia" w:asciiTheme="majorEastAsia" w:hAnsiTheme="majorEastAsia" w:eastAsiaTheme="majorEastAsia"/>
          <w:b/>
          <w:bCs/>
          <w:kern w:val="0"/>
          <w:sz w:val="32"/>
          <w:szCs w:val="32"/>
        </w:rPr>
        <w:t>一般公共预算</w:t>
      </w:r>
      <w:r>
        <w:rPr>
          <w:rFonts w:asciiTheme="majorEastAsia" w:hAnsiTheme="majorEastAsia" w:eastAsiaTheme="majorEastAsia"/>
          <w:kern w:val="0"/>
          <w:sz w:val="32"/>
          <w:szCs w:val="32"/>
        </w:rPr>
        <w:t>是对以税收为主体的财政收入，安排用于保障和改善民生、推动经济社会发展、维护国家安全、维持国家机构正常运转等方面的收支预算。</w:t>
      </w:r>
    </w:p>
    <w:p>
      <w:pPr>
        <w:spacing w:line="600" w:lineRule="exact"/>
        <w:ind w:firstLine="640" w:firstLineChars="200"/>
        <w:rPr>
          <w:rFonts w:asciiTheme="majorEastAsia" w:hAnsiTheme="majorEastAsia" w:eastAsiaTheme="majorEastAsia"/>
          <w:kern w:val="0"/>
          <w:sz w:val="32"/>
          <w:szCs w:val="32"/>
        </w:rPr>
      </w:pPr>
      <w:r>
        <w:rPr>
          <w:rFonts w:hint="eastAsia" w:asciiTheme="majorEastAsia" w:hAnsiTheme="majorEastAsia" w:eastAsiaTheme="majorEastAsia"/>
          <w:b/>
          <w:bCs/>
          <w:kern w:val="0"/>
          <w:sz w:val="32"/>
          <w:szCs w:val="32"/>
        </w:rPr>
        <w:t>政府性基金预算</w:t>
      </w:r>
      <w:r>
        <w:rPr>
          <w:rFonts w:hint="eastAsia" w:asciiTheme="majorEastAsia" w:hAnsiTheme="majorEastAsia" w:eastAsiaTheme="majorEastAsia"/>
          <w:kern w:val="0"/>
          <w:sz w:val="32"/>
          <w:szCs w:val="32"/>
        </w:rPr>
        <w:t>是国家通过向社会征收以及出让土地、发行彩票等方式取得收入，并专项用于支持特定基础设施建设和社会事业发展的财政收支预算，是</w:t>
      </w:r>
      <w:r>
        <w:fldChar w:fldCharType="begin"/>
      </w:r>
      <w:r>
        <w:instrText xml:space="preserve"> HYPERLINK "https://baike.baidu.com/item/%E6%94%BF%E5%BA%9C%E9%A2%84%E7%AE%97/2407751" \t "https://baike.baidu.com/item/_blank" </w:instrText>
      </w:r>
      <w:r>
        <w:fldChar w:fldCharType="separate"/>
      </w:r>
      <w:r>
        <w:rPr>
          <w:rFonts w:asciiTheme="majorEastAsia" w:hAnsiTheme="majorEastAsia" w:eastAsiaTheme="majorEastAsia"/>
          <w:kern w:val="0"/>
          <w:sz w:val="32"/>
          <w:szCs w:val="32"/>
        </w:rPr>
        <w:t>政府预算</w:t>
      </w:r>
      <w:r>
        <w:rPr>
          <w:rFonts w:asciiTheme="majorEastAsia" w:hAnsiTheme="majorEastAsia" w:eastAsiaTheme="majorEastAsia"/>
          <w:kern w:val="0"/>
          <w:sz w:val="32"/>
          <w:szCs w:val="32"/>
        </w:rPr>
        <w:fldChar w:fldCharType="end"/>
      </w:r>
      <w:r>
        <w:rPr>
          <w:rFonts w:asciiTheme="majorEastAsia" w:hAnsiTheme="majorEastAsia" w:eastAsiaTheme="majorEastAsia"/>
          <w:kern w:val="0"/>
          <w:sz w:val="32"/>
          <w:szCs w:val="32"/>
        </w:rPr>
        <w:t>体系的重要组成部分。</w:t>
      </w:r>
    </w:p>
    <w:p>
      <w:pPr>
        <w:spacing w:line="600" w:lineRule="exact"/>
        <w:ind w:firstLine="640" w:firstLineChars="200"/>
        <w:rPr>
          <w:rFonts w:asciiTheme="majorEastAsia" w:hAnsiTheme="majorEastAsia" w:eastAsiaTheme="majorEastAsia"/>
          <w:kern w:val="0"/>
          <w:sz w:val="32"/>
          <w:szCs w:val="32"/>
        </w:rPr>
      </w:pPr>
      <w:r>
        <w:rPr>
          <w:rFonts w:hint="eastAsia" w:asciiTheme="majorEastAsia" w:hAnsiTheme="majorEastAsia" w:eastAsiaTheme="majorEastAsia"/>
          <w:b/>
          <w:bCs/>
          <w:kern w:val="0"/>
          <w:sz w:val="32"/>
          <w:szCs w:val="32"/>
        </w:rPr>
        <w:t>一般公共服务支出</w:t>
      </w:r>
      <w:r>
        <w:rPr>
          <w:rFonts w:hint="eastAsia" w:asciiTheme="majorEastAsia" w:hAnsiTheme="majorEastAsia" w:eastAsiaTheme="majorEastAsia"/>
          <w:kern w:val="0"/>
          <w:sz w:val="32"/>
          <w:szCs w:val="32"/>
        </w:rPr>
        <w:t>主要用于保障机关事业单位正常运转，支持各机关单位履行职能，保障各机关部门的项目支出需要，以及支持地方落实自主择业军转干部退役金等。</w:t>
      </w:r>
    </w:p>
    <w:p>
      <w:pPr>
        <w:spacing w:line="600" w:lineRule="exact"/>
        <w:ind w:firstLine="640" w:firstLineChars="200"/>
        <w:rPr>
          <w:rFonts w:asciiTheme="majorEastAsia" w:hAnsiTheme="majorEastAsia" w:eastAsiaTheme="majorEastAsia"/>
          <w:kern w:val="0"/>
          <w:sz w:val="32"/>
          <w:szCs w:val="32"/>
        </w:rPr>
      </w:pPr>
      <w:r>
        <w:rPr>
          <w:rFonts w:hint="eastAsia" w:asciiTheme="majorEastAsia" w:hAnsiTheme="majorEastAsia" w:eastAsiaTheme="majorEastAsia"/>
          <w:b/>
          <w:bCs/>
          <w:kern w:val="0"/>
          <w:sz w:val="32"/>
          <w:szCs w:val="32"/>
        </w:rPr>
        <w:t>三公</w:t>
      </w:r>
      <w:r>
        <w:rPr>
          <w:rFonts w:hint="eastAsia" w:asciiTheme="majorEastAsia" w:hAnsiTheme="majorEastAsia" w:eastAsiaTheme="majorEastAsia"/>
          <w:b/>
          <w:bCs/>
          <w:kern w:val="0"/>
          <w:sz w:val="32"/>
          <w:szCs w:val="32"/>
          <w:lang w:eastAsia="zh-CN"/>
        </w:rPr>
        <w:t>经</w:t>
      </w:r>
      <w:r>
        <w:rPr>
          <w:rFonts w:hint="eastAsia" w:asciiTheme="majorEastAsia" w:hAnsiTheme="majorEastAsia" w:eastAsiaTheme="majorEastAsia"/>
          <w:b/>
          <w:bCs/>
          <w:kern w:val="0"/>
          <w:sz w:val="32"/>
          <w:szCs w:val="32"/>
        </w:rPr>
        <w:t>费</w:t>
      </w:r>
      <w:r>
        <w:rPr>
          <w:rFonts w:hint="eastAsia" w:asciiTheme="majorEastAsia" w:hAnsiTheme="majorEastAsia" w:eastAsiaTheme="majorEastAsia"/>
          <w:kern w:val="0"/>
          <w:sz w:val="32"/>
          <w:szCs w:val="32"/>
        </w:rPr>
        <w:t>指政府部门人员</w:t>
      </w:r>
      <w:r>
        <w:fldChar w:fldCharType="begin"/>
      </w:r>
      <w:r>
        <w:instrText xml:space="preserve"> HYPERLINK "https://baike.baidu.com/item/%E5%9B%A0%E5%85%AC%E5%87%BA%E5%9B%BD" \t "https://baike.baidu.com/item/_blank" </w:instrText>
      </w:r>
      <w:r>
        <w:fldChar w:fldCharType="separate"/>
      </w:r>
      <w:r>
        <w:rPr>
          <w:rFonts w:asciiTheme="majorEastAsia" w:hAnsiTheme="majorEastAsia" w:eastAsiaTheme="majorEastAsia"/>
          <w:kern w:val="0"/>
          <w:sz w:val="32"/>
          <w:szCs w:val="32"/>
        </w:rPr>
        <w:t>因公出国</w:t>
      </w:r>
      <w:r>
        <w:rPr>
          <w:rFonts w:asciiTheme="majorEastAsia" w:hAnsiTheme="majorEastAsia" w:eastAsiaTheme="majorEastAsia"/>
          <w:kern w:val="0"/>
          <w:sz w:val="32"/>
          <w:szCs w:val="32"/>
        </w:rPr>
        <w:fldChar w:fldCharType="end"/>
      </w:r>
      <w:r>
        <w:rPr>
          <w:rFonts w:asciiTheme="majorEastAsia" w:hAnsiTheme="majorEastAsia" w:eastAsiaTheme="majorEastAsia"/>
          <w:kern w:val="0"/>
          <w:sz w:val="32"/>
          <w:szCs w:val="32"/>
        </w:rPr>
        <w:t>（境）经费、</w:t>
      </w:r>
      <w:r>
        <w:fldChar w:fldCharType="begin"/>
      </w:r>
      <w:r>
        <w:instrText xml:space="preserve"> HYPERLINK "https://baike.baidu.com/item/%E5%85%AC%E5%8A%A1%E8%BD%A6/10011073" \t "https://baike.baidu.com/item/_blank" </w:instrText>
      </w:r>
      <w:r>
        <w:fldChar w:fldCharType="separate"/>
      </w:r>
      <w:r>
        <w:rPr>
          <w:rFonts w:asciiTheme="majorEastAsia" w:hAnsiTheme="majorEastAsia" w:eastAsiaTheme="majorEastAsia"/>
          <w:kern w:val="0"/>
          <w:sz w:val="32"/>
          <w:szCs w:val="32"/>
        </w:rPr>
        <w:t>公务车</w:t>
      </w:r>
      <w:r>
        <w:rPr>
          <w:rFonts w:asciiTheme="majorEastAsia" w:hAnsiTheme="majorEastAsia" w:eastAsiaTheme="majorEastAsia"/>
          <w:kern w:val="0"/>
          <w:sz w:val="32"/>
          <w:szCs w:val="32"/>
        </w:rPr>
        <w:fldChar w:fldCharType="end"/>
      </w:r>
      <w:r>
        <w:rPr>
          <w:rFonts w:asciiTheme="majorEastAsia" w:hAnsiTheme="majorEastAsia" w:eastAsiaTheme="majorEastAsia"/>
          <w:kern w:val="0"/>
          <w:sz w:val="32"/>
          <w:szCs w:val="32"/>
        </w:rPr>
        <w:t>购置及运行费、公务招待费产生的消费</w:t>
      </w:r>
      <w:r>
        <w:rPr>
          <w:rFonts w:hint="eastAsia" w:asciiTheme="majorEastAsia" w:hAnsiTheme="majorEastAsia" w:eastAsiaTheme="majorEastAsia"/>
          <w:kern w:val="0"/>
          <w:sz w:val="32"/>
          <w:szCs w:val="32"/>
        </w:rPr>
        <w:t>。</w:t>
      </w:r>
      <w:r>
        <w:rPr>
          <w:rFonts w:hint="eastAsia" w:cs="黑体" w:asciiTheme="minorEastAsia" w:hAnsiTheme="minorEastAsia"/>
          <w:color w:val="000000"/>
          <w:kern w:val="0"/>
          <w:sz w:val="32"/>
          <w:szCs w:val="32"/>
        </w:rPr>
        <w:t>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pPr>
        <w:ind w:firstLine="640" w:firstLineChars="200"/>
        <w:jc w:val="left"/>
        <w:rPr>
          <w:rStyle w:val="14"/>
          <w:rFonts w:cs="Arial" w:asciiTheme="majorEastAsia" w:hAnsiTheme="majorEastAsia" w:eastAsiaTheme="majorEastAsia"/>
          <w:color w:val="333333"/>
          <w:sz w:val="32"/>
          <w:szCs w:val="32"/>
        </w:rPr>
      </w:pPr>
      <w:r>
        <w:rPr>
          <w:rFonts w:cs="Arial" w:asciiTheme="majorEastAsia" w:hAnsiTheme="majorEastAsia" w:eastAsiaTheme="majorEastAsia"/>
          <w:b/>
          <w:color w:val="333333"/>
          <w:sz w:val="32"/>
          <w:szCs w:val="32"/>
        </w:rPr>
        <w:t>机关运行经费</w:t>
      </w:r>
      <w:r>
        <w:rPr>
          <w:rFonts w:cs="Arial" w:asciiTheme="majorEastAsia" w:hAnsiTheme="majorEastAsia" w:eastAsiaTheme="majorEastAsia"/>
          <w:color w:val="333333"/>
          <w:sz w:val="32"/>
          <w:szCs w:val="32"/>
        </w:rPr>
        <w:t xml:space="preserve">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pPr>
        <w:ind w:firstLine="640" w:firstLineChars="200"/>
        <w:jc w:val="left"/>
        <w:rPr>
          <w:rFonts w:cs="黑体" w:asciiTheme="majorEastAsia" w:hAnsiTheme="majorEastAsia" w:eastAsiaTheme="majorEastAsia"/>
          <w:color w:val="000000"/>
          <w:kern w:val="0"/>
          <w:sz w:val="32"/>
          <w:szCs w:val="32"/>
        </w:rPr>
      </w:pPr>
      <w:r>
        <w:rPr>
          <w:rFonts w:hint="eastAsia" w:asciiTheme="minorEastAsia" w:hAnsiTheme="minorEastAsia"/>
          <w:b/>
          <w:sz w:val="32"/>
          <w:szCs w:val="32"/>
        </w:rPr>
        <w:t>基本支出</w:t>
      </w:r>
      <w:r>
        <w:rPr>
          <w:rFonts w:hint="eastAsia" w:asciiTheme="minorEastAsia" w:hAnsiTheme="minorEastAsia"/>
          <w:sz w:val="32"/>
          <w:szCs w:val="32"/>
        </w:rPr>
        <w:t>指部门为保障其机构正常运转、完成日常工作任务的年度基本支出，包括人员经费和公用经费两部分。</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adjustRightInd w:val="0"/>
        <w:jc w:val="center"/>
        <w:rPr>
          <w:rFonts w:ascii="黑体" w:eastAsia="黑体" w:cs="黑体"/>
          <w:color w:val="000000"/>
          <w:kern w:val="0"/>
          <w:sz w:val="70"/>
          <w:szCs w:val="70"/>
        </w:rPr>
      </w:pPr>
    </w:p>
    <w:p>
      <w:pPr>
        <w:adjustRightInd w:val="0"/>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adjustRightInd w:val="0"/>
        <w:jc w:val="left"/>
        <w:rPr>
          <w:rFonts w:ascii="黑体" w:eastAsia="黑体" w:cs="黑体"/>
          <w:color w:val="000000"/>
          <w:kern w:val="0"/>
          <w:sz w:val="70"/>
          <w:szCs w:val="70"/>
        </w:rPr>
      </w:pPr>
      <w:r>
        <w:rPr>
          <w:rFonts w:ascii="黑体" w:eastAsia="黑体" w:cs="黑体"/>
          <w:color w:val="000000"/>
          <w:kern w:val="0"/>
          <w:sz w:val="70"/>
          <w:szCs w:val="70"/>
        </w:rPr>
        <w:br w:type="page"/>
      </w:r>
    </w:p>
    <w:p>
      <w:pPr>
        <w:adjustRightInd w:val="0"/>
        <w:jc w:val="center"/>
        <w:rPr>
          <w:rFonts w:ascii="黑体" w:eastAsia="黑体" w:cs="黑体"/>
          <w:color w:val="000000"/>
          <w:kern w:val="0"/>
          <w:sz w:val="70"/>
          <w:szCs w:val="70"/>
        </w:rPr>
      </w:pPr>
    </w:p>
    <w:p>
      <w:pPr>
        <w:jc w:val="center"/>
        <w:rPr>
          <w:rFonts w:hint="eastAsia" w:ascii="方正大标宋简体" w:eastAsia="方正大标宋简体"/>
          <w:sz w:val="44"/>
          <w:szCs w:val="44"/>
        </w:rPr>
      </w:pPr>
      <w:r>
        <w:rPr>
          <w:rFonts w:hint="eastAsia" w:ascii="方正大标宋简体" w:eastAsia="方正大标宋简体"/>
          <w:sz w:val="44"/>
          <w:szCs w:val="44"/>
        </w:rPr>
        <w:t>2020年统溪河镇部门整体支出绩效</w:t>
      </w:r>
    </w:p>
    <w:p>
      <w:pPr>
        <w:jc w:val="center"/>
        <w:rPr>
          <w:rFonts w:hint="eastAsia" w:ascii="方正大标宋简体" w:eastAsia="方正大标宋简体"/>
          <w:sz w:val="44"/>
          <w:szCs w:val="44"/>
        </w:rPr>
      </w:pPr>
      <w:r>
        <w:rPr>
          <w:rFonts w:hint="eastAsia" w:ascii="方正大标宋简体" w:eastAsia="方正大标宋简体"/>
          <w:sz w:val="44"/>
          <w:szCs w:val="44"/>
        </w:rPr>
        <w:t>自评报告</w:t>
      </w:r>
    </w:p>
    <w:p>
      <w:pPr>
        <w:widowControl/>
        <w:shd w:val="clear" w:color="auto" w:fill="FFFFFF"/>
        <w:ind w:firstLine="640"/>
        <w:rPr>
          <w:rFonts w:hint="eastAsia" w:ascii="楷体" w:hAnsi="楷体" w:eastAsia="楷体"/>
          <w:b/>
          <w:spacing w:val="-2"/>
          <w:sz w:val="32"/>
          <w:szCs w:val="32"/>
        </w:rPr>
      </w:pPr>
    </w:p>
    <w:p>
      <w:pPr>
        <w:shd w:val="clear" w:color="auto" w:fill="FFFFFF"/>
        <w:ind w:firstLine="640"/>
        <w:rPr>
          <w:rFonts w:hint="eastAsia" w:ascii="黑体" w:hAnsi="黑体" w:eastAsia="黑体"/>
          <w:spacing w:val="-2"/>
          <w:sz w:val="32"/>
          <w:szCs w:val="21"/>
        </w:rPr>
      </w:pPr>
      <w:r>
        <w:rPr>
          <w:rFonts w:hint="eastAsia" w:ascii="黑体" w:hAnsi="黑体" w:eastAsia="黑体"/>
          <w:spacing w:val="-2"/>
          <w:sz w:val="32"/>
          <w:szCs w:val="32"/>
        </w:rPr>
        <w:t>一、部门概况</w:t>
      </w:r>
    </w:p>
    <w:p>
      <w:pPr>
        <w:shd w:val="clear" w:color="auto" w:fill="FFFFFF"/>
        <w:ind w:firstLine="640"/>
        <w:rPr>
          <w:rFonts w:hint="eastAsia" w:ascii="仿宋_GB2312" w:hAnsi="仿宋" w:eastAsia="仿宋_GB2312"/>
          <w:spacing w:val="-2"/>
          <w:sz w:val="32"/>
          <w:szCs w:val="32"/>
        </w:rPr>
      </w:pPr>
      <w:r>
        <w:rPr>
          <w:rFonts w:hint="eastAsia" w:ascii="仿宋_GB2312" w:hAnsi="仿宋" w:eastAsia="仿宋_GB2312"/>
          <w:spacing w:val="-2"/>
          <w:sz w:val="32"/>
          <w:szCs w:val="32"/>
        </w:rPr>
        <w:t>（一）部门基本情况</w:t>
      </w:r>
    </w:p>
    <w:p>
      <w:pPr>
        <w:shd w:val="clear" w:color="auto" w:fill="FFFFFF"/>
        <w:ind w:firstLine="640"/>
        <w:rPr>
          <w:rFonts w:hint="eastAsia" w:ascii="仿宋" w:hAnsi="仿宋" w:eastAsia="仿宋"/>
          <w:spacing w:val="-2"/>
          <w:sz w:val="28"/>
          <w:szCs w:val="28"/>
        </w:rPr>
      </w:pPr>
      <w:r>
        <w:rPr>
          <w:rFonts w:hint="eastAsia" w:ascii="仿宋" w:hAnsi="仿宋" w:eastAsia="仿宋"/>
          <w:spacing w:val="-2"/>
          <w:sz w:val="28"/>
          <w:szCs w:val="28"/>
        </w:rPr>
        <w:t>本单位是行政单位，内设机构8个；分别是：党政办公室、党建办公室、扶贫开发办公室、自然资源和生态环境办公室、农业综合服务中心、政务服务中心、社会事务综合服务中心、安监站。核定编制75名，实有人数71人，其中：行政人员31人、事业人员40人、工勤人员0人、离退休人员0人。</w:t>
      </w:r>
    </w:p>
    <w:p>
      <w:pPr>
        <w:shd w:val="clear" w:color="auto" w:fill="FFFFFF"/>
        <w:ind w:firstLine="640"/>
        <w:rPr>
          <w:rFonts w:hint="eastAsia" w:ascii="仿宋" w:hAnsi="仿宋" w:eastAsia="仿宋"/>
          <w:spacing w:val="-2"/>
          <w:sz w:val="28"/>
          <w:szCs w:val="28"/>
        </w:rPr>
      </w:pPr>
      <w:r>
        <w:rPr>
          <w:rFonts w:hint="eastAsia" w:ascii="仿宋" w:hAnsi="仿宋" w:eastAsia="仿宋"/>
          <w:spacing w:val="-2"/>
          <w:sz w:val="28"/>
          <w:szCs w:val="28"/>
        </w:rPr>
        <w:t>1、制定和组织实施经济、科技和社会发展计划，制定产业结构调整方案，组织指导好各产业生产，协调好本乡与外地区的经济交流与合作，抓好人才引进项目开发，不断培育市场体系，组织经济运行，促进经济发展。</w:t>
      </w:r>
    </w:p>
    <w:p>
      <w:pPr>
        <w:shd w:val="clear" w:color="auto" w:fill="FFFFFF"/>
        <w:ind w:firstLine="640"/>
        <w:rPr>
          <w:rFonts w:hint="eastAsia" w:ascii="仿宋" w:hAnsi="仿宋" w:eastAsia="仿宋"/>
          <w:spacing w:val="-2"/>
          <w:sz w:val="28"/>
          <w:szCs w:val="28"/>
        </w:rPr>
      </w:pPr>
      <w:r>
        <w:rPr>
          <w:rFonts w:hint="eastAsia" w:ascii="仿宋" w:hAnsi="仿宋" w:eastAsia="仿宋"/>
          <w:spacing w:val="-2"/>
          <w:sz w:val="28"/>
          <w:szCs w:val="28"/>
        </w:rPr>
        <w:t>2、制定并组织实施乡村建设规划，部署重点工程建设，地方道路建设及公共设施，水利设施的管理，负责土地、林木、水等自然资源和生态环境的保护，做好护林防火工作。</w:t>
      </w:r>
    </w:p>
    <w:p>
      <w:pPr>
        <w:shd w:val="clear" w:color="auto" w:fill="FFFFFF"/>
        <w:ind w:firstLine="640"/>
        <w:rPr>
          <w:rFonts w:hint="eastAsia" w:ascii="仿宋" w:hAnsi="仿宋" w:eastAsia="仿宋"/>
          <w:spacing w:val="-2"/>
          <w:sz w:val="28"/>
          <w:szCs w:val="28"/>
        </w:rPr>
      </w:pPr>
      <w:r>
        <w:rPr>
          <w:rFonts w:hint="eastAsia" w:ascii="仿宋" w:hAnsi="仿宋" w:eastAsia="仿宋"/>
          <w:spacing w:val="-2"/>
          <w:sz w:val="28"/>
          <w:szCs w:val="28"/>
        </w:rPr>
        <w:t>3、负责本行政区域内的民政、计划生育、文化教育、卫生、体育等社会公益事业的综合性工作，维护一切经济单位和个人的正当经济权益，取缔非法经济活动，调解和处理民事纠纷，打击刑事犯罪维护社会稳定。</w:t>
      </w:r>
    </w:p>
    <w:p>
      <w:pPr>
        <w:shd w:val="clear" w:color="auto" w:fill="FFFFFF"/>
        <w:ind w:firstLine="640"/>
        <w:rPr>
          <w:rFonts w:hint="eastAsia" w:ascii="仿宋" w:hAnsi="仿宋" w:eastAsia="仿宋"/>
          <w:spacing w:val="-2"/>
          <w:sz w:val="28"/>
          <w:szCs w:val="28"/>
        </w:rPr>
      </w:pPr>
      <w:r>
        <w:rPr>
          <w:rFonts w:hint="eastAsia" w:ascii="仿宋" w:hAnsi="仿宋" w:eastAsia="仿宋"/>
          <w:spacing w:val="-2"/>
          <w:sz w:val="28"/>
          <w:szCs w:val="28"/>
        </w:rPr>
        <w:t>4、按计划组织本级财政收入的征收，完成国家财政计划，管好财政资金，增强财政实力。</w:t>
      </w:r>
    </w:p>
    <w:p>
      <w:pPr>
        <w:shd w:val="clear" w:color="auto" w:fill="FFFFFF"/>
        <w:ind w:firstLine="640"/>
        <w:rPr>
          <w:rFonts w:hint="eastAsia" w:ascii="仿宋" w:hAnsi="仿宋" w:eastAsia="仿宋"/>
          <w:spacing w:val="-2"/>
          <w:sz w:val="28"/>
          <w:szCs w:val="28"/>
        </w:rPr>
      </w:pPr>
      <w:r>
        <w:rPr>
          <w:rFonts w:hint="eastAsia" w:ascii="仿宋" w:hAnsi="仿宋" w:eastAsia="仿宋"/>
          <w:spacing w:val="-2"/>
          <w:sz w:val="28"/>
          <w:szCs w:val="28"/>
        </w:rPr>
        <w:t>5、抓好精神文明建设，丰富群众文化生活，提倡移风易俗，反对封建迷信，破除陈规陋习，树立社会主义新风尚。</w:t>
      </w:r>
    </w:p>
    <w:p>
      <w:pPr>
        <w:shd w:val="clear" w:color="auto" w:fill="FFFFFF"/>
        <w:ind w:firstLine="640"/>
        <w:rPr>
          <w:rFonts w:hint="eastAsia" w:ascii="仿宋" w:hAnsi="仿宋" w:eastAsia="仿宋"/>
          <w:spacing w:val="-2"/>
          <w:sz w:val="28"/>
          <w:szCs w:val="28"/>
        </w:rPr>
      </w:pPr>
      <w:r>
        <w:rPr>
          <w:rFonts w:hint="eastAsia" w:ascii="仿宋" w:hAnsi="仿宋" w:eastAsia="仿宋"/>
          <w:spacing w:val="-2"/>
          <w:sz w:val="28"/>
          <w:szCs w:val="28"/>
        </w:rPr>
        <w:t>　6、完成上级党委、政府交办的其它事项。</w:t>
      </w:r>
    </w:p>
    <w:p>
      <w:pPr>
        <w:numPr>
          <w:ilvl w:val="0"/>
          <w:numId w:val="2"/>
        </w:numPr>
        <w:shd w:val="clear" w:color="auto" w:fill="FFFFFF"/>
        <w:spacing w:line="640" w:lineRule="exact"/>
        <w:ind w:firstLine="640"/>
        <w:rPr>
          <w:rFonts w:ascii="仿宋_GB2312" w:hAnsi="仿宋" w:eastAsia="仿宋_GB2312"/>
          <w:bCs/>
          <w:spacing w:val="-2"/>
          <w:sz w:val="32"/>
          <w:szCs w:val="32"/>
        </w:rPr>
      </w:pPr>
      <w:r>
        <w:rPr>
          <w:rFonts w:hint="eastAsia" w:ascii="仿宋_GB2312" w:hAnsi="仿宋" w:eastAsia="仿宋_GB2312"/>
          <w:bCs/>
          <w:spacing w:val="-2"/>
          <w:sz w:val="32"/>
          <w:szCs w:val="32"/>
        </w:rPr>
        <w:t>部门整体支出总体情况</w:t>
      </w:r>
    </w:p>
    <w:p>
      <w:pPr>
        <w:shd w:val="clear" w:color="auto" w:fill="FFFFFF"/>
        <w:spacing w:line="640" w:lineRule="exact"/>
        <w:ind w:firstLine="552" w:firstLineChars="200"/>
        <w:rPr>
          <w:rFonts w:hint="eastAsia" w:ascii="仿宋" w:hAnsi="仿宋" w:eastAsia="仿宋"/>
          <w:spacing w:val="-2"/>
          <w:sz w:val="28"/>
          <w:szCs w:val="28"/>
        </w:rPr>
      </w:pPr>
      <w:r>
        <w:rPr>
          <w:rFonts w:hint="eastAsia" w:ascii="仿宋" w:hAnsi="仿宋" w:eastAsia="仿宋"/>
          <w:spacing w:val="-2"/>
          <w:sz w:val="28"/>
          <w:szCs w:val="28"/>
        </w:rPr>
        <w:t>2020年度财政拨款性收入1291.35万元，支出1291.35万元，其中基本支出987.65万元，主要用于保障部门正常运转的日常支出，包括基本工资、津贴补贴等人员经费以及办公费、水电费、差旅费等日常公用经费；项目支出303.7万元，主要用于基本建设类项目。</w:t>
      </w:r>
    </w:p>
    <w:p>
      <w:pPr>
        <w:shd w:val="clear" w:color="auto" w:fill="FFFFFF"/>
        <w:ind w:firstLine="640"/>
        <w:rPr>
          <w:rFonts w:hint="eastAsia" w:ascii="黑体" w:hAnsi="黑体" w:eastAsia="黑体"/>
          <w:spacing w:val="-2"/>
          <w:sz w:val="32"/>
          <w:szCs w:val="32"/>
        </w:rPr>
      </w:pPr>
      <w:r>
        <w:rPr>
          <w:rFonts w:hint="eastAsia" w:ascii="黑体" w:hAnsi="黑体" w:eastAsia="黑体"/>
          <w:spacing w:val="-2"/>
          <w:sz w:val="32"/>
          <w:szCs w:val="32"/>
        </w:rPr>
        <w:t>二、部门整体支出管理及使用情况</w:t>
      </w:r>
    </w:p>
    <w:p>
      <w:pPr>
        <w:shd w:val="clear" w:color="auto" w:fill="FFFFFF"/>
        <w:ind w:firstLine="643"/>
        <w:rPr>
          <w:rFonts w:hint="eastAsia" w:ascii="宋体" w:hAnsi="宋体"/>
          <w:b/>
          <w:spacing w:val="-2"/>
          <w:sz w:val="28"/>
          <w:szCs w:val="28"/>
        </w:rPr>
      </w:pPr>
      <w:r>
        <w:rPr>
          <w:rFonts w:hint="eastAsia" w:ascii="宋体" w:hAnsi="宋体"/>
          <w:b/>
          <w:spacing w:val="-2"/>
          <w:sz w:val="28"/>
          <w:szCs w:val="28"/>
        </w:rPr>
        <w:t>（一）基本支出</w:t>
      </w:r>
    </w:p>
    <w:p>
      <w:pPr>
        <w:pStyle w:val="5"/>
        <w:widowControl/>
        <w:ind w:firstLine="643"/>
        <w:jc w:val="both"/>
        <w:rPr>
          <w:rFonts w:ascii="仿宋" w:hAnsi="仿宋" w:eastAsia="仿宋"/>
          <w:color w:val="333333"/>
          <w:sz w:val="28"/>
          <w:szCs w:val="28"/>
        </w:rPr>
      </w:pPr>
      <w:r>
        <w:rPr>
          <w:rFonts w:hint="eastAsia" w:ascii="仿宋" w:hAnsi="仿宋" w:eastAsia="仿宋" w:cs="仿宋"/>
          <w:color w:val="333333"/>
          <w:sz w:val="28"/>
          <w:szCs w:val="28"/>
        </w:rPr>
        <w:t>自实行国库集中核算后，我镇除在县财政支付局设立的资金代管账户和经批准保留的存款账户外，不再开设其他任何账户。</w:t>
      </w:r>
    </w:p>
    <w:p>
      <w:pPr>
        <w:pStyle w:val="5"/>
        <w:widowControl/>
        <w:ind w:firstLine="640"/>
        <w:jc w:val="both"/>
        <w:rPr>
          <w:rFonts w:hint="eastAsia" w:ascii="仿宋" w:hAnsi="仿宋" w:eastAsia="仿宋" w:cs="仿宋"/>
          <w:color w:val="333333"/>
          <w:sz w:val="28"/>
          <w:szCs w:val="28"/>
        </w:rPr>
      </w:pPr>
      <w:r>
        <w:rPr>
          <w:rFonts w:hint="eastAsia" w:ascii="仿宋" w:hAnsi="仿宋" w:eastAsia="仿宋" w:cs="仿宋"/>
          <w:color w:val="333333"/>
          <w:sz w:val="28"/>
          <w:szCs w:val="28"/>
        </w:rPr>
        <w:t>2020年本单位全年经费987.65万元，包括公共财政拨款954.22万元和政府性基金拨款33.43万元。其中（1）工资福利支出540.55万元，主要是用于机关和中心在职和提前退休人员的工资，按规定发放的奖金及医保工伤等费用；（2）商品服务支出249万元，主要是用于镇政府、各部门行政运行、党建、扶贫和日常开支等；（3）对个人和家庭补助支出198.1万元。</w:t>
      </w:r>
    </w:p>
    <w:p>
      <w:pPr>
        <w:pStyle w:val="5"/>
        <w:widowControl/>
        <w:ind w:firstLine="640"/>
        <w:jc w:val="both"/>
        <w:rPr>
          <w:rFonts w:hint="eastAsia" w:ascii="仿宋" w:hAnsi="仿宋" w:eastAsia="仿宋" w:cs="仿宋"/>
          <w:color w:val="333333"/>
          <w:sz w:val="28"/>
          <w:szCs w:val="28"/>
        </w:rPr>
      </w:pPr>
      <w:r>
        <w:rPr>
          <w:rFonts w:hint="eastAsia" w:ascii="仿宋" w:hAnsi="仿宋" w:eastAsia="仿宋" w:cs="仿宋"/>
          <w:color w:val="333333"/>
          <w:sz w:val="28"/>
          <w:szCs w:val="28"/>
        </w:rPr>
        <w:t>2020年日常公用经费中，办公费、印刷费38.05万元；水费、电费、差旅费22.3万元；会议及培训费用13万元。这些费用都包括村级日常经费开支。政府部门会议费用严格控制在厉行节约控制数之内。</w:t>
      </w:r>
    </w:p>
    <w:p>
      <w:pPr>
        <w:shd w:val="clear" w:color="auto" w:fill="FFFFFF"/>
        <w:spacing w:line="640" w:lineRule="exact"/>
        <w:ind w:firstLine="640"/>
        <w:rPr>
          <w:rFonts w:ascii="仿宋" w:hAnsi="仿宋" w:eastAsia="仿宋"/>
          <w:spacing w:val="-2"/>
          <w:sz w:val="28"/>
          <w:szCs w:val="28"/>
        </w:rPr>
      </w:pPr>
      <w:r>
        <w:rPr>
          <w:rFonts w:hint="eastAsia" w:ascii="仿宋" w:hAnsi="仿宋" w:eastAsia="仿宋" w:cs="仿宋"/>
          <w:color w:val="333333"/>
          <w:sz w:val="28"/>
          <w:szCs w:val="28"/>
        </w:rPr>
        <w:t>本单位针对“三公”经费的支出管理，制定了专门的管理办法，严格按照中央八项规定执行，将“三公”经费严格控制在指标之内，其中：2020年公务接待预算指标为1.62万元，实际支出0.8万元；车辆运行经费预算指标数7.42万元，实际支出5万元；无出国经费。</w:t>
      </w:r>
      <w:r>
        <w:rPr>
          <w:rFonts w:ascii="仿宋" w:hAnsi="仿宋" w:eastAsia="仿宋"/>
          <w:color w:val="333333"/>
          <w:sz w:val="28"/>
          <w:szCs w:val="28"/>
        </w:rPr>
        <w:t xml:space="preserve"> </w:t>
      </w:r>
      <w:r>
        <w:rPr>
          <w:rFonts w:hint="eastAsia" w:ascii="仿宋" w:hAnsi="仿宋" w:eastAsia="仿宋"/>
          <w:spacing w:val="-2"/>
          <w:sz w:val="28"/>
          <w:szCs w:val="28"/>
        </w:rPr>
        <w:t>2020年我镇坚持贯彻落实中央“八项规定”和省委“九条规定”，集中整治形式主义、官僚主义，严格按溆财行〔2018〕27号文件安排公务活动用餐，规范公务用车，做到办公、住房不超标，精简会议，厉行勤俭节约。严格执行部门预算，部门整体公用支出实现了有效压减，降低了行政运行成本，提高了资金的使用率。</w:t>
      </w:r>
    </w:p>
    <w:p>
      <w:pPr>
        <w:shd w:val="clear" w:color="auto" w:fill="FFFFFF"/>
        <w:ind w:firstLine="643"/>
        <w:rPr>
          <w:rFonts w:hint="eastAsia" w:ascii="宋体" w:hAnsi="宋体"/>
          <w:b/>
          <w:spacing w:val="-2"/>
          <w:sz w:val="28"/>
          <w:szCs w:val="28"/>
        </w:rPr>
      </w:pPr>
      <w:r>
        <w:rPr>
          <w:rFonts w:hint="eastAsia" w:ascii="宋体" w:hAnsi="宋体"/>
          <w:b/>
          <w:spacing w:val="-2"/>
          <w:sz w:val="28"/>
          <w:szCs w:val="28"/>
        </w:rPr>
        <w:t>（二）专项支出</w:t>
      </w:r>
    </w:p>
    <w:p>
      <w:pPr>
        <w:shd w:val="clear" w:color="auto" w:fill="FFFFFF"/>
        <w:ind w:firstLine="640"/>
        <w:rPr>
          <w:rFonts w:hint="eastAsia" w:ascii="仿宋" w:hAnsi="仿宋" w:eastAsia="仿宋"/>
          <w:spacing w:val="-2"/>
          <w:sz w:val="28"/>
          <w:szCs w:val="28"/>
        </w:rPr>
      </w:pPr>
      <w:r>
        <w:rPr>
          <w:rFonts w:hint="eastAsia" w:ascii="仿宋" w:hAnsi="仿宋" w:eastAsia="仿宋"/>
          <w:spacing w:val="-2"/>
          <w:sz w:val="28"/>
          <w:szCs w:val="28"/>
        </w:rPr>
        <w:t>1、项目资金2020年总支出为303.7万元，其中包括工资福利性支出7.83万元，商品服务开支10万元，对个人和家庭补助支出9.52万元，其他资本性开支276.35万元。其资金来源均为财政拨款，无群众自筹资金。所有开支均按照我单位财务管理制度执行，资金的使用严格把关。</w:t>
      </w:r>
    </w:p>
    <w:p>
      <w:pPr>
        <w:shd w:val="clear" w:color="auto" w:fill="FFFFFF"/>
        <w:ind w:firstLine="640"/>
        <w:rPr>
          <w:rFonts w:hint="eastAsia" w:ascii="仿宋" w:hAnsi="仿宋" w:eastAsia="仿宋"/>
          <w:spacing w:val="-2"/>
          <w:sz w:val="28"/>
          <w:szCs w:val="28"/>
        </w:rPr>
      </w:pPr>
      <w:r>
        <w:rPr>
          <w:rFonts w:hint="eastAsia" w:ascii="仿宋" w:hAnsi="仿宋" w:eastAsia="仿宋"/>
          <w:spacing w:val="-2"/>
          <w:sz w:val="28"/>
          <w:szCs w:val="28"/>
        </w:rPr>
        <w:t>2、专项资金分为一般公共服务开支20.57万元、公共安全支出4.48万元、节能环保支出9.4万元、城乡社区支出14.85万元、农林水支出214.67万元、其他支出33.43万元、灾害防治及应急管理支出4万元。其中城乡社区支出中小城镇基础设施建设14.85万元；农林水支出分为农业农村2万元，水利支出2万元，扶贫支出210.67万元，共计14个扶贫项目，包括农村基础设施建设13个项目，计131.47万元，生产发展1各项目，计79.2万元。</w:t>
      </w:r>
    </w:p>
    <w:p>
      <w:pPr>
        <w:ind w:firstLine="552" w:firstLineChars="200"/>
        <w:rPr>
          <w:rFonts w:hint="eastAsia" w:ascii="仿宋" w:hAnsi="仿宋" w:eastAsia="仿宋"/>
          <w:sz w:val="28"/>
          <w:szCs w:val="28"/>
        </w:rPr>
      </w:pPr>
      <w:r>
        <w:rPr>
          <w:rFonts w:hint="eastAsia" w:ascii="仿宋" w:hAnsi="仿宋" w:eastAsia="仿宋"/>
          <w:spacing w:val="-2"/>
          <w:sz w:val="28"/>
          <w:szCs w:val="28"/>
        </w:rPr>
        <w:t>3、应对专项资金管控，我镇</w:t>
      </w:r>
      <w:r>
        <w:rPr>
          <w:rFonts w:hint="eastAsia" w:ascii="仿宋" w:hAnsi="仿宋" w:eastAsia="仿宋"/>
          <w:sz w:val="28"/>
          <w:szCs w:val="28"/>
        </w:rPr>
        <w:t>建立并完善对项目的后续跟踪长效机制。对获支持项目进行长效后续的跟踪以便及时、清晰地了解项目后续的动态及较为详细的情况。严格审查和监督项目资金的使用，严格把关贫困户资格以及扶贫产业。依据法律和文件制度规定，按要求正确发放和使用专项资金。明确项目资金的使用范围，严格申请程序和标准。申请专项资金的申报主体应当保证申报材料的完整性、真实性和合法性，并提前对项目进行预测，不得以虚报、冒领、伪造等手段骗取专项资金。加大对项目的监督，督促项目按时开工、完成。以便尽快产生经济效益，尽可能早的建设好基础设施以投入使用，尽可能早的得到应有的效果以实现效益最大化。</w:t>
      </w:r>
    </w:p>
    <w:p>
      <w:pPr>
        <w:pStyle w:val="5"/>
        <w:widowControl/>
        <w:numPr>
          <w:ilvl w:val="0"/>
          <w:numId w:val="3"/>
        </w:numPr>
        <w:ind w:firstLine="640" w:firstLineChars="200"/>
        <w:jc w:val="both"/>
        <w:rPr>
          <w:rFonts w:ascii="黑体" w:hAnsi="宋体" w:eastAsia="黑体" w:cs="黑体"/>
          <w:color w:val="333333"/>
          <w:sz w:val="32"/>
          <w:szCs w:val="32"/>
        </w:rPr>
      </w:pPr>
      <w:r>
        <w:rPr>
          <w:rFonts w:hint="eastAsia" w:ascii="黑体" w:hAnsi="宋体" w:eastAsia="黑体" w:cs="黑体"/>
          <w:color w:val="333333"/>
          <w:sz w:val="32"/>
          <w:szCs w:val="32"/>
        </w:rPr>
        <w:t>资产管理情况</w:t>
      </w:r>
    </w:p>
    <w:p>
      <w:pPr>
        <w:pStyle w:val="5"/>
        <w:widowControl/>
        <w:ind w:firstLine="560" w:firstLineChars="200"/>
        <w:jc w:val="both"/>
        <w:rPr>
          <w:rFonts w:ascii="仿宋" w:hAnsi="仿宋" w:eastAsia="仿宋" w:cs="仿宋"/>
          <w:color w:val="333333"/>
          <w:sz w:val="28"/>
          <w:szCs w:val="28"/>
        </w:rPr>
      </w:pPr>
      <w:r>
        <w:rPr>
          <w:rFonts w:hint="eastAsia" w:ascii="仿宋" w:hAnsi="仿宋" w:eastAsia="仿宋" w:cs="仿宋"/>
          <w:color w:val="333333"/>
          <w:sz w:val="28"/>
          <w:szCs w:val="28"/>
        </w:rPr>
        <w:t>我镇严格执行资产管理制度，对单位确需购置的固定资产，由使用部门提出申请，分管领导签暑“拟同意购买”的意见后，报分管财务领导和主要领导审批决定。对属于政府采购的项目必须实行政府采购，采购与验收实行专人负责，对大宗、贵重物品，领导亲自参与验收。固定资产的处置、报废由物品使用人申报，经分管领导审批，报上级财政部门审批后方可处置，办公室负责傲好资产核销。加强对固定资产的日常管理，单位每年进行一次财产物资的清查盘点工作，并建立账册，做到账实相符。对公务用车等重要财产实行保险制度，统一由财政部门实行政府采购集中保险。</w:t>
      </w:r>
    </w:p>
    <w:p>
      <w:pPr>
        <w:shd w:val="clear" w:color="auto" w:fill="FFFFFF"/>
        <w:ind w:firstLine="640"/>
        <w:rPr>
          <w:rFonts w:hint="eastAsia" w:ascii="黑体" w:hAnsi="黑体" w:eastAsia="黑体"/>
          <w:spacing w:val="-2"/>
          <w:sz w:val="32"/>
          <w:szCs w:val="32"/>
        </w:rPr>
      </w:pPr>
      <w:r>
        <w:rPr>
          <w:rFonts w:hint="eastAsia" w:ascii="黑体" w:hAnsi="黑体" w:eastAsia="黑体"/>
          <w:spacing w:val="-2"/>
          <w:sz w:val="32"/>
          <w:szCs w:val="32"/>
        </w:rPr>
        <w:t>五、部门整体支出绩效情况</w:t>
      </w:r>
    </w:p>
    <w:p>
      <w:pPr>
        <w:pStyle w:val="5"/>
        <w:widowControl/>
        <w:ind w:firstLine="640"/>
        <w:jc w:val="both"/>
        <w:rPr>
          <w:rFonts w:ascii="仿宋" w:hAnsi="仿宋" w:eastAsia="仿宋"/>
          <w:color w:val="333333"/>
          <w:sz w:val="28"/>
          <w:szCs w:val="28"/>
        </w:rPr>
      </w:pPr>
      <w:r>
        <w:rPr>
          <w:rFonts w:hint="eastAsia" w:ascii="仿宋" w:hAnsi="仿宋" w:eastAsia="仿宋" w:cs="仿宋"/>
          <w:color w:val="333333"/>
          <w:sz w:val="28"/>
          <w:szCs w:val="28"/>
        </w:rPr>
        <w:t>2020年，整体支出情况较好，预算编制比较科学，民主理财、公开理财氛围浓厚，财政财务制度健全且执行情况良好。在职责履行上收效较为明显，资金投入取得了较好的效益，为全镇工作顺利开展提供了有效保障。</w:t>
      </w:r>
    </w:p>
    <w:p>
      <w:pPr>
        <w:pStyle w:val="5"/>
        <w:widowControl/>
        <w:ind w:firstLine="560" w:firstLineChars="200"/>
        <w:jc w:val="both"/>
        <w:rPr>
          <w:rFonts w:ascii="仿宋" w:hAnsi="仿宋" w:eastAsia="仿宋" w:cs="仿宋"/>
          <w:color w:val="333333"/>
          <w:sz w:val="28"/>
          <w:szCs w:val="28"/>
        </w:rPr>
      </w:pPr>
      <w:r>
        <w:rPr>
          <w:rFonts w:hint="eastAsia" w:ascii="仿宋" w:hAnsi="仿宋" w:eastAsia="仿宋" w:cs="仿宋"/>
          <w:color w:val="333333"/>
          <w:sz w:val="28"/>
          <w:szCs w:val="28"/>
        </w:rPr>
        <w:t>严格举措，提高支出经济效益。2020年，我镇严格遵守中央“八项规定”、省委“九条规定”和有关财经纪律，“三公”经费支出严谨。合理搭配各项支出比例，使各部门支出使用充分，不浪费、不拮据，充分发挥好各部门职能，全心全意为老百姓服务。各部门各司其职，狠抓落实，相互配合，使绩效考核目标任务圆满完成。</w:t>
      </w:r>
    </w:p>
    <w:p>
      <w:pPr>
        <w:pStyle w:val="5"/>
        <w:widowControl/>
        <w:ind w:firstLine="480"/>
        <w:jc w:val="both"/>
        <w:rPr>
          <w:rFonts w:ascii="仿宋" w:hAnsi="仿宋" w:eastAsia="仿宋"/>
          <w:color w:val="333333"/>
          <w:sz w:val="28"/>
          <w:szCs w:val="28"/>
        </w:rPr>
      </w:pPr>
      <w:r>
        <w:rPr>
          <w:rFonts w:hint="eastAsia" w:ascii="仿宋" w:hAnsi="仿宋" w:eastAsia="仿宋" w:cs="仿宋"/>
          <w:color w:val="333333"/>
          <w:sz w:val="28"/>
          <w:szCs w:val="28"/>
        </w:rPr>
        <w:t>（1）脱贫攻坚</w:t>
      </w:r>
    </w:p>
    <w:p>
      <w:pPr>
        <w:pStyle w:val="5"/>
        <w:widowControl/>
        <w:ind w:firstLine="640"/>
        <w:jc w:val="both"/>
        <w:rPr>
          <w:rFonts w:hint="eastAsia" w:ascii="仿宋" w:hAnsi="仿宋" w:eastAsia="仿宋" w:cs="仿宋"/>
          <w:color w:val="333333"/>
          <w:sz w:val="28"/>
          <w:szCs w:val="28"/>
        </w:rPr>
      </w:pPr>
      <w:r>
        <w:rPr>
          <w:rFonts w:hint="eastAsia" w:ascii="仿宋" w:hAnsi="仿宋" w:eastAsia="仿宋" w:cs="仿宋"/>
          <w:color w:val="333333"/>
          <w:sz w:val="28"/>
          <w:szCs w:val="28"/>
        </w:rPr>
        <w:t>一是加强组织领导、明确责任。明确镇党委书记刘中华扶贫工作第一责任人，镇长谭波为第二责任人，党委副书记袁松辉为第三责任人。明确驻村扶贫为2020年度重点工作，确定各驻村干部及领导在村工作时间，精准扶贫扎实推进，让各项任务目标落到实处。</w:t>
      </w:r>
    </w:p>
    <w:p>
      <w:pPr>
        <w:pStyle w:val="5"/>
        <w:widowControl/>
        <w:ind w:firstLine="640"/>
        <w:jc w:val="both"/>
        <w:rPr>
          <w:rFonts w:hint="eastAsia" w:ascii="仿宋" w:hAnsi="仿宋" w:eastAsia="仿宋" w:cs="仿宋"/>
          <w:color w:val="333333"/>
          <w:sz w:val="28"/>
          <w:szCs w:val="28"/>
        </w:rPr>
      </w:pPr>
      <w:r>
        <w:rPr>
          <w:rFonts w:hint="eastAsia" w:ascii="仿宋" w:hAnsi="仿宋" w:eastAsia="仿宋" w:cs="仿宋"/>
          <w:color w:val="333333"/>
          <w:sz w:val="28"/>
          <w:szCs w:val="28"/>
        </w:rPr>
        <w:t>二是让政府干部及各村帮扶工作队对全镇贫困户全面走访，充分了解贫困户的难处、急处。积极反应给各村驻村队长，在协调全镇做统筹全面解决。</w:t>
      </w:r>
    </w:p>
    <w:p>
      <w:pPr>
        <w:pStyle w:val="5"/>
        <w:widowControl/>
        <w:ind w:firstLine="640"/>
        <w:jc w:val="both"/>
        <w:rPr>
          <w:rFonts w:hint="eastAsia" w:ascii="仿宋" w:hAnsi="仿宋" w:eastAsia="仿宋" w:cs="仿宋"/>
          <w:color w:val="333333"/>
          <w:sz w:val="28"/>
          <w:szCs w:val="28"/>
        </w:rPr>
      </w:pPr>
      <w:r>
        <w:rPr>
          <w:rFonts w:hint="eastAsia" w:ascii="仿宋" w:hAnsi="仿宋" w:eastAsia="仿宋" w:cs="仿宋"/>
          <w:color w:val="333333"/>
          <w:sz w:val="28"/>
          <w:szCs w:val="28"/>
        </w:rPr>
        <w:t>三是解决全镇各村各项基础设施建设。安全饮水工程、农网改造升级工程、道路硬化工程、新挖通组公路、水利工程、通畅工程、危房改造、易地搬迁、功能化村部等工程按要求完成。对村级道路水毁项目，在各处筹措资金，保证各村道路通畅，农民农业生产得到强有力的保障。</w:t>
      </w:r>
    </w:p>
    <w:p>
      <w:pPr>
        <w:pStyle w:val="5"/>
        <w:widowControl/>
        <w:ind w:firstLine="640"/>
        <w:jc w:val="both"/>
        <w:rPr>
          <w:rFonts w:ascii="仿宋" w:hAnsi="仿宋" w:eastAsia="仿宋"/>
          <w:color w:val="333333"/>
          <w:sz w:val="28"/>
          <w:szCs w:val="28"/>
        </w:rPr>
      </w:pPr>
      <w:r>
        <w:rPr>
          <w:rFonts w:hint="eastAsia" w:ascii="仿宋" w:hAnsi="仿宋" w:eastAsia="仿宋" w:cs="仿宋"/>
          <w:color w:val="333333"/>
          <w:sz w:val="28"/>
          <w:szCs w:val="28"/>
        </w:rPr>
        <w:t>（2）机关党建</w:t>
      </w:r>
      <w:r>
        <w:rPr>
          <w:rFonts w:hint="eastAsia" w:ascii="宋体" w:hAnsi="宋体" w:eastAsia="仿宋" w:cs="宋体"/>
          <w:color w:val="333333"/>
          <w:sz w:val="28"/>
          <w:szCs w:val="28"/>
        </w:rPr>
        <w:t> </w:t>
      </w:r>
      <w:r>
        <w:rPr>
          <w:rFonts w:hint="eastAsia" w:ascii="仿宋" w:hAnsi="仿宋" w:eastAsia="仿宋" w:cs="仿宋"/>
          <w:color w:val="333333"/>
          <w:sz w:val="28"/>
          <w:szCs w:val="28"/>
        </w:rPr>
        <w:t xml:space="preserve"> </w:t>
      </w:r>
    </w:p>
    <w:p>
      <w:pPr>
        <w:pStyle w:val="5"/>
        <w:widowControl/>
        <w:ind w:firstLine="640"/>
        <w:jc w:val="both"/>
        <w:rPr>
          <w:rFonts w:hint="eastAsia" w:ascii="仿宋" w:hAnsi="仿宋" w:eastAsia="仿宋" w:cs="仿宋"/>
          <w:color w:val="333333"/>
          <w:sz w:val="28"/>
          <w:szCs w:val="28"/>
        </w:rPr>
      </w:pPr>
      <w:r>
        <w:rPr>
          <w:rFonts w:hint="eastAsia" w:ascii="仿宋" w:hAnsi="仿宋" w:eastAsia="仿宋" w:cs="仿宋"/>
          <w:color w:val="333333"/>
          <w:sz w:val="28"/>
          <w:szCs w:val="28"/>
        </w:rPr>
        <w:t>我们切实加强机关党的建设，重点抓了以下工作：</w:t>
      </w:r>
    </w:p>
    <w:p>
      <w:pPr>
        <w:pStyle w:val="5"/>
        <w:widowControl/>
        <w:ind w:firstLine="640"/>
        <w:jc w:val="both"/>
        <w:rPr>
          <w:rFonts w:hint="eastAsia" w:ascii="仿宋" w:hAnsi="仿宋" w:eastAsia="仿宋" w:cs="仿宋"/>
          <w:color w:val="333333"/>
          <w:sz w:val="28"/>
          <w:szCs w:val="28"/>
        </w:rPr>
      </w:pPr>
      <w:r>
        <w:rPr>
          <w:rFonts w:hint="eastAsia" w:ascii="仿宋" w:hAnsi="仿宋" w:eastAsia="仿宋" w:cs="仿宋"/>
          <w:color w:val="333333"/>
          <w:sz w:val="28"/>
          <w:szCs w:val="28"/>
        </w:rPr>
        <w:t>一是认真落实基层党建责任制，镇党委定期研究部署党建工作。二是切实执行组织生活各项制度，坚持了支部“三会一课”、组织生活会、民主评议党员、委党员领导干部双重组织生活会等制度。三是鼓励党员同志积极投身公益事业，推进党员志愿服务，无偿献热血活动。四是加强党员及公务员群体的学习，选派了党务人员参加上级组织部门举办的党务干部培训学习，组织党员干部参加怀化市干部网络学院学习，完成了年度学习任务。五是坚持了党务公开活动，向党员及时公布党建工作计划及党费收缴情况。</w:t>
      </w:r>
    </w:p>
    <w:p>
      <w:pPr>
        <w:pStyle w:val="5"/>
        <w:widowControl/>
        <w:ind w:firstLine="480"/>
        <w:jc w:val="both"/>
        <w:rPr>
          <w:rFonts w:ascii="仿宋" w:hAnsi="仿宋" w:eastAsia="仿宋"/>
          <w:color w:val="333333"/>
          <w:sz w:val="28"/>
          <w:szCs w:val="28"/>
        </w:rPr>
      </w:pPr>
      <w:r>
        <w:rPr>
          <w:rFonts w:hint="eastAsia" w:ascii="仿宋" w:hAnsi="仿宋" w:eastAsia="仿宋" w:cs="仿宋"/>
          <w:color w:val="333333"/>
          <w:sz w:val="28"/>
          <w:szCs w:val="28"/>
        </w:rPr>
        <w:t xml:space="preserve">（3）综治维稳和信访工作 </w:t>
      </w:r>
    </w:p>
    <w:p>
      <w:pPr>
        <w:pStyle w:val="5"/>
        <w:widowControl/>
        <w:ind w:firstLine="640"/>
        <w:jc w:val="both"/>
        <w:rPr>
          <w:rFonts w:ascii="仿宋" w:hAnsi="仿宋" w:eastAsia="仿宋"/>
          <w:color w:val="333333"/>
          <w:sz w:val="28"/>
          <w:szCs w:val="28"/>
        </w:rPr>
      </w:pPr>
      <w:r>
        <w:rPr>
          <w:rFonts w:hint="eastAsia" w:ascii="仿宋" w:hAnsi="仿宋" w:eastAsia="仿宋" w:cs="仿宋"/>
          <w:color w:val="333333"/>
          <w:sz w:val="28"/>
          <w:szCs w:val="28"/>
        </w:rPr>
        <w:t>在综治维稳方面，我们认真落实综合治理责任目标，及时查找存在的隐患，及时处理矛盾问题，把隐患消除在萌芽状态；加大普法宣传力度，提高创安意识，动员干部职工积极参与综治工作，有效提高了委系统内部的综治防范能力。同时，我们积极做好全镇维稳工作。</w:t>
      </w:r>
    </w:p>
    <w:p>
      <w:pPr>
        <w:pStyle w:val="5"/>
        <w:widowControl/>
        <w:ind w:firstLine="560" w:firstLineChars="200"/>
        <w:jc w:val="both"/>
        <w:rPr>
          <w:rFonts w:ascii="仿宋" w:hAnsi="仿宋" w:eastAsia="仿宋"/>
          <w:color w:val="333333"/>
          <w:sz w:val="28"/>
          <w:szCs w:val="28"/>
        </w:rPr>
      </w:pPr>
      <w:r>
        <w:rPr>
          <w:rFonts w:hint="eastAsia" w:ascii="仿宋" w:hAnsi="仿宋" w:eastAsia="仿宋" w:cs="仿宋"/>
          <w:color w:val="333333"/>
          <w:sz w:val="28"/>
          <w:szCs w:val="28"/>
        </w:rPr>
        <w:t>在信访工作方面，服从接访调度，按要求组织领导干部接访或派人参加信访部门接访。对待群众上访，及时安排工作人员热情接访，耐心作好解释和说服工作；按《信访条例》有关规定，限时办理各类交办件并及时答复信访人和回复信访部门，将不稳定因素化解在基层，逐步形成了一套接访、调研、回复、信息反馈等工作机制，没有因“不作为、慢作为、乱作为”引发群众越级上访，也没有因信访问题处理不当造成严重后果和群体性事件。</w:t>
      </w:r>
      <w:r>
        <w:rPr>
          <w:rFonts w:hint="eastAsia" w:ascii="宋体" w:hAnsi="宋体" w:eastAsia="仿宋" w:cs="宋体"/>
          <w:color w:val="333333"/>
          <w:sz w:val="28"/>
          <w:szCs w:val="28"/>
        </w:rPr>
        <w:t> </w:t>
      </w:r>
      <w:r>
        <w:rPr>
          <w:rFonts w:hint="eastAsia" w:ascii="仿宋" w:hAnsi="仿宋" w:eastAsia="仿宋" w:cs="仿宋"/>
          <w:color w:val="333333"/>
          <w:sz w:val="28"/>
          <w:szCs w:val="28"/>
        </w:rPr>
        <w:t xml:space="preserve"> </w:t>
      </w:r>
    </w:p>
    <w:p>
      <w:pPr>
        <w:pStyle w:val="5"/>
        <w:widowControl/>
        <w:ind w:firstLine="480"/>
        <w:jc w:val="both"/>
        <w:rPr>
          <w:rFonts w:ascii="仿宋" w:hAnsi="仿宋" w:eastAsia="仿宋"/>
          <w:color w:val="333333"/>
          <w:sz w:val="28"/>
          <w:szCs w:val="28"/>
        </w:rPr>
      </w:pPr>
      <w:r>
        <w:rPr>
          <w:rFonts w:hint="eastAsia" w:ascii="仿宋" w:hAnsi="仿宋" w:eastAsia="仿宋" w:cs="仿宋"/>
          <w:color w:val="333333"/>
          <w:sz w:val="28"/>
          <w:szCs w:val="28"/>
        </w:rPr>
        <w:t xml:space="preserve">（4）安全生产 </w:t>
      </w:r>
    </w:p>
    <w:p>
      <w:pPr>
        <w:pStyle w:val="5"/>
        <w:widowControl/>
        <w:ind w:firstLine="634"/>
        <w:jc w:val="both"/>
        <w:rPr>
          <w:rFonts w:ascii="仿宋" w:hAnsi="仿宋" w:eastAsia="仿宋"/>
          <w:color w:val="333333"/>
          <w:sz w:val="28"/>
          <w:szCs w:val="28"/>
        </w:rPr>
      </w:pPr>
      <w:r>
        <w:rPr>
          <w:rFonts w:hint="eastAsia" w:ascii="仿宋" w:hAnsi="仿宋" w:eastAsia="仿宋" w:cs="仿宋"/>
          <w:color w:val="333333"/>
          <w:sz w:val="28"/>
          <w:szCs w:val="28"/>
        </w:rPr>
        <w:t>我们认真落实安全生产目标管理责任制，着力抓全镇的安全宣传教育和各项安全制度措施的落实，明确了安全生产的目标责任，组织开展了安全生产月活动，在镇、村悬挂了安全生产横幅，进行了安全生产大检查，强化了安全生产监督管理，消除了各类事故隐患。一年来，全镇没有发生安全生产责任事故。</w:t>
      </w:r>
    </w:p>
    <w:p>
      <w:pPr>
        <w:pStyle w:val="5"/>
        <w:widowControl/>
        <w:ind w:firstLine="640"/>
        <w:jc w:val="both"/>
        <w:rPr>
          <w:rFonts w:ascii="仿宋" w:hAnsi="仿宋" w:eastAsia="仿宋"/>
          <w:color w:val="333333"/>
          <w:sz w:val="28"/>
          <w:szCs w:val="28"/>
        </w:rPr>
      </w:pPr>
      <w:r>
        <w:rPr>
          <w:rFonts w:hint="eastAsia" w:ascii="仿宋" w:hAnsi="仿宋" w:eastAsia="仿宋" w:cs="仿宋"/>
          <w:color w:val="333333"/>
          <w:sz w:val="28"/>
          <w:szCs w:val="28"/>
        </w:rPr>
        <w:t>（5）计划生育</w:t>
      </w:r>
      <w:r>
        <w:rPr>
          <w:rFonts w:hint="eastAsia" w:ascii="宋体" w:hAnsi="宋体" w:eastAsia="仿宋" w:cs="宋体"/>
          <w:color w:val="333333"/>
          <w:sz w:val="28"/>
          <w:szCs w:val="28"/>
        </w:rPr>
        <w:t> </w:t>
      </w:r>
      <w:r>
        <w:rPr>
          <w:rFonts w:hint="eastAsia" w:ascii="仿宋" w:hAnsi="仿宋" w:eastAsia="仿宋" w:cs="仿宋"/>
          <w:color w:val="333333"/>
          <w:sz w:val="28"/>
          <w:szCs w:val="28"/>
        </w:rPr>
        <w:t xml:space="preserve"> </w:t>
      </w:r>
    </w:p>
    <w:p>
      <w:pPr>
        <w:pStyle w:val="5"/>
        <w:widowControl/>
        <w:ind w:firstLine="640"/>
        <w:jc w:val="both"/>
        <w:rPr>
          <w:rFonts w:ascii="仿宋" w:hAnsi="仿宋" w:eastAsia="仿宋"/>
          <w:color w:val="333333"/>
          <w:sz w:val="28"/>
          <w:szCs w:val="28"/>
        </w:rPr>
      </w:pPr>
      <w:r>
        <w:rPr>
          <w:rFonts w:hint="eastAsia" w:ascii="仿宋" w:hAnsi="仿宋" w:eastAsia="仿宋" w:cs="仿宋"/>
          <w:color w:val="333333"/>
          <w:sz w:val="28"/>
          <w:szCs w:val="28"/>
        </w:rPr>
        <w:t>我们切实落实计划生育管理职责，认真落实工作责任目标，完善措施，狠抓落实，经常性督促全镇各部门贯彻落实国家计划生育政策，计生工作效果明显，干部职工无违反计划生育政策现象。</w:t>
      </w:r>
    </w:p>
    <w:p>
      <w:pPr>
        <w:pStyle w:val="5"/>
        <w:widowControl/>
        <w:ind w:firstLine="640"/>
        <w:jc w:val="both"/>
        <w:rPr>
          <w:rFonts w:ascii="仿宋" w:hAnsi="仿宋" w:eastAsia="仿宋"/>
          <w:color w:val="333333"/>
          <w:sz w:val="28"/>
          <w:szCs w:val="28"/>
        </w:rPr>
      </w:pPr>
      <w:r>
        <w:rPr>
          <w:rFonts w:hint="eastAsia" w:ascii="仿宋" w:hAnsi="仿宋" w:eastAsia="仿宋" w:cs="仿宋"/>
          <w:color w:val="333333"/>
          <w:sz w:val="28"/>
          <w:szCs w:val="28"/>
        </w:rPr>
        <w:t>（6）财政管理</w:t>
      </w:r>
      <w:r>
        <w:rPr>
          <w:rFonts w:hint="eastAsia" w:ascii="宋体" w:hAnsi="宋体" w:eastAsia="仿宋" w:cs="宋体"/>
          <w:color w:val="333333"/>
          <w:sz w:val="28"/>
          <w:szCs w:val="28"/>
        </w:rPr>
        <w:t> </w:t>
      </w:r>
      <w:r>
        <w:rPr>
          <w:rFonts w:hint="eastAsia" w:ascii="仿宋" w:hAnsi="仿宋" w:eastAsia="仿宋" w:cs="仿宋"/>
          <w:color w:val="333333"/>
          <w:sz w:val="28"/>
          <w:szCs w:val="28"/>
        </w:rPr>
        <w:t xml:space="preserve"> </w:t>
      </w:r>
    </w:p>
    <w:p>
      <w:pPr>
        <w:pStyle w:val="5"/>
        <w:widowControl/>
        <w:ind w:firstLine="640"/>
        <w:jc w:val="both"/>
        <w:rPr>
          <w:rFonts w:ascii="仿宋" w:hAnsi="仿宋" w:eastAsia="仿宋"/>
          <w:color w:val="333333"/>
          <w:sz w:val="28"/>
          <w:szCs w:val="28"/>
        </w:rPr>
      </w:pPr>
      <w:r>
        <w:rPr>
          <w:rFonts w:hint="eastAsia" w:ascii="仿宋" w:hAnsi="仿宋" w:eastAsia="仿宋" w:cs="仿宋"/>
          <w:color w:val="333333"/>
          <w:sz w:val="28"/>
          <w:szCs w:val="28"/>
        </w:rPr>
        <w:t>镇财政所及时、完整、规范的申报专项资金和部门整体支出绩效目标，强化内部管理，严格执行财经制度和规定，完善财务管理办法，规范资金管理，绩效评价及时，绩效目标和绩效评价报告按要求公开。积极配合开展绩效目标和绩效自评，绩效目标表和绩效自评报告内容完整，未存在缺项漏项。对财政局检查中提出的问题及时进行了整改，审计没有出现违法、违规、违纪等问题。</w:t>
      </w:r>
    </w:p>
    <w:p>
      <w:pPr>
        <w:shd w:val="clear" w:color="auto" w:fill="FFFFFF"/>
        <w:ind w:firstLine="640"/>
        <w:rPr>
          <w:rFonts w:hint="eastAsia" w:ascii="黑体" w:hAnsi="黑体" w:eastAsia="黑体"/>
          <w:spacing w:val="-2"/>
          <w:sz w:val="32"/>
          <w:szCs w:val="32"/>
        </w:rPr>
      </w:pPr>
      <w:r>
        <w:rPr>
          <w:rFonts w:hint="eastAsia" w:ascii="黑体" w:hAnsi="黑体" w:eastAsia="黑体"/>
          <w:spacing w:val="-2"/>
          <w:sz w:val="32"/>
          <w:szCs w:val="32"/>
        </w:rPr>
        <w:t>六、存在的主要问题</w:t>
      </w:r>
    </w:p>
    <w:p>
      <w:pPr>
        <w:ind w:firstLine="552" w:firstLineChars="200"/>
        <w:textAlignment w:val="baseline"/>
        <w:rPr>
          <w:rFonts w:hint="eastAsia" w:ascii="仿宋" w:hAnsi="仿宋" w:eastAsia="仿宋"/>
          <w:spacing w:val="-2"/>
          <w:sz w:val="28"/>
          <w:szCs w:val="28"/>
        </w:rPr>
      </w:pPr>
      <w:r>
        <w:rPr>
          <w:rFonts w:hint="eastAsia" w:ascii="仿宋" w:hAnsi="仿宋" w:eastAsia="仿宋"/>
          <w:spacing w:val="-2"/>
          <w:sz w:val="28"/>
          <w:szCs w:val="28"/>
        </w:rPr>
        <w:t>在各部门资金安排上还存在一些部门资金安排不充足的情况，导致部门处理事务不及时，群众满意度降低；还存在相应部门资金滞留的情况，导致资金使用率过低，资金活跃度不足，导致全镇经济发展过慢，</w:t>
      </w:r>
      <w:r>
        <w:rPr>
          <w:rFonts w:hint="eastAsia" w:ascii="仿宋" w:hAnsi="仿宋" w:eastAsia="仿宋" w:cs="仿宋"/>
          <w:color w:val="000000"/>
          <w:sz w:val="28"/>
          <w:szCs w:val="28"/>
        </w:rPr>
        <w:t>资产管理方面缺少专人负责，对部分资产有效性未及时清理报废。</w:t>
      </w:r>
    </w:p>
    <w:p>
      <w:pPr>
        <w:shd w:val="clear" w:color="auto" w:fill="FFFFFF"/>
        <w:ind w:firstLine="640"/>
        <w:rPr>
          <w:rFonts w:hint="eastAsia" w:ascii="黑体" w:hAnsi="黑体" w:eastAsia="黑体"/>
          <w:spacing w:val="-2"/>
          <w:sz w:val="32"/>
          <w:szCs w:val="32"/>
        </w:rPr>
      </w:pPr>
      <w:r>
        <w:rPr>
          <w:rFonts w:hint="eastAsia" w:ascii="黑体" w:hAnsi="黑体" w:eastAsia="黑体"/>
          <w:spacing w:val="-2"/>
          <w:sz w:val="32"/>
          <w:szCs w:val="32"/>
        </w:rPr>
        <w:t>七、改进措施和有关建议</w:t>
      </w:r>
    </w:p>
    <w:p>
      <w:pPr>
        <w:ind w:firstLine="640" w:firstLineChars="200"/>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1、加大资金投入力度，加强对资金使用的监督管理以及资金使用的事前可行性研究；2、提高思想认识，增强财政方面的专业性，为资金安全有效的使用提供最基本的保障；3、进一步完善资金使用制度，并加大执行力度，堵住资金链上的每一个漏洞。</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方正大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73599"/>
    <w:multiLevelType w:val="singleLevel"/>
    <w:tmpl w:val="8DB73599"/>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E214B11"/>
    <w:multiLevelType w:val="singleLevel"/>
    <w:tmpl w:val="7E214B11"/>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6F9"/>
    <w:rsid w:val="0002229B"/>
    <w:rsid w:val="000273BD"/>
    <w:rsid w:val="000415B7"/>
    <w:rsid w:val="00041E3F"/>
    <w:rsid w:val="00047A3D"/>
    <w:rsid w:val="00055DAA"/>
    <w:rsid w:val="00061F7B"/>
    <w:rsid w:val="00063463"/>
    <w:rsid w:val="000658A3"/>
    <w:rsid w:val="00066F84"/>
    <w:rsid w:val="00074155"/>
    <w:rsid w:val="0007537C"/>
    <w:rsid w:val="000A2B3F"/>
    <w:rsid w:val="000A3F69"/>
    <w:rsid w:val="00103957"/>
    <w:rsid w:val="001135E1"/>
    <w:rsid w:val="00152C6D"/>
    <w:rsid w:val="00162D39"/>
    <w:rsid w:val="001678BD"/>
    <w:rsid w:val="00172DDC"/>
    <w:rsid w:val="00180362"/>
    <w:rsid w:val="00193955"/>
    <w:rsid w:val="001959F3"/>
    <w:rsid w:val="00196F9C"/>
    <w:rsid w:val="001A67DB"/>
    <w:rsid w:val="001C3C29"/>
    <w:rsid w:val="001D51E5"/>
    <w:rsid w:val="001E080D"/>
    <w:rsid w:val="001E53D0"/>
    <w:rsid w:val="001F0C3B"/>
    <w:rsid w:val="00202C82"/>
    <w:rsid w:val="00210A19"/>
    <w:rsid w:val="00212727"/>
    <w:rsid w:val="00214427"/>
    <w:rsid w:val="00226CB7"/>
    <w:rsid w:val="00242F4E"/>
    <w:rsid w:val="00264552"/>
    <w:rsid w:val="00264EF9"/>
    <w:rsid w:val="00265724"/>
    <w:rsid w:val="0027426B"/>
    <w:rsid w:val="002A7D78"/>
    <w:rsid w:val="002E0A30"/>
    <w:rsid w:val="002E2A2F"/>
    <w:rsid w:val="003130C4"/>
    <w:rsid w:val="00316C4B"/>
    <w:rsid w:val="0032192B"/>
    <w:rsid w:val="003274E1"/>
    <w:rsid w:val="003479BD"/>
    <w:rsid w:val="00364458"/>
    <w:rsid w:val="00364A7A"/>
    <w:rsid w:val="0037197D"/>
    <w:rsid w:val="003768D5"/>
    <w:rsid w:val="003871DE"/>
    <w:rsid w:val="003C1DB3"/>
    <w:rsid w:val="003C47E6"/>
    <w:rsid w:val="003C4FC2"/>
    <w:rsid w:val="004168DF"/>
    <w:rsid w:val="00416E61"/>
    <w:rsid w:val="0042790C"/>
    <w:rsid w:val="0043536D"/>
    <w:rsid w:val="004506F9"/>
    <w:rsid w:val="004717A2"/>
    <w:rsid w:val="00473DF3"/>
    <w:rsid w:val="00487911"/>
    <w:rsid w:val="00491741"/>
    <w:rsid w:val="004E0D7C"/>
    <w:rsid w:val="004F62C9"/>
    <w:rsid w:val="00500E5F"/>
    <w:rsid w:val="005036CB"/>
    <w:rsid w:val="005122EF"/>
    <w:rsid w:val="0051441A"/>
    <w:rsid w:val="00517C33"/>
    <w:rsid w:val="00523644"/>
    <w:rsid w:val="0053103B"/>
    <w:rsid w:val="0054069E"/>
    <w:rsid w:val="00542E85"/>
    <w:rsid w:val="00544866"/>
    <w:rsid w:val="00573347"/>
    <w:rsid w:val="005767CC"/>
    <w:rsid w:val="00590D9F"/>
    <w:rsid w:val="0059533B"/>
    <w:rsid w:val="00595919"/>
    <w:rsid w:val="00595D26"/>
    <w:rsid w:val="005A74E6"/>
    <w:rsid w:val="005B1891"/>
    <w:rsid w:val="005B404E"/>
    <w:rsid w:val="005D4D55"/>
    <w:rsid w:val="005E2CFB"/>
    <w:rsid w:val="005F3D1C"/>
    <w:rsid w:val="00602ABA"/>
    <w:rsid w:val="00612FA8"/>
    <w:rsid w:val="0062378F"/>
    <w:rsid w:val="00641842"/>
    <w:rsid w:val="00651EEC"/>
    <w:rsid w:val="00656BF0"/>
    <w:rsid w:val="0067780D"/>
    <w:rsid w:val="00683D8A"/>
    <w:rsid w:val="00691E8C"/>
    <w:rsid w:val="0069226B"/>
    <w:rsid w:val="006A22C4"/>
    <w:rsid w:val="006A351B"/>
    <w:rsid w:val="006B0422"/>
    <w:rsid w:val="006C1B53"/>
    <w:rsid w:val="006D285B"/>
    <w:rsid w:val="006D7730"/>
    <w:rsid w:val="006E5284"/>
    <w:rsid w:val="006F3EB5"/>
    <w:rsid w:val="00702E34"/>
    <w:rsid w:val="00704395"/>
    <w:rsid w:val="00717621"/>
    <w:rsid w:val="00720FF1"/>
    <w:rsid w:val="00727A53"/>
    <w:rsid w:val="00765FF8"/>
    <w:rsid w:val="0077733E"/>
    <w:rsid w:val="007822F5"/>
    <w:rsid w:val="00787B42"/>
    <w:rsid w:val="007A4557"/>
    <w:rsid w:val="007C4539"/>
    <w:rsid w:val="007F3657"/>
    <w:rsid w:val="00812ED5"/>
    <w:rsid w:val="008277D9"/>
    <w:rsid w:val="0084478C"/>
    <w:rsid w:val="008613D9"/>
    <w:rsid w:val="0086638C"/>
    <w:rsid w:val="0088372D"/>
    <w:rsid w:val="008A3E8D"/>
    <w:rsid w:val="00915219"/>
    <w:rsid w:val="009237C4"/>
    <w:rsid w:val="00944C48"/>
    <w:rsid w:val="00950252"/>
    <w:rsid w:val="00950CA3"/>
    <w:rsid w:val="0096314B"/>
    <w:rsid w:val="00967F5D"/>
    <w:rsid w:val="009A0F95"/>
    <w:rsid w:val="009B0767"/>
    <w:rsid w:val="009B3ADF"/>
    <w:rsid w:val="009C1D85"/>
    <w:rsid w:val="009C3B52"/>
    <w:rsid w:val="009E6817"/>
    <w:rsid w:val="009E6E9A"/>
    <w:rsid w:val="009F2837"/>
    <w:rsid w:val="009F719C"/>
    <w:rsid w:val="00A01D2B"/>
    <w:rsid w:val="00A42218"/>
    <w:rsid w:val="00A70249"/>
    <w:rsid w:val="00A70B02"/>
    <w:rsid w:val="00A71D9F"/>
    <w:rsid w:val="00A838C4"/>
    <w:rsid w:val="00A92E9F"/>
    <w:rsid w:val="00AA627E"/>
    <w:rsid w:val="00B14C3A"/>
    <w:rsid w:val="00B33BEA"/>
    <w:rsid w:val="00B57C9F"/>
    <w:rsid w:val="00B63572"/>
    <w:rsid w:val="00B845B3"/>
    <w:rsid w:val="00B85D8B"/>
    <w:rsid w:val="00BB4A40"/>
    <w:rsid w:val="00BD6C3E"/>
    <w:rsid w:val="00BE1058"/>
    <w:rsid w:val="00BE3674"/>
    <w:rsid w:val="00BF3F6D"/>
    <w:rsid w:val="00BF4F18"/>
    <w:rsid w:val="00C10681"/>
    <w:rsid w:val="00C3049A"/>
    <w:rsid w:val="00C31B1E"/>
    <w:rsid w:val="00C46B00"/>
    <w:rsid w:val="00C77645"/>
    <w:rsid w:val="00CB6C84"/>
    <w:rsid w:val="00CE04C3"/>
    <w:rsid w:val="00CE76A0"/>
    <w:rsid w:val="00CF0E11"/>
    <w:rsid w:val="00CF3320"/>
    <w:rsid w:val="00D00E5C"/>
    <w:rsid w:val="00D148C6"/>
    <w:rsid w:val="00D17A8A"/>
    <w:rsid w:val="00D327AA"/>
    <w:rsid w:val="00D415BA"/>
    <w:rsid w:val="00D644EE"/>
    <w:rsid w:val="00D67962"/>
    <w:rsid w:val="00D81A15"/>
    <w:rsid w:val="00DA04B1"/>
    <w:rsid w:val="00DD06FF"/>
    <w:rsid w:val="00DD4BD5"/>
    <w:rsid w:val="00DD5FE9"/>
    <w:rsid w:val="00E00C7A"/>
    <w:rsid w:val="00E111C9"/>
    <w:rsid w:val="00E37D6C"/>
    <w:rsid w:val="00E55B68"/>
    <w:rsid w:val="00E67BE6"/>
    <w:rsid w:val="00E705E1"/>
    <w:rsid w:val="00E8683C"/>
    <w:rsid w:val="00EA2B72"/>
    <w:rsid w:val="00ED3703"/>
    <w:rsid w:val="00EE7EDF"/>
    <w:rsid w:val="00F46D0B"/>
    <w:rsid w:val="00F571FF"/>
    <w:rsid w:val="00F74360"/>
    <w:rsid w:val="00FB462F"/>
    <w:rsid w:val="00FC18C9"/>
    <w:rsid w:val="00FD7373"/>
    <w:rsid w:val="00FD7792"/>
    <w:rsid w:val="00FE16FA"/>
    <w:rsid w:val="00FE328A"/>
    <w:rsid w:val="00FE6269"/>
    <w:rsid w:val="27BB5B99"/>
    <w:rsid w:val="3DF50EC0"/>
    <w:rsid w:val="58A3482C"/>
    <w:rsid w:val="71714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line="500" w:lineRule="exact"/>
      <w:jc w:val="left"/>
    </w:pPr>
    <w:rPr>
      <w:rFonts w:ascii="Calibri" w:hAnsi="Calibri" w:eastAsia="宋体" w:cs="Times New Roman"/>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paragraph" w:customStyle="1" w:styleId="10">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uiPriority w:val="99"/>
    <w:rPr>
      <w:sz w:val="18"/>
      <w:szCs w:val="18"/>
    </w:rPr>
  </w:style>
  <w:style w:type="paragraph" w:styleId="13">
    <w:name w:val="No Spacing"/>
    <w:qFormat/>
    <w:uiPriority w:val="0"/>
    <w:pPr>
      <w:ind w:firstLine="200" w:firstLineChars="200"/>
    </w:pPr>
    <w:rPr>
      <w:rFonts w:ascii="Times New Roman" w:hAnsi="Times New Roman" w:eastAsia="仿宋_GB2312" w:cs="Times New Roman"/>
      <w:kern w:val="0"/>
      <w:sz w:val="30"/>
      <w:szCs w:val="22"/>
      <w:lang w:val="en-US" w:eastAsia="zh-CN" w:bidi="ar-SA"/>
    </w:rPr>
  </w:style>
  <w:style w:type="character" w:customStyle="1" w:styleId="14">
    <w:name w:val="c-font-big2"/>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19BCED-861F-4407-9D81-6F231A77F1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5083</Words>
  <Characters>28974</Characters>
  <Lines>241</Lines>
  <Paragraphs>67</Paragraphs>
  <TotalTime>1025</TotalTime>
  <ScaleCrop>false</ScaleCrop>
  <LinksUpToDate>false</LinksUpToDate>
  <CharactersWithSpaces>33990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2021-08-31T11:19:00Z</dcterms:created>
  <dc:creator>李航 null</dc:creator>
  <cp:lastModifiedBy>撇捺人生</cp:lastModifiedBy>
  <cp:lastPrinted>2021-07-28T00:12:00Z</cp:lastPrinted>
  <dcterms:modified xsi:type="dcterms:W3CDTF">2021-11-04T07:22:23Z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E7B1DAFAD2D84AEEB6CD876D324AE140</vt:lpwstr>
  </property>
</Properties>
</file>