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sz w:val="84"/>
          <w:szCs w:val="84"/>
        </w:rPr>
      </w:pPr>
      <w:r>
        <w:rPr>
          <w:rFonts w:hint="eastAsia"/>
          <w:sz w:val="84"/>
          <w:szCs w:val="84"/>
        </w:rPr>
        <w:t>2019年度</w:t>
      </w:r>
    </w:p>
    <w:p>
      <w:pPr>
        <w:pStyle w:val="12"/>
        <w:jc w:val="center"/>
        <w:rPr>
          <w:rFonts w:hint="eastAsia"/>
          <w:sz w:val="84"/>
          <w:szCs w:val="84"/>
        </w:rPr>
      </w:pPr>
      <w:r>
        <w:rPr>
          <w:rFonts w:hint="eastAsia"/>
          <w:sz w:val="84"/>
          <w:szCs w:val="84"/>
        </w:rPr>
        <w:t>小横垅乡人民政府</w:t>
      </w:r>
    </w:p>
    <w:p>
      <w:pPr>
        <w:pStyle w:val="12"/>
        <w:jc w:val="center"/>
        <w:rPr>
          <w:rFonts w:hint="eastAsia"/>
          <w:sz w:val="84"/>
          <w:szCs w:val="84"/>
        </w:rPr>
      </w:pP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spacing w:line="540" w:lineRule="exact"/>
        <w:jc w:val="center"/>
        <w:rPr>
          <w:sz w:val="56"/>
          <w:szCs w:val="56"/>
        </w:rPr>
      </w:pPr>
    </w:p>
    <w:p>
      <w:pPr>
        <w:pStyle w:val="12"/>
        <w:spacing w:line="540" w:lineRule="exact"/>
        <w:jc w:val="center"/>
        <w:rPr>
          <w:sz w:val="56"/>
          <w:szCs w:val="56"/>
        </w:rPr>
      </w:pPr>
    </w:p>
    <w:p>
      <w:pPr>
        <w:pStyle w:val="12"/>
        <w:spacing w:line="520" w:lineRule="exact"/>
        <w:jc w:val="center"/>
        <w:rPr>
          <w:sz w:val="56"/>
          <w:szCs w:val="56"/>
        </w:rPr>
      </w:pPr>
      <w:r>
        <w:rPr>
          <w:rFonts w:hint="eastAsia"/>
          <w:sz w:val="56"/>
          <w:szCs w:val="56"/>
        </w:rPr>
        <w:t>目录</w:t>
      </w:r>
    </w:p>
    <w:p>
      <w:pPr>
        <w:pStyle w:val="12"/>
        <w:jc w:val="both"/>
        <w:rPr>
          <w:rFonts w:hint="eastAsia"/>
          <w:b/>
          <w:sz w:val="28"/>
          <w:szCs w:val="28"/>
        </w:rPr>
      </w:pPr>
      <w:r>
        <w:rPr>
          <w:rFonts w:hint="eastAsia"/>
          <w:b/>
          <w:sz w:val="28"/>
          <w:szCs w:val="28"/>
        </w:rPr>
        <w:t>第一部分小横垅乡人民政府单位概况</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2019</w:t>
      </w:r>
      <w:r>
        <w:rPr>
          <w:rFonts w:hint="eastAsia" w:hAnsi="仿宋_GB2312"/>
          <w:b/>
          <w:sz w:val="28"/>
          <w:szCs w:val="28"/>
        </w:rPr>
        <w:t>年度部门决算情况说明</w:t>
      </w:r>
    </w:p>
    <w:p>
      <w:pPr>
        <w:pStyle w:val="12"/>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rFonts w:hint="eastAsia"/>
          <w:sz w:val="84"/>
          <w:szCs w:val="84"/>
        </w:rPr>
      </w:pPr>
    </w:p>
    <w:p>
      <w:pPr>
        <w:pStyle w:val="12"/>
        <w:jc w:val="center"/>
        <w:rPr>
          <w:rFonts w:hint="eastAsia"/>
          <w:sz w:val="84"/>
          <w:szCs w:val="84"/>
        </w:rPr>
      </w:pPr>
    </w:p>
    <w:p>
      <w:pPr>
        <w:pStyle w:val="12"/>
        <w:jc w:val="center"/>
        <w:rPr>
          <w:rFonts w:hint="eastAsia"/>
          <w:sz w:val="84"/>
          <w:szCs w:val="84"/>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rFonts w:hint="eastAsia"/>
          <w:sz w:val="84"/>
          <w:szCs w:val="84"/>
          <w:lang w:eastAsia="zh-CN"/>
        </w:rPr>
      </w:pPr>
      <w:r>
        <w:rPr>
          <w:rFonts w:hint="eastAsia"/>
          <w:sz w:val="84"/>
          <w:szCs w:val="84"/>
          <w:lang w:eastAsia="zh-CN"/>
        </w:rPr>
        <w:t>小横垅乡人民政府</w:t>
      </w:r>
    </w:p>
    <w:p>
      <w:pPr>
        <w:pStyle w:val="12"/>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制定并组织实施村镇建设规划，部署重点工程建设，地方道路建设及公共设施，水利设施的管理，负责土地、林木、水等自然资源和生态环境的保护，做好护林防火工作。</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按计划组织本级财政收入和地方税的征收，完成国家财政计划，不断培植税源，管好财政资金，增强财政实力。</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抓好精神文明建设，丰富群众文化生活，提倡移风易俗，反对封建迷信，破除陈规陋习，树立社会主义新风尚。</w:t>
      </w:r>
    </w:p>
    <w:p>
      <w:pPr>
        <w:widowControl/>
        <w:numPr>
          <w:ilvl w:val="0"/>
          <w:numId w:val="2"/>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完成上级政府交办的其它事项。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小横垅乡人民政府</w:t>
      </w:r>
      <w:r>
        <w:rPr>
          <w:rFonts w:hint="eastAsia" w:asciiTheme="minorEastAsia" w:hAnsiTheme="minorEastAsia"/>
          <w:bCs/>
          <w:kern w:val="0"/>
          <w:sz w:val="32"/>
          <w:szCs w:val="32"/>
        </w:rPr>
        <w:t>内设机构包括：</w:t>
      </w:r>
    </w:p>
    <w:p>
      <w:pPr>
        <w:widowControl/>
        <w:spacing w:line="600" w:lineRule="exact"/>
        <w:ind w:firstLine="640" w:firstLineChars="200"/>
        <w:rPr>
          <w:rFonts w:ascii="黑体" w:hAnsi="黑体" w:eastAsia="黑体"/>
          <w:sz w:val="28"/>
          <w:szCs w:val="28"/>
        </w:rPr>
      </w:pPr>
      <w:r>
        <w:rPr>
          <w:rFonts w:hint="eastAsia" w:asciiTheme="minorEastAsia" w:hAnsiTheme="minorEastAsia"/>
          <w:bCs/>
          <w:kern w:val="0"/>
          <w:sz w:val="32"/>
          <w:szCs w:val="32"/>
        </w:rPr>
        <w:t>本单位是行政单位，核定编制55名，实有人数43人，其中：行政人员20人、事业人员21人、工勤人员2人。本单位下设</w:t>
      </w:r>
      <w:r>
        <w:rPr>
          <w:rFonts w:hint="eastAsia" w:asciiTheme="minorEastAsia" w:hAnsiTheme="minorEastAsia"/>
          <w:bCs/>
          <w:kern w:val="0"/>
          <w:sz w:val="32"/>
          <w:szCs w:val="32"/>
          <w:lang w:val="en-US" w:eastAsia="zh-CN"/>
        </w:rPr>
        <w:t>六</w:t>
      </w:r>
      <w:r>
        <w:rPr>
          <w:rFonts w:hint="eastAsia" w:asciiTheme="minorEastAsia" w:hAnsiTheme="minorEastAsia"/>
          <w:bCs/>
          <w:kern w:val="0"/>
          <w:sz w:val="32"/>
          <w:szCs w:val="32"/>
        </w:rPr>
        <w:t>办</w:t>
      </w:r>
      <w:r>
        <w:rPr>
          <w:rFonts w:hint="eastAsia" w:asciiTheme="minorEastAsia" w:hAnsiTheme="minorEastAsia"/>
          <w:bCs/>
          <w:kern w:val="0"/>
          <w:sz w:val="32"/>
          <w:szCs w:val="32"/>
          <w:lang w:val="en-US" w:eastAsia="zh-CN"/>
        </w:rPr>
        <w:t>三</w:t>
      </w:r>
      <w:r>
        <w:rPr>
          <w:rFonts w:hint="eastAsia" w:asciiTheme="minorEastAsia" w:hAnsiTheme="minorEastAsia"/>
          <w:bCs/>
          <w:kern w:val="0"/>
          <w:sz w:val="32"/>
          <w:szCs w:val="32"/>
        </w:rPr>
        <w:t>中心</w:t>
      </w:r>
      <w:r>
        <w:rPr>
          <w:rFonts w:hint="eastAsia" w:asciiTheme="minorEastAsia" w:hAnsiTheme="minorEastAsia"/>
          <w:bCs/>
          <w:kern w:val="0"/>
          <w:sz w:val="32"/>
          <w:szCs w:val="32"/>
          <w:lang w:val="en-US" w:eastAsia="zh-CN"/>
        </w:rPr>
        <w:t>一大队</w:t>
      </w:r>
      <w:r>
        <w:rPr>
          <w:rFonts w:hint="eastAsia" w:asciiTheme="minorEastAsia" w:hAnsiTheme="minorEastAsia"/>
          <w:bCs/>
          <w:kern w:val="0"/>
          <w:sz w:val="32"/>
          <w:szCs w:val="32"/>
        </w:rPr>
        <w:t>，分别为党政办公室、党建办公室、经济发展办公室、社会事务办公室、自然资源和生态环境办公室、社会治安和应急管理办公室、社会事务综合服务中心、农业综合服务中心、政务服务中心、综合行政执法大队。本单位没有汇总决算。（二）决算单位构成。</w:t>
      </w:r>
      <w:r>
        <w:rPr>
          <w:rFonts w:hint="eastAsia" w:asciiTheme="minorEastAsia" w:hAnsiTheme="minorEastAsia"/>
          <w:bCs/>
          <w:kern w:val="0"/>
          <w:sz w:val="32"/>
          <w:szCs w:val="32"/>
          <w:lang w:val="en-US" w:eastAsia="zh-CN"/>
        </w:rPr>
        <w:t>小横垅乡人民政府</w:t>
      </w:r>
      <w:r>
        <w:rPr>
          <w:rFonts w:asciiTheme="minorEastAsia" w:hAnsiTheme="minorEastAsia"/>
          <w:bCs/>
          <w:kern w:val="0"/>
          <w:sz w:val="32"/>
          <w:szCs w:val="32"/>
        </w:rPr>
        <w:t>2019</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val="en-US" w:eastAsia="zh-CN"/>
        </w:rPr>
        <w:t>小横垅乡人民政府</w:t>
      </w:r>
      <w:r>
        <w:rPr>
          <w:rFonts w:hint="eastAsia" w:asciiTheme="minorEastAsia" w:hAnsiTheme="minorEastAsia"/>
          <w:bCs/>
          <w:kern w:val="0"/>
          <w:sz w:val="32"/>
          <w:szCs w:val="32"/>
        </w:rPr>
        <w:t>本级以及</w:t>
      </w:r>
      <w:r>
        <w:rPr>
          <w:rFonts w:hint="eastAsia" w:asciiTheme="minorEastAsia" w:hAnsiTheme="minorEastAsia"/>
          <w:bCs/>
          <w:kern w:val="0"/>
          <w:sz w:val="32"/>
          <w:szCs w:val="32"/>
          <w:lang w:val="en-US" w:eastAsia="zh-CN"/>
        </w:rPr>
        <w:t>小横垅乡财政所、小横垅乡计生办。本单位无二级机构。</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center"/>
        <w:rPr>
          <w:rFonts w:hint="eastAsia" w:ascii="黑体" w:hAnsi="黑体" w:eastAsia="黑体"/>
          <w:sz w:val="36"/>
          <w:szCs w:val="32"/>
        </w:rPr>
      </w:pPr>
    </w:p>
    <w:p>
      <w:pPr>
        <w:jc w:val="center"/>
        <w:rPr>
          <w:rFonts w:hint="eastAsia" w:ascii="黑体" w:hAnsi="黑体" w:eastAsia="黑体"/>
          <w:sz w:val="36"/>
          <w:szCs w:val="32"/>
        </w:rPr>
        <w:sectPr>
          <w:pgSz w:w="11906" w:h="16838"/>
          <w:pgMar w:top="1440" w:right="1134" w:bottom="1440" w:left="1134" w:header="851" w:footer="992" w:gutter="0"/>
          <w:cols w:space="425"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firstLine="840" w:firstLineChars="4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1395.70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375.72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237.75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4.6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86.03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67.18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十、节能环保支出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46.48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811.69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二十二、其他支出</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681" w:type="dxa"/>
            <w:tcBorders>
              <w:top w:val="nil"/>
              <w:left w:val="nil"/>
              <w:bottom w:val="single" w:color="auto" w:sz="4" w:space="0"/>
              <w:right w:val="single" w:color="auto" w:sz="4" w:space="0"/>
            </w:tcBorders>
            <w:noWrap/>
            <w:vAlign w:val="center"/>
          </w:tcPr>
          <w:p>
            <w:pPr>
              <w:widowControl/>
              <w:ind w:firstLine="1050" w:firstLineChars="50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1633.45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kern w:val="0"/>
                <w:szCs w:val="21"/>
                <w:lang w:val="en-US" w:eastAsia="zh-CN"/>
              </w:rPr>
              <w:t>1633.45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位：万元</w:t>
      </w:r>
    </w:p>
    <w:tbl>
      <w:tblPr>
        <w:tblStyle w:val="7"/>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1633.45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282.55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282.55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2010308</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信访事务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58.27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58.27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27.97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0.96</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0.96</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2011101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2.97</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r>
              <w:rPr>
                <w:rFonts w:hint="eastAsia" w:ascii="Times New Roman" w:hAnsi="Times New Roman" w:eastAsia="仿宋_GB2312" w:cs="Times New Roman"/>
                <w:kern w:val="0"/>
                <w:szCs w:val="21"/>
                <w:lang w:val="en-US" w:eastAsia="zh-CN"/>
              </w:rPr>
              <w:t>3805</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市场监管执法</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8"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4.6</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w:t>
            </w:r>
            <w:r>
              <w:rPr>
                <w:rFonts w:hint="eastAsia" w:ascii="Times New Roman" w:hAnsi="Times New Roman" w:eastAsia="仿宋_GB2312" w:cs="Times New Roman"/>
                <w:kern w:val="0"/>
                <w:szCs w:val="21"/>
                <w:lang w:eastAsia="zh-CN"/>
              </w:rPr>
              <w:t>民政管理事务支出</w:t>
            </w:r>
            <w:r>
              <w:rPr>
                <w:rFonts w:hint="eastAsia" w:ascii="Times New Roman" w:hAnsi="Times New Roman" w:eastAsia="仿宋_GB2312" w:cs="Times New Roman"/>
                <w:kern w:val="0"/>
                <w:szCs w:val="21"/>
              </w:rPr>
              <w:t>体育与传媒支出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0.8</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53"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其他退役安置支出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2081105</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残疾人就业和扶贫</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2100199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2100403</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2100404</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精神卫生机构</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2100716</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计划生育机构</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其他计划生育事务支出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其他环境保护管理事务支出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2110399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其他污染防治支出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43.48</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43.48</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2120501</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2130112</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农业行业业务管理</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2130201</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2130209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森林生态效益补偿</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2130305</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水利工程建设</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2130306</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水利工程运行与维护</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21303</w:t>
            </w:r>
            <w:r>
              <w:rPr>
                <w:rFonts w:hint="eastAsia" w:ascii="Times New Roman" w:hAnsi="Times New Roman" w:eastAsia="仿宋_GB2312" w:cs="Times New Roman"/>
                <w:kern w:val="0"/>
                <w:szCs w:val="21"/>
                <w:lang w:val="en-US" w:eastAsia="zh-CN"/>
              </w:rPr>
              <w:t>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其他水利支出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2130505</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230.15</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230.15</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2130599</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其他扶贫支出</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其他农林水支出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2296002</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用于社会福利的彩票公益金支出</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1306"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2296003</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用于体育事业的彩票公益金支出</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200.75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200.75</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534"/>
        <w:gridCol w:w="1490"/>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36"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3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3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3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715.95</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917.50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282.55</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282.55</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2010308</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信访事务</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其他政府办公厅（室）及相关机构事务支出</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58.27</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58.27</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27.97</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27.97</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2010602</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0.96</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0.96</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行政运行</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r>
              <w:rPr>
                <w:rFonts w:hint="eastAsia" w:ascii="Times New Roman" w:hAnsi="Times New Roman" w:eastAsia="仿宋_GB2312" w:cs="Times New Roman"/>
                <w:kern w:val="0"/>
                <w:szCs w:val="21"/>
                <w:lang w:val="en-US" w:eastAsia="zh-CN"/>
              </w:rPr>
              <w:t>3805</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市场监管执法</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w:t>
            </w:r>
            <w:r>
              <w:rPr>
                <w:rFonts w:hint="eastAsia" w:ascii="Times New Roman" w:hAnsi="Times New Roman" w:eastAsia="仿宋_GB2312" w:cs="Times New Roman"/>
                <w:kern w:val="0"/>
                <w:szCs w:val="21"/>
                <w:lang w:eastAsia="zh-CN"/>
              </w:rPr>
              <w:t>民政管理事务支出</w:t>
            </w:r>
            <w:r>
              <w:rPr>
                <w:rFonts w:hint="eastAsia" w:ascii="Times New Roman" w:hAnsi="Times New Roman" w:eastAsia="仿宋_GB2312" w:cs="Times New Roman"/>
                <w:kern w:val="0"/>
                <w:szCs w:val="21"/>
              </w:rPr>
              <w:t>体育与传媒支出</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2080999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其他退役安置支出</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2081105</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残疾人就业和扶贫</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2100199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2100403</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2100404</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精神卫生机构</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2100716</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计划生育机构</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其他计划生育事务支出</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其他环境保护管理事务支出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其他污染防治支出</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43.48</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14.73</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28.75</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2120501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2130112</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农业行业业务管理</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1.06</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1.06</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14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2130201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2130209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森林生态效益补偿</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2130305</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水利工程建设</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2130306</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水利工程运行与维护</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w:t>
            </w:r>
            <w:r>
              <w:rPr>
                <w:rFonts w:hint="eastAsia" w:ascii="Times New Roman" w:hAnsi="Times New Roman" w:eastAsia="仿宋_GB2312" w:cs="Times New Roman"/>
                <w:kern w:val="0"/>
                <w:szCs w:val="21"/>
                <w:lang w:val="en-US" w:eastAsia="zh-CN"/>
              </w:rPr>
              <w:t>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其他水利支出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c>
          <w:tcPr>
            <w:tcW w:w="184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2130505</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230.15</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230.15</w:t>
            </w:r>
          </w:p>
        </w:tc>
        <w:tc>
          <w:tcPr>
            <w:tcW w:w="1843"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其他扶贫支出</w:t>
            </w:r>
          </w:p>
        </w:tc>
        <w:tc>
          <w:tcPr>
            <w:tcW w:w="14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198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153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2139999</w:t>
            </w:r>
          </w:p>
        </w:tc>
        <w:tc>
          <w:tcPr>
            <w:tcW w:w="1534"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其他农林水支出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534"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用于社会福利的彩票公益金支出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2296003</w:t>
            </w:r>
          </w:p>
        </w:tc>
        <w:tc>
          <w:tcPr>
            <w:tcW w:w="1534"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用于体育事业的彩票公益金支出</w:t>
            </w:r>
          </w:p>
        </w:tc>
        <w:tc>
          <w:tcPr>
            <w:tcW w:w="14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200.75</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200.75</w:t>
            </w:r>
          </w:p>
        </w:tc>
        <w:tc>
          <w:tcPr>
            <w:tcW w:w="1843"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eastAsia" w:ascii="Times New Roman" w:hAnsi="Times New Roman" w:eastAsia="仿宋_GB2312" w:cs="Times New Roman"/>
                <w:kern w:val="0"/>
                <w:szCs w:val="21"/>
              </w:rPr>
            </w:pPr>
          </w:p>
        </w:tc>
        <w:tc>
          <w:tcPr>
            <w:tcW w:w="1534" w:type="dxa"/>
            <w:shd w:val="clear" w:color="auto" w:fill="auto"/>
            <w:noWrap/>
            <w:vAlign w:val="center"/>
          </w:tcPr>
          <w:p>
            <w:pPr>
              <w:widowControl/>
              <w:jc w:val="left"/>
              <w:rPr>
                <w:rFonts w:hint="eastAsia" w:ascii="Times New Roman" w:hAnsi="Times New Roman" w:eastAsia="仿宋_GB2312" w:cs="Times New Roman"/>
                <w:kern w:val="0"/>
                <w:szCs w:val="21"/>
              </w:rPr>
            </w:pPr>
          </w:p>
        </w:tc>
        <w:tc>
          <w:tcPr>
            <w:tcW w:w="1490"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985"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843"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985"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2308"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eastAsia" w:ascii="Times New Roman" w:hAnsi="Times New Roman" w:eastAsia="仿宋_GB2312" w:cs="Times New Roman"/>
                <w:kern w:val="0"/>
                <w:szCs w:val="21"/>
              </w:rPr>
            </w:pPr>
          </w:p>
        </w:tc>
        <w:tc>
          <w:tcPr>
            <w:tcW w:w="1534" w:type="dxa"/>
            <w:shd w:val="clear" w:color="auto" w:fill="auto"/>
            <w:noWrap/>
            <w:vAlign w:val="center"/>
          </w:tcPr>
          <w:p>
            <w:pPr>
              <w:widowControl/>
              <w:jc w:val="left"/>
              <w:rPr>
                <w:rFonts w:hint="eastAsia" w:ascii="Times New Roman" w:hAnsi="Times New Roman" w:eastAsia="仿宋_GB2312" w:cs="Times New Roman"/>
                <w:kern w:val="0"/>
                <w:szCs w:val="21"/>
              </w:rPr>
            </w:pPr>
          </w:p>
        </w:tc>
        <w:tc>
          <w:tcPr>
            <w:tcW w:w="1490"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985"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843"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1985"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c>
          <w:tcPr>
            <w:tcW w:w="2308" w:type="dxa"/>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hint="eastAsia" w:ascii="仿宋" w:hAnsi="仿宋" w:eastAsia="仿宋" w:cs="仿宋"/>
          <w:color w:val="000000"/>
          <w:kern w:val="0"/>
          <w:szCs w:val="21"/>
        </w:rPr>
      </w:pPr>
      <w:r>
        <w:rPr>
          <w:rFonts w:hint="eastAsia" w:ascii="仿宋" w:hAnsi="仿宋" w:eastAsia="仿宋" w:cs="仿宋"/>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1395.70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375.72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375.72</w:t>
            </w:r>
          </w:p>
        </w:tc>
        <w:tc>
          <w:tcPr>
            <w:tcW w:w="1572" w:type="dxa"/>
            <w:shd w:val="clear" w:color="auto" w:fill="auto"/>
            <w:noWrap/>
            <w:vAlign w:val="center"/>
          </w:tcPr>
          <w:p>
            <w:pPr>
              <w:widowControl/>
              <w:ind w:firstLine="630" w:firstLineChars="30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237.75</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4.6</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4.6</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eastAsia="zh-CN"/>
              </w:rPr>
              <w:t>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八、社会保障和就业支出</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86.03</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86.03</w:t>
            </w:r>
          </w:p>
        </w:tc>
        <w:tc>
          <w:tcPr>
            <w:tcW w:w="157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九、卫生健康支出</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67.18</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67.18</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十、节能环保支出</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46.48</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46.48</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811.69</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eastAsia="zh-CN"/>
              </w:rPr>
              <w:t>811.69</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二十二、其他支出</w:t>
            </w:r>
          </w:p>
        </w:tc>
        <w:tc>
          <w:tcPr>
            <w:tcW w:w="43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7</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ind w:firstLine="630" w:firstLineChars="30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1395.70</w:t>
            </w:r>
          </w:p>
        </w:tc>
        <w:tc>
          <w:tcPr>
            <w:tcW w:w="1572" w:type="dxa"/>
            <w:shd w:val="clear" w:color="auto" w:fill="auto"/>
            <w:noWrap/>
            <w:vAlign w:val="center"/>
          </w:tcPr>
          <w:p>
            <w:pPr>
              <w:widowControl/>
              <w:ind w:firstLine="630" w:firstLineChars="300"/>
              <w:jc w:val="center"/>
              <w:rPr>
                <w:rFonts w:hint="default" w:ascii="Times New Roman" w:hAnsi="Times New Roman" w:eastAsia="仿宋_GB2312" w:cs="Times New Roman"/>
                <w:b/>
                <w:bCs/>
                <w:kern w:val="0"/>
                <w:szCs w:val="21"/>
                <w:lang w:val="en-US"/>
              </w:rPr>
            </w:pPr>
            <w:r>
              <w:rPr>
                <w:rFonts w:hint="eastAsia" w:ascii="Times New Roman" w:hAnsi="Times New Roman" w:eastAsia="仿宋_GB2312" w:cs="Times New Roman"/>
                <w:b w:val="0"/>
                <w:bCs w:val="0"/>
                <w:kern w:val="0"/>
                <w:szCs w:val="21"/>
                <w:lang w:val="en-US" w:eastAsia="zh-CN"/>
              </w:rPr>
              <w:t>237.75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1633.45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1395.70</w:t>
            </w:r>
          </w:p>
        </w:tc>
        <w:tc>
          <w:tcPr>
            <w:tcW w:w="1572" w:type="dxa"/>
            <w:shd w:val="clear" w:color="auto" w:fill="auto"/>
            <w:noWrap/>
            <w:vAlign w:val="center"/>
          </w:tcPr>
          <w:p>
            <w:pPr>
              <w:widowControl/>
              <w:ind w:firstLine="630" w:firstLineChars="300"/>
              <w:jc w:val="center"/>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val="0"/>
                <w:bCs w:val="0"/>
                <w:kern w:val="0"/>
                <w:szCs w:val="21"/>
                <w:lang w:val="en-US" w:eastAsia="zh-CN"/>
              </w:rPr>
              <w:t>237.75</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1395.70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715.95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679.75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282.55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282.55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2010308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信访事务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2010602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r>
              <w:rPr>
                <w:rFonts w:hint="eastAsia" w:ascii="Times New Roman" w:hAnsi="Times New Roman" w:eastAsia="仿宋_GB2312" w:cs="Times New Roman"/>
                <w:kern w:val="0"/>
                <w:szCs w:val="21"/>
                <w:lang w:val="en-US" w:eastAsia="zh-CN"/>
              </w:rPr>
              <w:t>3805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市场监管执法</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2040299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w:t>
            </w:r>
            <w:r>
              <w:rPr>
                <w:rFonts w:hint="eastAsia" w:ascii="Times New Roman" w:hAnsi="Times New Roman" w:eastAsia="仿宋_GB2312" w:cs="Times New Roman"/>
                <w:kern w:val="0"/>
                <w:szCs w:val="21"/>
                <w:lang w:eastAsia="zh-CN"/>
              </w:rPr>
              <w:t>民政管理事务支出</w:t>
            </w:r>
            <w:r>
              <w:rPr>
                <w:rFonts w:hint="eastAsia" w:ascii="Times New Roman" w:hAnsi="Times New Roman" w:eastAsia="仿宋_GB2312" w:cs="Times New Roman"/>
                <w:kern w:val="0"/>
                <w:szCs w:val="21"/>
              </w:rPr>
              <w:t>体育与传媒支出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74.03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2080999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其他退役安置支出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2081105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残疾人就业和扶贫</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18.99</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2100403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2100404</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精神卫生机构</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2100716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计划生育机构</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34.96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2100799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其他计划生育事务支出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其他环境保护管理事务支出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2110399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其他污染防治支出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2120501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2130112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农业行业业务管理</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2130209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森林生态效益补偿</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2130305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水利工程建设</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2130306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水利工程运行与维护</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21303</w:t>
            </w:r>
            <w:r>
              <w:rPr>
                <w:rFonts w:hint="eastAsia" w:ascii="Times New Roman" w:hAnsi="Times New Roman" w:eastAsia="仿宋_GB2312" w:cs="Times New Roman"/>
                <w:kern w:val="0"/>
                <w:szCs w:val="21"/>
                <w:lang w:val="en-US" w:eastAsia="zh-CN"/>
              </w:rPr>
              <w:t>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其他水利支出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355.89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2130505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230.15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其他扶贫支出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139.08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2139999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732" w:type="dxa"/>
        <w:tblInd w:w="93" w:type="dxa"/>
        <w:tblLayout w:type="fixed"/>
        <w:tblCellMar>
          <w:top w:w="0" w:type="dxa"/>
          <w:left w:w="108" w:type="dxa"/>
          <w:bottom w:w="0" w:type="dxa"/>
          <w:right w:w="108" w:type="dxa"/>
        </w:tblCellMar>
      </w:tblPr>
      <w:tblGrid>
        <w:gridCol w:w="1149"/>
        <w:gridCol w:w="2898"/>
        <w:gridCol w:w="1264"/>
        <w:gridCol w:w="1110"/>
        <w:gridCol w:w="2111"/>
        <w:gridCol w:w="1350"/>
        <w:gridCol w:w="1110"/>
        <w:gridCol w:w="3465"/>
        <w:gridCol w:w="1275"/>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11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4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363.64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11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126.13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245.83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55.89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66.28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11.09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226.18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64.99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147.12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1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46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11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264"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0.58</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11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3.27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13.49</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111"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350" w:type="dxa"/>
            <w:tcBorders>
              <w:top w:val="single" w:color="auto" w:sz="8" w:space="0"/>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1.08</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65"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7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11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11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350" w:type="dxa"/>
            <w:tcBorders>
              <w:top w:val="nil"/>
              <w:left w:val="nil"/>
              <w:bottom w:val="single" w:color="auto" w:sz="8" w:space="0"/>
              <w:right w:val="single" w:color="auto" w:sz="8" w:space="0"/>
            </w:tcBorders>
            <w:shd w:val="clear" w:color="auto" w:fill="auto"/>
            <w:noWrap/>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27.94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46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589.82</w:t>
            </w:r>
          </w:p>
        </w:tc>
        <w:tc>
          <w:tcPr>
            <w:tcW w:w="9146"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126.13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3.27</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溆浦县小横垅乡人民政府</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237.75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2296002</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用于社会福利的彩票公益金支出</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37</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37</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37</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2296003</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用于体育事业的彩票公益金支出</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200.75</w:t>
            </w:r>
          </w:p>
        </w:tc>
        <w:tc>
          <w:tcPr>
            <w:tcW w:w="200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200.75</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200.75</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c>
          <w:tcPr>
            <w:tcW w:w="1320" w:type="dxa"/>
            <w:shd w:val="clear" w:color="auto" w:fill="auto"/>
            <w:vAlign w:val="center"/>
          </w:tcPr>
          <w:p>
            <w:pPr>
              <w:widowControl/>
              <w:jc w:val="left"/>
              <w:rPr>
                <w:rFonts w:hint="eastAsia" w:ascii="Times New Roman" w:hAnsi="Times New Roman" w:eastAsia="仿宋_GB2312" w:cs="Times New Roman"/>
                <w:kern w:val="0"/>
                <w:szCs w:val="21"/>
                <w:lang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jc w:val="left"/>
        <w:rPr>
          <w:rFonts w:asciiTheme="minorEastAsia" w:hAnsiTheme="minorEastAsia"/>
          <w:sz w:val="32"/>
          <w:szCs w:val="32"/>
        </w:rPr>
        <w:sectPr>
          <w:pgSz w:w="16838" w:h="11906" w:orient="landscape"/>
          <w:pgMar w:top="510" w:right="850" w:bottom="510" w:left="850" w:header="851" w:footer="992" w:gutter="0"/>
          <w:paperSrc/>
          <w:cols w:space="0" w:num="1"/>
          <w:rtlGutter w:val="0"/>
          <w:docGrid w:type="lines" w:linePitch="319" w:charSpace="0"/>
        </w:sectPr>
      </w:pPr>
    </w:p>
    <w:p>
      <w:pPr>
        <w:widowControl/>
        <w:jc w:val="left"/>
        <w:rPr>
          <w:rFonts w:ascii="黑体" w:hAnsi="黑体" w:eastAsia="黑体"/>
          <w:szCs w:val="21"/>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rFonts w:hint="eastAsia"/>
          <w:sz w:val="70"/>
          <w:szCs w:val="70"/>
        </w:rPr>
      </w:pPr>
      <w:r>
        <w:rPr>
          <w:sz w:val="70"/>
          <w:szCs w:val="70"/>
        </w:rPr>
        <w:t>2019</w:t>
      </w:r>
      <w:r>
        <w:rPr>
          <w:rFonts w:hint="eastAsia"/>
          <w:sz w:val="70"/>
          <w:szCs w:val="70"/>
        </w:rPr>
        <w:t>年度部门决算</w:t>
      </w:r>
    </w:p>
    <w:p>
      <w:pPr>
        <w:pStyle w:val="12"/>
        <w:jc w:val="center"/>
        <w:rPr>
          <w:sz w:val="70"/>
          <w:szCs w:val="70"/>
        </w:rPr>
      </w:pPr>
      <w:r>
        <w:rPr>
          <w:rFonts w:hint="eastAsia"/>
          <w:sz w:val="70"/>
          <w:szCs w:val="70"/>
        </w:rPr>
        <w:t>情况说明</w:t>
      </w:r>
    </w:p>
    <w:p>
      <w:pPr>
        <w:widowControl/>
        <w:jc w:val="left"/>
        <w:rPr>
          <w:rFonts w:ascii="黑体" w:eastAsia="黑体" w:cs="黑体"/>
          <w:color w:val="000000"/>
          <w:kern w:val="0"/>
          <w:sz w:val="70"/>
          <w:szCs w:val="70"/>
        </w:rPr>
      </w:pPr>
      <w:r>
        <w:rPr>
          <w:sz w:val="70"/>
          <w:szCs w:val="70"/>
        </w:rPr>
        <w:br w:type="page"/>
      </w:r>
    </w:p>
    <w:p>
      <w:pPr>
        <w:pStyle w:val="12"/>
        <w:rPr>
          <w:rFonts w:hAnsi="黑体"/>
          <w:b/>
          <w:sz w:val="32"/>
          <w:szCs w:val="32"/>
        </w:rPr>
      </w:pPr>
      <w:r>
        <w:rPr>
          <w:rFonts w:hint="eastAsia" w:hAnsi="黑体"/>
          <w:b/>
          <w:sz w:val="32"/>
          <w:szCs w:val="32"/>
        </w:rPr>
        <w:t>一、收入支出决算总体情况说明</w:t>
      </w:r>
    </w:p>
    <w:p>
      <w:pPr>
        <w:widowControl/>
        <w:shd w:val="clear" w:color="auto" w:fill="FFFFFF"/>
        <w:spacing w:line="616" w:lineRule="exact"/>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2019 年度收、支总计</w:t>
      </w:r>
      <w:r>
        <w:rPr>
          <w:rFonts w:hint="eastAsia" w:asciiTheme="minorEastAsia" w:hAnsiTheme="minorEastAsia" w:eastAsiaTheme="minorEastAsia"/>
          <w:sz w:val="32"/>
          <w:szCs w:val="32"/>
          <w:lang w:val="en-US" w:eastAsia="zh-CN"/>
        </w:rPr>
        <w:t>5437.18</w:t>
      </w:r>
      <w:r>
        <w:rPr>
          <w:rFonts w:hint="eastAsia" w:asciiTheme="minorEastAsia" w:hAnsiTheme="minorEastAsia" w:eastAsiaTheme="minorEastAsia"/>
          <w:sz w:val="32"/>
          <w:szCs w:val="32"/>
        </w:rPr>
        <w:t>万元。与2018年相比，增加</w:t>
      </w:r>
      <w:r>
        <w:rPr>
          <w:rFonts w:hint="eastAsia" w:asciiTheme="minorEastAsia" w:hAnsiTheme="minorEastAsia" w:eastAsiaTheme="minorEastAsia"/>
          <w:sz w:val="32"/>
          <w:szCs w:val="32"/>
          <w:lang w:val="en-US" w:eastAsia="zh-CN"/>
        </w:rPr>
        <w:t>1096.62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50.53</w:t>
      </w:r>
      <w:r>
        <w:rPr>
          <w:rFonts w:hint="eastAsia" w:asciiTheme="minorEastAsia" w:hAnsiTheme="minorEastAsia" w:eastAsiaTheme="minorEastAsia"/>
          <w:sz w:val="32"/>
          <w:szCs w:val="32"/>
        </w:rPr>
        <w:t>%，主要是因为扶贫事务繁多，加大扶贫力度，大量投入扶贫项目资金。</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1633.45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1633.45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1633.45</w:t>
      </w:r>
      <w:r>
        <w:rPr>
          <w:rFonts w:hint="eastAsia" w:asciiTheme="minorEastAsia" w:hAnsiTheme="minorEastAsia" w:eastAsiaTheme="minorEastAsia"/>
          <w:sz w:val="32"/>
          <w:szCs w:val="32"/>
        </w:rPr>
        <w:t>万元，其中：基本支出</w:t>
      </w:r>
      <w:r>
        <w:rPr>
          <w:rFonts w:hint="eastAsia" w:ascii="仿宋_GB2312" w:eastAsia="仿宋_GB2312"/>
          <w:bCs/>
          <w:kern w:val="0"/>
          <w:sz w:val="32"/>
          <w:szCs w:val="32"/>
          <w:lang w:val="en-US" w:eastAsia="zh-CN"/>
        </w:rPr>
        <w:t>715.95</w:t>
      </w:r>
      <w:r>
        <w:rPr>
          <w:rFonts w:hint="eastAsia" w:asciiTheme="minorEastAsia" w:hAnsiTheme="minorEastAsia" w:eastAsiaTheme="minorEastAsia"/>
          <w:sz w:val="32"/>
          <w:szCs w:val="32"/>
        </w:rPr>
        <w:t>万元，占</w:t>
      </w:r>
      <w:r>
        <w:rPr>
          <w:rFonts w:hint="eastAsia" w:ascii="仿宋_GB2312" w:eastAsia="仿宋_GB2312"/>
          <w:bCs/>
          <w:kern w:val="0"/>
          <w:sz w:val="32"/>
          <w:szCs w:val="32"/>
          <w:lang w:val="en-US" w:eastAsia="zh-CN"/>
        </w:rPr>
        <w:t>43.83</w:t>
      </w:r>
      <w:r>
        <w:rPr>
          <w:rFonts w:hint="eastAsia" w:asciiTheme="minorEastAsia" w:hAnsiTheme="minorEastAsia" w:eastAsiaTheme="minorEastAsia"/>
          <w:sz w:val="32"/>
          <w:szCs w:val="32"/>
        </w:rPr>
        <w:t>%；项目支出</w:t>
      </w:r>
      <w:r>
        <w:rPr>
          <w:rFonts w:hint="eastAsia" w:ascii="仿宋_GB2312" w:eastAsia="仿宋_GB2312"/>
          <w:bCs/>
          <w:kern w:val="0"/>
          <w:sz w:val="32"/>
          <w:szCs w:val="32"/>
          <w:lang w:val="en-US" w:eastAsia="zh-CN"/>
        </w:rPr>
        <w:t>917.5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56.17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四、财政拨款收入支出决算总体情况说明</w:t>
      </w:r>
    </w:p>
    <w:p>
      <w:pPr>
        <w:widowControl/>
        <w:shd w:val="clear" w:color="auto" w:fill="FFFFFF"/>
        <w:spacing w:line="616" w:lineRule="exact"/>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2019年度财政拨款收、支总计</w:t>
      </w:r>
      <w:r>
        <w:rPr>
          <w:rFonts w:hint="eastAsia" w:asciiTheme="minorEastAsia" w:hAnsiTheme="minorEastAsia" w:eastAsiaTheme="minorEastAsia"/>
          <w:sz w:val="32"/>
          <w:szCs w:val="32"/>
          <w:lang w:val="en-US" w:eastAsia="zh-CN"/>
        </w:rPr>
        <w:t>3266.9</w:t>
      </w:r>
      <w:r>
        <w:rPr>
          <w:rFonts w:hint="eastAsia" w:asciiTheme="minorEastAsia" w:hAnsiTheme="minorEastAsia" w:eastAsiaTheme="minorEastAsia"/>
          <w:sz w:val="32"/>
          <w:szCs w:val="32"/>
        </w:rPr>
        <w:t>万元，与2018年相比，增加</w:t>
      </w:r>
      <w:r>
        <w:rPr>
          <w:rFonts w:hint="eastAsia" w:asciiTheme="minorEastAsia" w:hAnsiTheme="minorEastAsia" w:eastAsiaTheme="minorEastAsia"/>
          <w:sz w:val="32"/>
          <w:szCs w:val="32"/>
          <w:lang w:val="en-US" w:eastAsia="zh-CN"/>
        </w:rPr>
        <w:t>1096.62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50.53</w:t>
      </w:r>
      <w:r>
        <w:rPr>
          <w:rFonts w:hint="eastAsia" w:asciiTheme="minorEastAsia" w:hAnsiTheme="minorEastAsia" w:eastAsiaTheme="minorEastAsia"/>
          <w:sz w:val="32"/>
          <w:szCs w:val="32"/>
        </w:rPr>
        <w:t>%，主要是因为扶贫事务繁多，加大扶贫力度，大量投入扶贫项目资金。</w:t>
      </w:r>
    </w:p>
    <w:p>
      <w:pPr>
        <w:pStyle w:val="12"/>
        <w:rPr>
          <w:rFonts w:hAnsi="黑体"/>
          <w:b/>
          <w:sz w:val="32"/>
          <w:szCs w:val="32"/>
        </w:rPr>
      </w:pPr>
      <w:r>
        <w:rPr>
          <w:rFonts w:hint="eastAsia" w:hAnsi="黑体"/>
          <w:b/>
          <w:sz w:val="32"/>
          <w:szCs w:val="32"/>
        </w:rPr>
        <w:t>五、一般公共预算财政拨款支出决算情况说明</w:t>
      </w:r>
    </w:p>
    <w:p>
      <w:pPr>
        <w:pStyle w:val="12"/>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widowControl/>
        <w:spacing w:line="600" w:lineRule="exact"/>
        <w:ind w:firstLine="627" w:firstLineChars="196"/>
        <w:jc w:val="left"/>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1395.70</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85.44</w:t>
      </w:r>
      <w:r>
        <w:rPr>
          <w:rFonts w:hint="eastAsia" w:asciiTheme="minorEastAsia" w:hAnsiTheme="minorEastAsia" w:eastAsiaTheme="minorEastAsia"/>
          <w:sz w:val="32"/>
          <w:szCs w:val="32"/>
        </w:rPr>
        <w:t>%，与2018年相比，财政拨款支出增加</w:t>
      </w:r>
      <w:r>
        <w:rPr>
          <w:rFonts w:hint="eastAsia" w:asciiTheme="minorEastAsia" w:hAnsiTheme="minorEastAsia" w:eastAsiaTheme="minorEastAsia"/>
          <w:sz w:val="32"/>
          <w:szCs w:val="32"/>
          <w:lang w:val="en-US" w:eastAsia="zh-CN"/>
        </w:rPr>
        <w:t>362.56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35.09</w:t>
      </w:r>
      <w:r>
        <w:rPr>
          <w:rFonts w:hint="eastAsia" w:asciiTheme="minorEastAsia" w:hAnsiTheme="minorEastAsia" w:eastAsiaTheme="minorEastAsia"/>
          <w:sz w:val="32"/>
          <w:szCs w:val="32"/>
        </w:rPr>
        <w:t>%，主要是因为扶贫事务繁多，加大扶贫力度，大量投入扶贫项目资金。</w:t>
      </w:r>
    </w:p>
    <w:p>
      <w:pPr>
        <w:pStyle w:val="12"/>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1395.70</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375.72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26.92</w:t>
      </w:r>
      <w:r>
        <w:rPr>
          <w:rFonts w:hint="eastAsia" w:asciiTheme="minorEastAsia" w:hAnsiTheme="minorEastAsia" w:eastAsiaTheme="minorEastAsia"/>
          <w:sz w:val="32"/>
          <w:szCs w:val="32"/>
        </w:rPr>
        <w:t>%；公共安全支出</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0.33</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86.03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6.16</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67.18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4.81</w:t>
      </w:r>
      <w:r>
        <w:rPr>
          <w:rFonts w:hint="eastAsia" w:asciiTheme="minorEastAsia" w:hAnsiTheme="minorEastAsia" w:eastAsiaTheme="minorEastAsia"/>
          <w:sz w:val="32"/>
          <w:szCs w:val="32"/>
        </w:rPr>
        <w:t>%;节能环保支出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0.29</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val="en-US" w:eastAsia="zh-CN"/>
        </w:rPr>
        <w:t>46.48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3.33</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811.69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58.16</w:t>
      </w:r>
      <w:r>
        <w:rPr>
          <w:rFonts w:hint="eastAsia" w:asciiTheme="minorEastAsia" w:hAnsiTheme="minorEastAsia" w:eastAsiaTheme="minorEastAsia"/>
          <w:sz w:val="32"/>
          <w:szCs w:val="32"/>
        </w:rPr>
        <w:t>%;</w:t>
      </w:r>
    </w:p>
    <w:p>
      <w:pPr>
        <w:pStyle w:val="12"/>
        <w:ind w:firstLine="803"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2019年度财政拨款支出年初预算数为</w:t>
      </w:r>
      <w:r>
        <w:rPr>
          <w:rFonts w:hint="eastAsia" w:asciiTheme="minorEastAsia" w:hAnsiTheme="minorEastAsia" w:eastAsiaTheme="minorEastAsia"/>
          <w:sz w:val="32"/>
          <w:szCs w:val="32"/>
          <w:lang w:val="en-US" w:eastAsia="zh-CN"/>
        </w:rPr>
        <w:t>1395.7</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1395.7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381.47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282.55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74.07</w:t>
      </w:r>
      <w:r>
        <w:rPr>
          <w:rFonts w:hint="eastAsia" w:asciiTheme="minorEastAsia" w:hAnsiTheme="minorEastAsia" w:eastAsiaTheme="minorEastAsia"/>
          <w:sz w:val="32"/>
          <w:szCs w:val="32"/>
        </w:rPr>
        <w:t>%，决算数小于年初预算数的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2、一般公共服务（类）政府办公厅（室）及相关机构事务（款）信访事务（项）。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、一般公共服务（类）政府办公厅（室）及相关机构事务（款） 其他政府办公厅（室）及相关机构事务支出（项）。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58.27</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、一般公共服务（类）财政事务（款）行政运行（项）。</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36.01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27.97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77.67</w:t>
      </w:r>
      <w:r>
        <w:rPr>
          <w:rFonts w:hint="eastAsia" w:asciiTheme="minorEastAsia" w:hAnsiTheme="minorEastAsia" w:eastAsiaTheme="minorEastAsia"/>
          <w:sz w:val="32"/>
          <w:szCs w:val="32"/>
        </w:rPr>
        <w:t>%，决算数小于年初预算数的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、一般公共服务（类）财政事务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款）一般行政管理事务（项）。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0.96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、一般公共服务（类）纪检监察事务（款）行政运行（项）。</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2.97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%，决算数小于年初预算数的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一般公共服务（类）市场监督管理事务（款）市场监管执法（项）。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、公共安全支出（类）公安（款）其他公安支出（项）。</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民政管理事务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其他民政管理事务支出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numPr>
          <w:ilvl w:val="0"/>
          <w:numId w:val="0"/>
        </w:numPr>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社会保障和就业支出（类）抚恤（款）死亡抚恤（项）。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74.03</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社会保障和就业支出（类）退役安置（款） 其他退役安置支出（项）。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残疾人事业</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残疾人就业和扶贫</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、卫生健康支出（类）卫生健康管理事务（款）其他卫生健康管理事务支出（项）。</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18.99</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eastAsia="zh-CN"/>
        </w:rPr>
        <w:t>妇幼保健</w:t>
      </w:r>
      <w:r>
        <w:rPr>
          <w:rFonts w:hint="eastAsia" w:asciiTheme="minorEastAsia" w:hAnsiTheme="minorEastAsia" w:eastAsiaTheme="minorEastAsia"/>
          <w:sz w:val="32"/>
          <w:szCs w:val="32"/>
        </w:rPr>
        <w:t>机构（项）。</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卫生健康支出（类）公共卫生（款）精神卫生机构（项）。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、卫生健康支出（类）计划生育事务（款）计划生育机构（项）。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34.96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、卫生健康支出（类）计划生育事务（款）其他计划生育事务支出（项）。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53.45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12.24</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lang w:eastAsia="zh-CN"/>
        </w:rPr>
        <w:t>决算数小于年初预算数的主要原因是厉行节约，缩减开支。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、节能环保支出（类）环境保护管理事务（款）其他环境保护管理事务支出（项）。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、节能环保支出（类）污染防治（款）其他污染防治支出（项）。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、城乡社区支出（类）城乡社区公共设施（款）小城镇基础设施建设（项）。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43.48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、城乡社区支出（类）城乡社区环境卫生（款）城乡社区环境卫生（项）。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、农林水支出（类）农业（款） 农业行业业务管理（项）。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、农林水支出（类）农业（款）其他农业支出（项）。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6.10</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、农林水支出（类）林业和草原（款）行政运行（项）。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30.84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25.16</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lang w:eastAsia="zh-CN"/>
        </w:rPr>
        <w:t>决算数小于年初预算数的主要原因是厉行节约，缩减开支。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、农林水支出（类）林业和草原（款）森林生态效益补偿（项）。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0.58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、农林水支出（类）水利（款）水利工程建设（项）。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、农林水支出（类）水利（款）水利工程运行与维护（项）。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、农林水支出（类）水利（款）</w:t>
      </w:r>
      <w:r>
        <w:rPr>
          <w:rFonts w:hint="eastAsia" w:asciiTheme="minorEastAsia" w:hAnsiTheme="minorEastAsia" w:eastAsiaTheme="minorEastAsia"/>
          <w:sz w:val="32"/>
          <w:szCs w:val="32"/>
          <w:lang w:eastAsia="zh-CN"/>
        </w:rPr>
        <w:t>其他水利支出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、农林水支出（类）扶贫（款）行政运行（项）。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、农林水支出（类）扶贫（款）农村基础设施建设（项）。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355.89</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、农林水支出（类）扶贫（款）生产发展（项）。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230.15</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、农林水支出（类）扶贫（款）其他扶贫支出（项）。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、农林水支出（类）农村综合改革（款）对村民委员会和村党支部的补助（项）。</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198.97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139.08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69.90</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rPr>
        <w:t>决算数小于年初预算数的主要原因是厉行节约，缩减开支。</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农林水支出（款）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农林水支出（项）。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决算数大于年初预算数的主要原因是年初预算未列支。</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2019年度财政拨款基本支出</w:t>
      </w:r>
      <w:r>
        <w:rPr>
          <w:rFonts w:hint="eastAsia" w:asciiTheme="minorEastAsia" w:hAnsiTheme="minorEastAsia" w:eastAsiaTheme="minorEastAsia"/>
          <w:sz w:val="32"/>
          <w:szCs w:val="32"/>
          <w:lang w:val="en-US" w:eastAsia="zh-CN"/>
        </w:rPr>
        <w:t>715.95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589.82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82.38</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245.83万元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11.45万元</w:t>
      </w:r>
      <w:r>
        <w:rPr>
          <w:rFonts w:hint="eastAsia" w:asciiTheme="minorEastAsia" w:hAnsiTheme="minorEastAsia" w:eastAsiaTheme="minorEastAsia"/>
          <w:sz w:val="32"/>
          <w:szCs w:val="32"/>
        </w:rPr>
        <w:t>、奖金</w:t>
      </w:r>
      <w:r>
        <w:rPr>
          <w:rFonts w:hint="eastAsia" w:asciiTheme="minorEastAsia" w:hAnsiTheme="minorEastAsia" w:eastAsiaTheme="minorEastAsia"/>
          <w:sz w:val="32"/>
          <w:szCs w:val="32"/>
          <w:lang w:val="en-US" w:eastAsia="zh-CN"/>
        </w:rPr>
        <w:t>66.28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伙食补助费</w:t>
      </w:r>
      <w:r>
        <w:rPr>
          <w:rFonts w:hint="eastAsia" w:asciiTheme="minorEastAsia" w:hAnsiTheme="minorEastAsia" w:eastAsiaTheme="minorEastAsia"/>
          <w:sz w:val="32"/>
          <w:szCs w:val="32"/>
          <w:lang w:val="en-US" w:eastAsia="zh-CN"/>
        </w:rPr>
        <w:t>9.03万元、</w:t>
      </w:r>
      <w:r>
        <w:rPr>
          <w:rFonts w:hint="eastAsia" w:asciiTheme="minorEastAsia" w:hAnsiTheme="minorEastAsia" w:eastAsiaTheme="minorEastAsia"/>
          <w:sz w:val="32"/>
          <w:szCs w:val="32"/>
        </w:rPr>
        <w:t>职工基本医疗保险缴费</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、其他社会保障缴费</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lang w:val="en-US" w:eastAsia="zh-CN"/>
        </w:rPr>
        <w:t>11.09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、其他工资福利支出</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 抚恤金</w:t>
      </w:r>
      <w:r>
        <w:rPr>
          <w:rFonts w:hint="eastAsia" w:asciiTheme="minorEastAsia" w:hAnsiTheme="minorEastAsia" w:eastAsiaTheme="minorEastAsia"/>
          <w:sz w:val="32"/>
          <w:szCs w:val="32"/>
          <w:lang w:val="en-US" w:eastAsia="zh-CN"/>
        </w:rPr>
        <w:t>64.99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、生活补助</w:t>
      </w:r>
      <w:r>
        <w:rPr>
          <w:rFonts w:hint="eastAsia" w:asciiTheme="minorEastAsia" w:hAnsiTheme="minorEastAsia" w:eastAsiaTheme="minorEastAsia"/>
          <w:sz w:val="32"/>
          <w:szCs w:val="32"/>
          <w:lang w:val="en-US" w:eastAsia="zh-CN"/>
        </w:rPr>
        <w:t>147.12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、个人农业生产补贴</w:t>
      </w:r>
      <w:r>
        <w:rPr>
          <w:rFonts w:hint="eastAsia" w:asciiTheme="minorEastAsia" w:hAnsiTheme="minorEastAsia" w:eastAsiaTheme="minorEastAsia"/>
          <w:sz w:val="32"/>
          <w:szCs w:val="32"/>
          <w:lang w:val="en-US" w:eastAsia="zh-CN"/>
        </w:rPr>
        <w:t>0.58万元</w:t>
      </w:r>
      <w:r>
        <w:rPr>
          <w:rFonts w:hint="eastAsia" w:asciiTheme="minorEastAsia" w:hAnsiTheme="minorEastAsia" w:eastAsiaTheme="minorEastAsia"/>
          <w:sz w:val="32"/>
          <w:szCs w:val="32"/>
          <w:lang w:eastAsia="zh-CN"/>
        </w:rPr>
        <w:t>、其他对个人和家庭的补助</w:t>
      </w:r>
      <w:r>
        <w:rPr>
          <w:rFonts w:hint="eastAsia" w:asciiTheme="minorEastAsia" w:hAnsiTheme="minorEastAsia" w:eastAsiaTheme="minorEastAsia"/>
          <w:sz w:val="32"/>
          <w:szCs w:val="32"/>
          <w:lang w:val="en-US" w:eastAsia="zh-CN"/>
        </w:rPr>
        <w:t>13.49</w:t>
      </w:r>
      <w:r>
        <w:rPr>
          <w:rFonts w:hint="eastAsia" w:asciiTheme="minorEastAsia" w:hAnsiTheme="minorEastAsia" w:eastAsiaTheme="minorEastAsia"/>
          <w:sz w:val="32"/>
          <w:szCs w:val="32"/>
        </w:rPr>
        <w:t>万元；公用经费</w:t>
      </w:r>
      <w:r>
        <w:rPr>
          <w:rFonts w:hint="eastAsia" w:asciiTheme="minorEastAsia" w:hAnsiTheme="minorEastAsia" w:eastAsiaTheme="minorEastAsia"/>
          <w:sz w:val="32"/>
          <w:szCs w:val="32"/>
          <w:lang w:val="en-US" w:eastAsia="zh-CN"/>
        </w:rPr>
        <w:t>126.13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17.62</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55.89</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0.60</w:t>
      </w:r>
      <w:r>
        <w:rPr>
          <w:rFonts w:hint="eastAsia" w:asciiTheme="minorEastAsia" w:hAnsiTheme="minorEastAsia" w:eastAsiaTheme="minorEastAsia"/>
          <w:sz w:val="32"/>
          <w:szCs w:val="32"/>
        </w:rPr>
        <w:t>万元、电费</w:t>
      </w:r>
      <w:r>
        <w:rPr>
          <w:rFonts w:hint="eastAsia" w:asciiTheme="minorEastAsia" w:hAnsiTheme="minorEastAsia" w:eastAsiaTheme="minorEastAsia"/>
          <w:sz w:val="32"/>
          <w:szCs w:val="32"/>
          <w:lang w:val="en-US" w:eastAsia="zh-CN"/>
        </w:rPr>
        <w:t>1.99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、取暖费</w:t>
      </w:r>
      <w:r>
        <w:rPr>
          <w:rFonts w:hint="eastAsia" w:asciiTheme="minorEastAsia" w:hAnsiTheme="minorEastAsia" w:eastAsiaTheme="minorEastAsia"/>
          <w:sz w:val="32"/>
          <w:szCs w:val="32"/>
          <w:lang w:val="en-US" w:eastAsia="zh-CN"/>
        </w:rPr>
        <w:t>3.38万元、</w:t>
      </w:r>
      <w:r>
        <w:rPr>
          <w:rFonts w:hint="eastAsia" w:asciiTheme="minorEastAsia" w:hAnsiTheme="minorEastAsia" w:eastAsiaTheme="minorEastAsia"/>
          <w:sz w:val="32"/>
          <w:szCs w:val="32"/>
          <w:lang w:eastAsia="zh-CN"/>
        </w:rPr>
        <w:t>差旅费</w:t>
      </w:r>
      <w:r>
        <w:rPr>
          <w:rFonts w:hint="eastAsia" w:asciiTheme="minorEastAsia" w:hAnsiTheme="minorEastAsia" w:eastAsiaTheme="minorEastAsia"/>
          <w:sz w:val="32"/>
          <w:szCs w:val="32"/>
          <w:lang w:val="en-US" w:eastAsia="zh-CN"/>
        </w:rPr>
        <w:t>19.07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、维修（护）费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、会议费</w:t>
      </w:r>
      <w:r>
        <w:rPr>
          <w:rFonts w:hint="eastAsia" w:asciiTheme="minorEastAsia" w:hAnsiTheme="minorEastAsia" w:eastAsiaTheme="minorEastAsia"/>
          <w:sz w:val="32"/>
          <w:szCs w:val="32"/>
          <w:lang w:val="en-US" w:eastAsia="zh-CN"/>
        </w:rPr>
        <w:t>6.15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、公务接待费</w:t>
      </w:r>
      <w:r>
        <w:rPr>
          <w:rFonts w:hint="eastAsia" w:asciiTheme="minorEastAsia" w:hAnsiTheme="minorEastAsia" w:eastAsiaTheme="minorEastAsia"/>
          <w:sz w:val="32"/>
          <w:szCs w:val="32"/>
          <w:lang w:val="en-US" w:eastAsia="zh-CN"/>
        </w:rPr>
        <w:t>2.11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、劳务费</w:t>
      </w:r>
      <w:r>
        <w:rPr>
          <w:rFonts w:hint="eastAsia" w:asciiTheme="minorEastAsia" w:hAnsiTheme="minorEastAsia" w:eastAsiaTheme="minorEastAsia"/>
          <w:sz w:val="32"/>
          <w:szCs w:val="32"/>
          <w:lang w:val="en-US" w:eastAsia="zh-CN"/>
        </w:rPr>
        <w:t>1.67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、公务用车运行维护费</w:t>
      </w:r>
      <w:r>
        <w:rPr>
          <w:rFonts w:hint="eastAsia" w:asciiTheme="minorEastAsia" w:hAnsiTheme="minorEastAsia" w:eastAsiaTheme="minorEastAsia"/>
          <w:sz w:val="32"/>
          <w:szCs w:val="32"/>
          <w:lang w:val="en-US" w:eastAsia="zh-CN"/>
        </w:rPr>
        <w:t>3.27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、其他交通费用</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、其他商品和服务支出</w:t>
      </w:r>
      <w:r>
        <w:rPr>
          <w:rFonts w:hint="eastAsia" w:asciiTheme="minorEastAsia" w:hAnsiTheme="minorEastAsia" w:eastAsiaTheme="minorEastAsia"/>
          <w:sz w:val="32"/>
          <w:szCs w:val="32"/>
          <w:lang w:val="en-US" w:eastAsia="zh-CN"/>
        </w:rPr>
        <w:t>27.94万</w:t>
      </w:r>
      <w:r>
        <w:rPr>
          <w:rFonts w:hint="eastAsia" w:asciiTheme="minorEastAsia" w:hAnsiTheme="minorEastAsia" w:eastAsiaTheme="minorEastAsia"/>
          <w:sz w:val="32"/>
          <w:szCs w:val="32"/>
        </w:rPr>
        <w:t>元</w:t>
      </w:r>
      <w:r>
        <w:rPr>
          <w:rFonts w:hint="eastAsia" w:asciiTheme="minorEastAsia" w:hAnsiTheme="minorEastAsia" w:eastAsiaTheme="minorEastAsia"/>
          <w:sz w:val="32"/>
          <w:szCs w:val="32"/>
          <w:lang w:eastAsia="zh-CN"/>
        </w:rPr>
        <w:t>。</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9.82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5.38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54.79</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3.52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59.94</w:t>
      </w:r>
      <w:r>
        <w:rPr>
          <w:rFonts w:hint="eastAsia" w:asciiTheme="minorEastAsia" w:hAnsiTheme="minorEastAsia" w:eastAsiaTheme="minorEastAsia"/>
          <w:sz w:val="32"/>
          <w:szCs w:val="32"/>
        </w:rPr>
        <w:t>%，决算数小于年初预算数的主要原因是严格遵守廉洁从政有关规定，严格控制公务接待。</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6.30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51.90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厉行节约，严格控制三公经费</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2019年度“三公”经费财政拨款支出决算中，公务接待费支出决算</w:t>
      </w:r>
      <w:r>
        <w:rPr>
          <w:rFonts w:hint="eastAsia" w:asciiTheme="minorEastAsia" w:hAnsiTheme="minorEastAsia" w:eastAsiaTheme="minorEastAsia"/>
          <w:sz w:val="32"/>
          <w:szCs w:val="32"/>
          <w:lang w:val="en-US" w:eastAsia="zh-CN"/>
        </w:rPr>
        <w:t>2.11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39.22</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3.27</w:t>
      </w:r>
      <w:r>
        <w:rPr>
          <w:rFonts w:hint="eastAsia" w:asciiTheme="minorEastAsia" w:hAnsiTheme="minorEastAsia" w:eastAsiaTheme="minorEastAsia"/>
          <w:sz w:val="32"/>
          <w:szCs w:val="32"/>
        </w:rPr>
        <w:t>元，占</w:t>
      </w:r>
      <w:r>
        <w:rPr>
          <w:rFonts w:hint="eastAsia" w:asciiTheme="minorEastAsia" w:hAnsiTheme="minorEastAsia" w:eastAsiaTheme="minorEastAsia"/>
          <w:sz w:val="32"/>
          <w:szCs w:val="32"/>
          <w:lang w:val="en-US" w:eastAsia="zh-CN"/>
        </w:rPr>
        <w:t>60.78</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2.11</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289</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日常公务</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3.27</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3.27</w:t>
      </w:r>
      <w:r>
        <w:rPr>
          <w:rFonts w:hint="eastAsia" w:asciiTheme="minorEastAsia" w:hAnsiTheme="minorEastAsia"/>
          <w:sz w:val="32"/>
          <w:szCs w:val="32"/>
        </w:rPr>
        <w:t>万元，主要是</w:t>
      </w:r>
      <w:r>
        <w:rPr>
          <w:rFonts w:hint="eastAsia" w:asciiTheme="minorEastAsia" w:hAnsiTheme="minorEastAsia"/>
          <w:sz w:val="32"/>
          <w:szCs w:val="32"/>
          <w:lang w:val="en-US" w:eastAsia="zh-CN"/>
        </w:rPr>
        <w:t>日常加油和维修</w:t>
      </w:r>
      <w:r>
        <w:rPr>
          <w:rFonts w:hint="eastAsia" w:asciiTheme="minorEastAsia" w:hAnsiTheme="minorEastAsia"/>
          <w:sz w:val="32"/>
          <w:szCs w:val="32"/>
        </w:rPr>
        <w:t>支出，截止2019年12月31日，我单位开支财政拨款的公务用车保有量为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2"/>
        <w:rPr>
          <w:rFonts w:hAnsi="黑体"/>
          <w:b/>
          <w:sz w:val="32"/>
          <w:szCs w:val="32"/>
        </w:rPr>
      </w:pPr>
      <w:r>
        <w:rPr>
          <w:rFonts w:hint="eastAsia" w:hAnsi="黑体"/>
          <w:b/>
          <w:sz w:val="32"/>
          <w:szCs w:val="32"/>
        </w:rPr>
        <w:t>八、政府性基金预算收入支出决算情况</w:t>
      </w:r>
    </w:p>
    <w:p>
      <w:pPr>
        <w:pStyle w:val="12"/>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2019年度政府性基金预算财政拨款收入</w:t>
      </w:r>
      <w:r>
        <w:rPr>
          <w:rFonts w:hint="eastAsia" w:asciiTheme="minorEastAsia" w:hAnsiTheme="minorEastAsia" w:eastAsiaTheme="minorEastAsia"/>
          <w:sz w:val="32"/>
          <w:szCs w:val="32"/>
          <w:lang w:val="en-US" w:eastAsia="zh-CN"/>
        </w:rPr>
        <w:t>237.75</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237.75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237.75</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rPr>
          <w:rFonts w:hAnsi="黑体"/>
          <w:b/>
          <w:sz w:val="32"/>
          <w:szCs w:val="32"/>
        </w:rPr>
      </w:pPr>
      <w:r>
        <w:rPr>
          <w:rFonts w:hint="eastAsia" w:hAnsi="黑体"/>
          <w:b/>
          <w:sz w:val="32"/>
          <w:szCs w:val="32"/>
        </w:rPr>
        <w:t>九、关于2019年度预算绩效情况说明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pPr>
        <w:spacing w:line="640" w:lineRule="exact"/>
        <w:ind w:firstLine="640" w:firstLineChars="200"/>
        <w:rPr>
          <w:rFonts w:asciiTheme="minorEastAsia" w:hAnsiTheme="minorEastAsia"/>
          <w:sz w:val="32"/>
          <w:szCs w:val="32"/>
        </w:rPr>
      </w:pPr>
      <w:r>
        <w:rPr>
          <w:rFonts w:hint="eastAsia" w:asciiTheme="minorEastAsia" w:hAnsiTheme="minorEastAsia"/>
          <w:sz w:val="32"/>
          <w:szCs w:val="32"/>
        </w:rPr>
        <w:t>本单位的绩效目标是：确保政府正常运转，人员经费及时足额发放；</w:t>
      </w:r>
      <w:r>
        <w:rPr>
          <w:rFonts w:hint="eastAsia" w:asciiTheme="minorEastAsia" w:hAnsiTheme="minorEastAsia"/>
          <w:sz w:val="32"/>
          <w:szCs w:val="32"/>
          <w:lang w:eastAsia="zh-CN"/>
        </w:rPr>
        <w:t>脱贫攻坚引领</w:t>
      </w:r>
      <w:r>
        <w:rPr>
          <w:rFonts w:hint="eastAsia" w:asciiTheme="minorEastAsia" w:hAnsiTheme="minorEastAsia"/>
          <w:sz w:val="32"/>
          <w:szCs w:val="32"/>
        </w:rPr>
        <w:t>小城镇建设有序推进，贫困地区群众享受到红利</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过细过实，把脱贫攻坚的成效刻在老百姓的心坎上；</w:t>
      </w:r>
      <w:r>
        <w:rPr>
          <w:rFonts w:hint="eastAsia" w:asciiTheme="minorEastAsia" w:hAnsiTheme="minorEastAsia"/>
          <w:sz w:val="32"/>
          <w:szCs w:val="32"/>
        </w:rPr>
        <w:t>稳步推进农业生产，稳固发展根基</w:t>
      </w:r>
      <w:r>
        <w:rPr>
          <w:rFonts w:hint="eastAsia" w:asciiTheme="minorEastAsia" w:hAnsiTheme="minorEastAsia"/>
          <w:sz w:val="32"/>
          <w:szCs w:val="32"/>
          <w:lang w:eastAsia="zh-CN"/>
        </w:rPr>
        <w:t>；</w:t>
      </w:r>
      <w:r>
        <w:rPr>
          <w:rFonts w:hint="eastAsia" w:asciiTheme="minorEastAsia" w:hAnsiTheme="minorEastAsia"/>
          <w:sz w:val="32"/>
          <w:szCs w:val="32"/>
        </w:rPr>
        <w:t>守牢底线工作，统筹协调推进</w:t>
      </w:r>
      <w:r>
        <w:rPr>
          <w:rFonts w:hint="eastAsia" w:asciiTheme="minorEastAsia" w:hAnsiTheme="minorEastAsia"/>
          <w:sz w:val="32"/>
          <w:szCs w:val="32"/>
          <w:lang w:eastAsia="zh-CN"/>
        </w:rPr>
        <w:t>；</w:t>
      </w:r>
      <w:r>
        <w:rPr>
          <w:rFonts w:hint="eastAsia" w:asciiTheme="minorEastAsia" w:hAnsiTheme="minorEastAsia"/>
          <w:sz w:val="32"/>
          <w:szCs w:val="32"/>
        </w:rPr>
        <w:t>完成县委、县政府交办的其他工作。经过努力，已经圆满达到这个目标。</w:t>
      </w:r>
    </w:p>
    <w:p>
      <w:pPr>
        <w:spacing w:line="640" w:lineRule="exact"/>
        <w:ind w:firstLine="640" w:firstLineChars="200"/>
        <w:rPr>
          <w:rFonts w:cs="黑体" w:asciiTheme="minorEastAsia" w:hAnsiTheme="minorEastAsia"/>
          <w:sz w:val="32"/>
          <w:szCs w:val="32"/>
        </w:rPr>
      </w:pPr>
      <w:r>
        <w:rPr>
          <w:rFonts w:hint="eastAsia" w:cs="黑体" w:asciiTheme="minorEastAsia" w:hAnsiTheme="minorEastAsia"/>
          <w:sz w:val="32"/>
          <w:szCs w:val="32"/>
        </w:rPr>
        <w:t>本单位《2019年度整体支出绩效自评报告》见附件。</w:t>
      </w:r>
    </w:p>
    <w:p>
      <w:pPr>
        <w:pStyle w:val="12"/>
        <w:rPr>
          <w:rFonts w:hAnsi="黑体"/>
          <w:b/>
          <w:sz w:val="32"/>
          <w:szCs w:val="32"/>
        </w:rPr>
      </w:pPr>
      <w:r>
        <w:rPr>
          <w:rFonts w:hint="eastAsia" w:hAnsi="黑体"/>
          <w:b/>
          <w:sz w:val="32"/>
          <w:szCs w:val="32"/>
        </w:rPr>
        <w:t>十、其他重要事项情况说明</w:t>
      </w:r>
    </w:p>
    <w:p>
      <w:pPr>
        <w:ind w:firstLine="482"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本部门2019年度机关运行经费支出</w:t>
      </w:r>
      <w:r>
        <w:rPr>
          <w:rFonts w:hint="eastAsia" w:cs="黑体" w:asciiTheme="minorEastAsia" w:hAnsiTheme="minorEastAsia"/>
          <w:color w:val="000000"/>
          <w:kern w:val="0"/>
          <w:sz w:val="32"/>
          <w:szCs w:val="32"/>
          <w:lang w:val="en-US" w:eastAsia="zh-CN"/>
        </w:rPr>
        <w:t>126.13</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比年初预算数减少</w:t>
      </w:r>
      <w:r>
        <w:rPr>
          <w:rFonts w:hint="eastAsia" w:cs="黑体" w:asciiTheme="minorEastAsia" w:hAnsiTheme="minorEastAsia"/>
          <w:color w:val="000000"/>
          <w:kern w:val="0"/>
          <w:sz w:val="32"/>
          <w:szCs w:val="32"/>
          <w:lang w:val="en-US" w:eastAsia="zh-CN"/>
        </w:rPr>
        <w:t>96.28</w:t>
      </w:r>
      <w:r>
        <w:rPr>
          <w:rFonts w:hint="eastAsia" w:cs="黑体" w:asciiTheme="minorEastAsia" w:hAnsiTheme="minorEastAsia"/>
          <w:color w:val="000000"/>
          <w:kern w:val="0"/>
          <w:sz w:val="32"/>
          <w:szCs w:val="32"/>
        </w:rPr>
        <w:t>万元，降低</w:t>
      </w:r>
      <w:r>
        <w:rPr>
          <w:rFonts w:hint="eastAsia" w:cs="黑体" w:asciiTheme="minorEastAsia" w:hAnsiTheme="minorEastAsia"/>
          <w:color w:val="000000"/>
          <w:kern w:val="0"/>
          <w:sz w:val="32"/>
          <w:szCs w:val="32"/>
          <w:lang w:val="en-US" w:eastAsia="zh-CN"/>
        </w:rPr>
        <w:t>43.29</w:t>
      </w:r>
      <w:r>
        <w:rPr>
          <w:rFonts w:hint="eastAsia" w:cs="黑体" w:asciiTheme="minorEastAsia" w:hAnsiTheme="minorEastAsia"/>
          <w:color w:val="000000"/>
          <w:kern w:val="0"/>
          <w:sz w:val="32"/>
          <w:szCs w:val="32"/>
        </w:rPr>
        <w:t>%。主要原因是：</w:t>
      </w:r>
      <w:r>
        <w:rPr>
          <w:rFonts w:hint="eastAsia" w:asciiTheme="minorEastAsia" w:hAnsiTheme="minorEastAsia" w:eastAsiaTheme="minorEastAsia"/>
          <w:sz w:val="32"/>
          <w:szCs w:val="32"/>
        </w:rPr>
        <w:t>是严格遵守廉洁从政有关规定，</w:t>
      </w:r>
      <w:r>
        <w:rPr>
          <w:rFonts w:hint="eastAsia" w:asciiTheme="minorEastAsia" w:hAnsiTheme="minorEastAsia" w:eastAsiaTheme="minorEastAsia"/>
          <w:sz w:val="32"/>
          <w:szCs w:val="32"/>
          <w:lang w:eastAsia="zh-CN"/>
        </w:rPr>
        <w:t>厉行节约，严格控制三公经费</w:t>
      </w:r>
      <w:r>
        <w:rPr>
          <w:rFonts w:hint="eastAsia" w:asciiTheme="minorEastAsia" w:hAnsiTheme="minorEastAsia" w:eastAsiaTheme="minorEastAsia"/>
          <w:sz w:val="32"/>
          <w:szCs w:val="32"/>
        </w:rPr>
        <w:t>。</w:t>
      </w:r>
    </w:p>
    <w:p>
      <w:pPr>
        <w:ind w:firstLine="643" w:firstLineChars="200"/>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2019年本部门开支会议费</w:t>
      </w:r>
      <w:r>
        <w:rPr>
          <w:rFonts w:hint="eastAsia" w:cs="黑体" w:asciiTheme="minorEastAsia" w:hAnsiTheme="minorEastAsia"/>
          <w:color w:val="000000"/>
          <w:kern w:val="0"/>
          <w:sz w:val="32"/>
          <w:szCs w:val="32"/>
          <w:lang w:val="en-US" w:eastAsia="zh-CN"/>
        </w:rPr>
        <w:t>6.15</w:t>
      </w:r>
      <w:r>
        <w:rPr>
          <w:rFonts w:hint="eastAsia" w:cs="黑体" w:asciiTheme="minorEastAsia" w:hAnsiTheme="minorEastAsia"/>
          <w:color w:val="000000"/>
          <w:kern w:val="0"/>
          <w:sz w:val="32"/>
          <w:szCs w:val="32"/>
        </w:rPr>
        <w:t>万元，用于召开</w:t>
      </w:r>
      <w:r>
        <w:rPr>
          <w:rFonts w:hint="eastAsia" w:cs="黑体" w:asciiTheme="minorEastAsia" w:hAnsiTheme="minorEastAsia"/>
          <w:color w:val="000000"/>
          <w:kern w:val="0"/>
          <w:sz w:val="32"/>
          <w:szCs w:val="32"/>
          <w:lang w:val="en-US" w:eastAsia="zh-CN"/>
        </w:rPr>
        <w:t>脱贫攻坚、日常工作</w:t>
      </w:r>
      <w:r>
        <w:rPr>
          <w:rFonts w:hint="eastAsia" w:cs="黑体" w:asciiTheme="minorEastAsia" w:hAnsiTheme="minorEastAsia"/>
          <w:color w:val="000000"/>
          <w:kern w:val="0"/>
          <w:sz w:val="32"/>
          <w:szCs w:val="32"/>
        </w:rPr>
        <w:t>会议，人数</w:t>
      </w:r>
      <w:r>
        <w:rPr>
          <w:rFonts w:hint="eastAsia" w:cs="黑体" w:asciiTheme="minorEastAsia" w:hAnsiTheme="minorEastAsia"/>
          <w:color w:val="000000"/>
          <w:kern w:val="0"/>
          <w:sz w:val="32"/>
          <w:szCs w:val="32"/>
          <w:lang w:val="en-US" w:eastAsia="zh-CN"/>
        </w:rPr>
        <w:t>5122</w:t>
      </w:r>
      <w:r>
        <w:rPr>
          <w:rFonts w:hint="eastAsia" w:cs="黑体" w:asciiTheme="minorEastAsia" w:hAnsiTheme="minorEastAsia"/>
          <w:color w:val="000000"/>
          <w:kern w:val="0"/>
          <w:sz w:val="32"/>
          <w:szCs w:val="32"/>
        </w:rPr>
        <w:t>人</w:t>
      </w:r>
      <w:r>
        <w:rPr>
          <w:rFonts w:hint="eastAsia" w:cs="黑体" w:asciiTheme="minorEastAsia" w:hAnsiTheme="minorEastAsia"/>
          <w:color w:val="000000"/>
          <w:kern w:val="0"/>
          <w:sz w:val="32"/>
          <w:szCs w:val="32"/>
          <w:lang w:eastAsia="zh-CN"/>
        </w:rPr>
        <w:t>次</w:t>
      </w:r>
      <w:r>
        <w:rPr>
          <w:rFonts w:hint="eastAsia" w:cs="黑体" w:asciiTheme="minorEastAsia" w:hAnsiTheme="minorEastAsia"/>
          <w:color w:val="000000"/>
          <w:kern w:val="0"/>
          <w:sz w:val="32"/>
          <w:szCs w:val="32"/>
        </w:rPr>
        <w:t>，内容为</w:t>
      </w:r>
      <w:r>
        <w:rPr>
          <w:rFonts w:hint="eastAsia" w:cs="黑体" w:asciiTheme="minorEastAsia" w:hAnsiTheme="minorEastAsia"/>
          <w:color w:val="000000"/>
          <w:kern w:val="0"/>
          <w:sz w:val="32"/>
          <w:szCs w:val="32"/>
          <w:lang w:val="en-US" w:eastAsia="zh-CN"/>
        </w:rPr>
        <w:t>脱贫攻坚及日常工作安排</w:t>
      </w:r>
      <w:r>
        <w:rPr>
          <w:rFonts w:hint="eastAsia" w:cs="黑体" w:asciiTheme="minorEastAsia" w:hAnsiTheme="minorEastAsia"/>
          <w:color w:val="000000"/>
          <w:kern w:val="0"/>
          <w:sz w:val="32"/>
          <w:szCs w:val="32"/>
        </w:rPr>
        <w:t>；开支培训费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万元；举办节庆、晚会、论坛、赛事活动，开支</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p>
    <w:p>
      <w:pPr>
        <w:ind w:firstLine="643"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本部门2019年度政府采购支出总额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万元，其中：政府采购货物支出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万元、政府采购工程支出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万元、政府采购服务支出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万元。授予中小企业合同金额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万元，占政府采购支出总额的</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%，其中：授予小微企业合同金额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万元，占政府采购支出总额的</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w:t>
      </w:r>
    </w:p>
    <w:p>
      <w:pPr>
        <w:ind w:firstLine="482"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截至2019年12月31日，本单位共有车辆</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辆，其中，领导干部用车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辆、机要通信用车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辆、应急保障用车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辆、执法执勤用车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辆、特种专业技术用车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辆、其他用车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辆；单位价值50万元以上通用设备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台（套）；单位价值100万元以上专用设备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w:t>
      </w:r>
    </w:p>
    <w:p>
      <w:pPr>
        <w:widowControl/>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br w:type="page"/>
      </w:r>
    </w:p>
    <w:p>
      <w:pPr>
        <w:ind w:firstLine="640" w:firstLineChars="200"/>
        <w:rPr>
          <w:rFonts w:cs="黑体" w:asciiTheme="minorEastAsia" w:hAnsiTheme="minorEastAsia"/>
          <w:color w:val="000000"/>
          <w:kern w:val="0"/>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640" w:lineRule="exact"/>
        <w:jc w:val="center"/>
        <w:rPr>
          <w:rFonts w:hint="eastAsia" w:ascii="楷体" w:hAnsi="楷体" w:eastAsia="楷体"/>
          <w:b/>
          <w:spacing w:val="-2"/>
          <w:sz w:val="32"/>
          <w:szCs w:val="32"/>
        </w:rPr>
      </w:pPr>
      <w:r>
        <w:rPr>
          <w:rFonts w:hint="eastAsia" w:ascii="方正大标宋简体" w:eastAsia="方正大标宋简体"/>
          <w:sz w:val="44"/>
          <w:szCs w:val="44"/>
          <w:lang w:eastAsia="zh-CN"/>
        </w:rPr>
        <w:t>小横垅乡人民政府</w:t>
      </w:r>
      <w:r>
        <w:rPr>
          <w:rFonts w:hint="eastAsia" w:ascii="方正大标宋简体" w:eastAsia="方正大标宋简体"/>
          <w:sz w:val="44"/>
          <w:szCs w:val="44"/>
        </w:rPr>
        <w:t>整体支出绩效自评报告</w:t>
      </w:r>
    </w:p>
    <w:p>
      <w:pPr>
        <w:shd w:val="clear" w:color="auto" w:fill="FFFFFF"/>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pPr>
        <w:ind w:firstLine="640" w:firstLineChars="200"/>
        <w:jc w:val="left"/>
        <w:rPr>
          <w:rFonts w:hint="eastAsia" w:eastAsia="仿宋_GB2312"/>
          <w:kern w:val="0"/>
          <w:sz w:val="32"/>
          <w:szCs w:val="32"/>
        </w:rPr>
      </w:pPr>
      <w:r>
        <w:rPr>
          <w:rFonts w:hint="eastAsia" w:eastAsia="仿宋_GB2312"/>
          <w:kern w:val="0"/>
          <w:sz w:val="32"/>
          <w:szCs w:val="32"/>
        </w:rPr>
        <w:t>本单位是行政单位，下设党政办、经济发展办、综治维稳办、卫计办、党建站、农业服务中心、安监站、社会保障服务中心等。核定编制55名，实有人数43人，其中：行政人员20人、事业人员21人、工勤人员2人。</w:t>
      </w:r>
    </w:p>
    <w:p>
      <w:pPr>
        <w:widowControl/>
        <w:ind w:firstLine="640" w:firstLineChars="200"/>
        <w:rPr>
          <w:rFonts w:hint="eastAsia" w:ascii="仿宋_GB2312" w:eastAsia="仿宋_GB2312"/>
          <w:kern w:val="0"/>
          <w:sz w:val="32"/>
          <w:szCs w:val="32"/>
          <w:lang w:eastAsia="zh-CN"/>
        </w:rPr>
      </w:pPr>
      <w:r>
        <w:rPr>
          <w:rFonts w:hint="eastAsia" w:ascii="仿宋_GB2312" w:eastAsia="仿宋_GB2312" w:cs="仿宋_GB2312"/>
          <w:kern w:val="0"/>
          <w:sz w:val="32"/>
          <w:szCs w:val="32"/>
        </w:rPr>
        <w:t>主要职能</w:t>
      </w:r>
      <w:r>
        <w:rPr>
          <w:rFonts w:hint="eastAsia" w:ascii="仿宋_GB2312" w:eastAsia="仿宋_GB2312" w:cs="仿宋_GB2312"/>
          <w:kern w:val="0"/>
          <w:sz w:val="32"/>
          <w:szCs w:val="32"/>
          <w:lang w:eastAsia="zh-CN"/>
        </w:rPr>
        <w:t>如下：</w:t>
      </w:r>
    </w:p>
    <w:p>
      <w:pPr>
        <w:widowControl/>
        <w:ind w:firstLine="640" w:firstLineChars="200"/>
        <w:rPr>
          <w:rFonts w:hint="eastAsia" w:ascii="仿宋_GB2312" w:eastAsia="仿宋_GB2312"/>
          <w:sz w:val="32"/>
          <w:szCs w:val="32"/>
        </w:rPr>
      </w:pPr>
      <w:r>
        <w:rPr>
          <w:rFonts w:hint="eastAsia" w:ascii="仿宋_GB2312" w:eastAsia="仿宋_GB2312"/>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widowControl/>
        <w:ind w:firstLine="640" w:firstLineChars="200"/>
        <w:rPr>
          <w:rFonts w:hint="eastAsia" w:ascii="仿宋_GB2312" w:eastAsia="仿宋_GB2312"/>
          <w:sz w:val="32"/>
          <w:szCs w:val="32"/>
        </w:rPr>
      </w:pPr>
      <w:r>
        <w:rPr>
          <w:rFonts w:hint="eastAsia" w:ascii="仿宋_GB2312" w:eastAsia="仿宋_GB2312"/>
          <w:sz w:val="32"/>
          <w:szCs w:val="32"/>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widowControl/>
        <w:ind w:firstLine="640" w:firstLineChars="200"/>
        <w:rPr>
          <w:rFonts w:hint="eastAsia" w:ascii="仿宋_GB2312" w:eastAsia="仿宋_GB2312"/>
          <w:sz w:val="32"/>
          <w:szCs w:val="32"/>
        </w:rPr>
      </w:pPr>
      <w:r>
        <w:rPr>
          <w:rFonts w:hint="eastAsia" w:ascii="仿宋_GB2312" w:eastAsia="仿宋_GB2312"/>
          <w:sz w:val="32"/>
          <w:szCs w:val="32"/>
        </w:rPr>
        <w:t>(4)按计划组织本级财政收入和地方税的征收，完成国家财政计划，不断培植税源，管好财政资金，增强财政实力。</w:t>
      </w:r>
    </w:p>
    <w:p>
      <w:pPr>
        <w:widowControl/>
        <w:ind w:firstLine="640" w:firstLineChars="200"/>
        <w:rPr>
          <w:rFonts w:hint="eastAsia" w:ascii="仿宋_GB2312" w:eastAsia="仿宋_GB2312"/>
          <w:sz w:val="32"/>
          <w:szCs w:val="32"/>
        </w:rPr>
      </w:pPr>
      <w:r>
        <w:rPr>
          <w:rFonts w:hint="eastAsia" w:ascii="仿宋_GB2312" w:eastAsia="仿宋_GB2312"/>
          <w:sz w:val="32"/>
          <w:szCs w:val="32"/>
        </w:rPr>
        <w:t>(5)抓好精神文明建设，丰富群众文化生活，提倡移风易俗，反对封建迷信，破除陈规陋习，树立社会主义新风尚。</w:t>
      </w:r>
    </w:p>
    <w:p>
      <w:pPr>
        <w:widowControl/>
        <w:ind w:firstLine="640" w:firstLineChars="200"/>
        <w:rPr>
          <w:rFonts w:hint="eastAsia" w:ascii="仿宋_GB2312" w:eastAsia="仿宋_GB2312"/>
          <w:sz w:val="32"/>
          <w:szCs w:val="32"/>
        </w:rPr>
      </w:pPr>
      <w:r>
        <w:rPr>
          <w:rFonts w:hint="eastAsia" w:ascii="仿宋_GB2312" w:eastAsia="仿宋_GB2312"/>
          <w:sz w:val="32"/>
          <w:szCs w:val="32"/>
        </w:rPr>
        <w:t>(6)完成上级政府交办的其它事项。</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二、部门整体支出管理及使用情况</w:t>
      </w:r>
    </w:p>
    <w:p>
      <w:pPr>
        <w:shd w:val="clear" w:color="auto" w:fill="FFFFFF"/>
        <w:spacing w:line="640" w:lineRule="exact"/>
        <w:ind w:firstLine="643"/>
        <w:rPr>
          <w:rFonts w:hint="eastAsia" w:ascii="仿宋_GB2312" w:hAnsi="仿宋" w:eastAsia="仿宋_GB2312"/>
          <w:b/>
          <w:spacing w:val="-2"/>
          <w:sz w:val="32"/>
          <w:szCs w:val="21"/>
        </w:rPr>
      </w:pPr>
      <w:r>
        <w:rPr>
          <w:rFonts w:hint="eastAsia" w:ascii="仿宋_GB2312" w:hAnsi="仿宋" w:eastAsia="仿宋_GB2312"/>
          <w:b/>
          <w:spacing w:val="-2"/>
          <w:sz w:val="32"/>
          <w:szCs w:val="32"/>
        </w:rPr>
        <w:t>（一）基本支出</w:t>
      </w:r>
    </w:p>
    <w:p>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介绍基本支出的主要用途、范围以及资金的管理情况，尤其是“三公”经费的使用和管理情况。</w:t>
      </w:r>
    </w:p>
    <w:p>
      <w:pPr>
        <w:ind w:firstLine="803" w:firstLineChars="250"/>
        <w:rPr>
          <w:rFonts w:hint="eastAsia" w:ascii="仿宋_GB2312" w:hAnsi="仿宋" w:eastAsia="仿宋_GB2312"/>
          <w:spacing w:val="-2"/>
          <w:sz w:val="32"/>
          <w:szCs w:val="32"/>
        </w:rPr>
      </w:pPr>
      <w:r>
        <w:rPr>
          <w:rFonts w:hint="eastAsia" w:ascii="仿宋" w:hAnsi="仿宋" w:eastAsia="仿宋"/>
          <w:b/>
          <w:color w:val="333333"/>
          <w:sz w:val="32"/>
          <w:szCs w:val="32"/>
        </w:rPr>
        <w:t>201</w:t>
      </w:r>
      <w:r>
        <w:rPr>
          <w:rFonts w:hint="eastAsia" w:ascii="仿宋" w:hAnsi="仿宋" w:eastAsia="仿宋"/>
          <w:b/>
          <w:color w:val="333333"/>
          <w:sz w:val="32"/>
          <w:szCs w:val="32"/>
          <w:lang w:val="en-US" w:eastAsia="zh-CN"/>
        </w:rPr>
        <w:t>9</w:t>
      </w:r>
      <w:r>
        <w:rPr>
          <w:rFonts w:hint="eastAsia" w:ascii="仿宋" w:hAnsi="仿宋" w:eastAsia="仿宋"/>
          <w:b/>
          <w:color w:val="333333"/>
          <w:sz w:val="32"/>
          <w:szCs w:val="32"/>
        </w:rPr>
        <w:t>年基本支出</w:t>
      </w:r>
      <w:r>
        <w:rPr>
          <w:rFonts w:hint="eastAsia" w:ascii="仿宋" w:hAnsi="仿宋" w:eastAsia="仿宋"/>
          <w:b/>
          <w:color w:val="333333"/>
          <w:sz w:val="32"/>
          <w:szCs w:val="32"/>
          <w:lang w:val="en-US" w:eastAsia="zh-CN"/>
        </w:rPr>
        <w:t>715.95</w:t>
      </w:r>
      <w:r>
        <w:rPr>
          <w:rFonts w:hint="eastAsia" w:ascii="仿宋" w:hAnsi="仿宋" w:eastAsia="仿宋"/>
          <w:b/>
          <w:color w:val="333333"/>
          <w:sz w:val="32"/>
          <w:szCs w:val="32"/>
        </w:rPr>
        <w:t>万元。1、支出按经济分类</w:t>
      </w:r>
      <w:r>
        <w:rPr>
          <w:rFonts w:hint="eastAsia" w:ascii="仿宋" w:hAnsi="仿宋" w:eastAsia="仿宋"/>
          <w:color w:val="333333"/>
          <w:sz w:val="32"/>
          <w:szCs w:val="32"/>
        </w:rPr>
        <w:t>:</w:t>
      </w:r>
      <w:r>
        <w:rPr>
          <w:rFonts w:hint="eastAsia"/>
        </w:rPr>
        <w:t xml:space="preserve"> </w:t>
      </w:r>
      <w:r>
        <w:rPr>
          <w:rFonts w:hint="eastAsia" w:ascii="仿宋" w:hAnsi="仿宋" w:eastAsia="仿宋"/>
          <w:color w:val="333333"/>
          <w:sz w:val="32"/>
          <w:szCs w:val="32"/>
        </w:rPr>
        <w:t>工资福利支出</w:t>
      </w:r>
      <w:r>
        <w:rPr>
          <w:rFonts w:hint="eastAsia" w:ascii="仿宋" w:hAnsi="仿宋" w:eastAsia="仿宋"/>
          <w:color w:val="333333"/>
          <w:sz w:val="32"/>
          <w:szCs w:val="32"/>
          <w:lang w:val="en-US" w:eastAsia="zh-CN"/>
        </w:rPr>
        <w:t>363.64</w:t>
      </w:r>
      <w:r>
        <w:rPr>
          <w:rFonts w:hint="eastAsia" w:ascii="仿宋" w:hAnsi="仿宋" w:eastAsia="仿宋"/>
          <w:color w:val="333333"/>
          <w:sz w:val="32"/>
          <w:szCs w:val="32"/>
        </w:rPr>
        <w:t>万元、商品服务支出</w:t>
      </w:r>
      <w:r>
        <w:rPr>
          <w:rFonts w:hint="eastAsia" w:ascii="仿宋" w:hAnsi="仿宋" w:eastAsia="仿宋"/>
          <w:color w:val="333333"/>
          <w:sz w:val="32"/>
          <w:szCs w:val="32"/>
          <w:lang w:val="en-US" w:eastAsia="zh-CN"/>
        </w:rPr>
        <w:t>126.13</w:t>
      </w:r>
      <w:r>
        <w:rPr>
          <w:rFonts w:hint="eastAsia" w:ascii="仿宋" w:hAnsi="仿宋" w:eastAsia="仿宋"/>
          <w:color w:val="333333"/>
          <w:sz w:val="32"/>
          <w:szCs w:val="32"/>
        </w:rPr>
        <w:t>万元、对个人和家庭补助支出</w:t>
      </w:r>
      <w:r>
        <w:rPr>
          <w:rFonts w:hint="eastAsia" w:ascii="仿宋" w:hAnsi="仿宋" w:eastAsia="仿宋"/>
          <w:color w:val="333333"/>
          <w:sz w:val="32"/>
          <w:szCs w:val="32"/>
          <w:lang w:val="en-US" w:eastAsia="zh-CN"/>
        </w:rPr>
        <w:t>226.18</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w:t>
      </w:r>
      <w:r>
        <w:rPr>
          <w:rFonts w:hint="eastAsia" w:ascii="仿宋" w:hAnsi="仿宋" w:eastAsia="仿宋"/>
          <w:b/>
          <w:color w:val="333333"/>
          <w:sz w:val="32"/>
          <w:szCs w:val="32"/>
        </w:rPr>
        <w:t>2、支出按功能分类：</w:t>
      </w:r>
      <w:r>
        <w:rPr>
          <w:rFonts w:hint="eastAsia" w:ascii="仿宋" w:hAnsi="仿宋" w:eastAsia="仿宋"/>
          <w:color w:val="333333"/>
          <w:sz w:val="32"/>
          <w:szCs w:val="32"/>
        </w:rPr>
        <w:t>一般公共服务支出</w:t>
      </w:r>
      <w:r>
        <w:rPr>
          <w:rFonts w:hint="eastAsia" w:ascii="仿宋" w:hAnsi="仿宋" w:eastAsia="仿宋"/>
          <w:color w:val="333333"/>
          <w:sz w:val="32"/>
          <w:szCs w:val="32"/>
          <w:lang w:val="en-US" w:eastAsia="zh-CN"/>
        </w:rPr>
        <w:t>374.76</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、公共安全支出</w:t>
      </w:r>
      <w:r>
        <w:rPr>
          <w:rFonts w:hint="eastAsia" w:ascii="仿宋" w:hAnsi="仿宋" w:eastAsia="仿宋"/>
          <w:color w:val="333333"/>
          <w:sz w:val="32"/>
          <w:szCs w:val="32"/>
          <w:lang w:val="en-US" w:eastAsia="zh-CN"/>
        </w:rPr>
        <w:t>4.6万元、</w:t>
      </w:r>
      <w:r>
        <w:rPr>
          <w:rFonts w:hint="eastAsia" w:ascii="仿宋" w:hAnsi="仿宋" w:eastAsia="仿宋"/>
          <w:color w:val="333333"/>
          <w:sz w:val="32"/>
          <w:szCs w:val="32"/>
          <w:lang w:eastAsia="zh-CN"/>
        </w:rPr>
        <w:t>社会保障和就业支出</w:t>
      </w:r>
      <w:r>
        <w:rPr>
          <w:rFonts w:hint="eastAsia" w:ascii="仿宋" w:hAnsi="仿宋" w:eastAsia="仿宋"/>
          <w:color w:val="333333"/>
          <w:sz w:val="32"/>
          <w:szCs w:val="32"/>
          <w:lang w:val="en-US" w:eastAsia="zh-CN"/>
        </w:rPr>
        <w:t>86.03</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、卫生健康支出</w:t>
      </w:r>
      <w:r>
        <w:rPr>
          <w:rFonts w:hint="eastAsia" w:ascii="仿宋" w:hAnsi="仿宋" w:eastAsia="仿宋"/>
          <w:color w:val="333333"/>
          <w:sz w:val="32"/>
          <w:szCs w:val="32"/>
          <w:lang w:val="en-US" w:eastAsia="zh-CN"/>
        </w:rPr>
        <w:t>67.18万元、节能环保支出4万元、城乡社区支出17.73万元、农林水支出161.65万元</w:t>
      </w:r>
      <w:r>
        <w:rPr>
          <w:rFonts w:hint="eastAsia" w:ascii="仿宋" w:hAnsi="仿宋" w:eastAsia="仿宋"/>
          <w:color w:val="333333"/>
          <w:sz w:val="32"/>
          <w:szCs w:val="32"/>
        </w:rPr>
        <w:t>。201</w:t>
      </w:r>
      <w:r>
        <w:rPr>
          <w:rFonts w:hint="eastAsia" w:ascii="仿宋" w:hAnsi="仿宋" w:eastAsia="仿宋"/>
          <w:color w:val="333333"/>
          <w:sz w:val="32"/>
          <w:szCs w:val="32"/>
          <w:lang w:val="en-US" w:eastAsia="zh-CN"/>
        </w:rPr>
        <w:t>9</w:t>
      </w:r>
      <w:r>
        <w:rPr>
          <w:rFonts w:hint="eastAsia" w:ascii="仿宋" w:hAnsi="仿宋" w:eastAsia="仿宋"/>
          <w:color w:val="333333"/>
          <w:sz w:val="32"/>
          <w:szCs w:val="32"/>
        </w:rPr>
        <w:t>年“三公”支出</w:t>
      </w:r>
      <w:r>
        <w:rPr>
          <w:rFonts w:hint="eastAsia" w:ascii="仿宋" w:hAnsi="仿宋" w:eastAsia="仿宋"/>
          <w:color w:val="333333"/>
          <w:sz w:val="32"/>
          <w:szCs w:val="32"/>
          <w:lang w:val="en-US" w:eastAsia="zh-CN"/>
        </w:rPr>
        <w:t>5.38</w:t>
      </w:r>
      <w:r>
        <w:rPr>
          <w:rFonts w:hint="eastAsia" w:ascii="仿宋" w:hAnsi="仿宋" w:eastAsia="仿宋"/>
          <w:color w:val="333333"/>
          <w:sz w:val="32"/>
          <w:szCs w:val="32"/>
        </w:rPr>
        <w:t>万元，</w:t>
      </w:r>
      <w:r>
        <w:rPr>
          <w:rFonts w:hint="eastAsia" w:ascii="仿宋" w:hAnsi="仿宋" w:eastAsia="仿宋"/>
          <w:color w:val="333333"/>
          <w:sz w:val="32"/>
          <w:szCs w:val="32"/>
          <w:lang w:val="en-US" w:eastAsia="zh-CN"/>
        </w:rPr>
        <w:t>较上年减少了6.26万元</w:t>
      </w:r>
      <w:r>
        <w:rPr>
          <w:rFonts w:hint="eastAsia" w:ascii="仿宋" w:hAnsi="仿宋" w:eastAsia="仿宋"/>
          <w:color w:val="333333"/>
          <w:sz w:val="32"/>
          <w:szCs w:val="32"/>
          <w:lang w:eastAsia="zh-CN"/>
        </w:rPr>
        <w:t>，</w:t>
      </w:r>
      <w:r>
        <w:rPr>
          <w:rFonts w:hint="eastAsia" w:ascii="仿宋" w:hAnsi="仿宋" w:eastAsia="仿宋"/>
          <w:color w:val="333333"/>
          <w:sz w:val="32"/>
          <w:szCs w:val="32"/>
        </w:rPr>
        <w:t>其中公务接待费</w:t>
      </w:r>
      <w:r>
        <w:rPr>
          <w:rFonts w:hint="eastAsia" w:ascii="仿宋" w:hAnsi="仿宋" w:eastAsia="仿宋"/>
          <w:color w:val="333333"/>
          <w:sz w:val="32"/>
          <w:szCs w:val="32"/>
          <w:lang w:val="en-US" w:eastAsia="zh-CN"/>
        </w:rPr>
        <w:t>2.11</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（较上年减少了</w:t>
      </w:r>
      <w:r>
        <w:rPr>
          <w:rFonts w:hint="eastAsia" w:ascii="仿宋" w:hAnsi="仿宋" w:eastAsia="仿宋"/>
          <w:color w:val="333333"/>
          <w:sz w:val="32"/>
          <w:szCs w:val="32"/>
          <w:lang w:val="en-US" w:eastAsia="zh-CN"/>
        </w:rPr>
        <w:t>2.15万元</w:t>
      </w:r>
      <w:r>
        <w:rPr>
          <w:rFonts w:hint="eastAsia" w:ascii="仿宋" w:hAnsi="仿宋" w:eastAsia="仿宋"/>
          <w:color w:val="333333"/>
          <w:sz w:val="32"/>
          <w:szCs w:val="32"/>
          <w:lang w:eastAsia="zh-CN"/>
        </w:rPr>
        <w:t>），</w:t>
      </w:r>
      <w:r>
        <w:rPr>
          <w:rFonts w:hint="eastAsia" w:ascii="仿宋" w:hAnsi="仿宋" w:eastAsia="仿宋"/>
          <w:color w:val="333333"/>
          <w:sz w:val="32"/>
          <w:szCs w:val="32"/>
        </w:rPr>
        <w:t>公车用车运行费</w:t>
      </w:r>
      <w:r>
        <w:rPr>
          <w:rFonts w:hint="eastAsia" w:ascii="仿宋" w:hAnsi="仿宋" w:eastAsia="仿宋"/>
          <w:color w:val="333333"/>
          <w:sz w:val="32"/>
          <w:szCs w:val="32"/>
          <w:lang w:val="en-US" w:eastAsia="zh-CN"/>
        </w:rPr>
        <w:t>3.27</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（较上年减少了</w:t>
      </w:r>
      <w:r>
        <w:rPr>
          <w:rFonts w:hint="eastAsia" w:ascii="仿宋" w:hAnsi="仿宋" w:eastAsia="仿宋"/>
          <w:color w:val="333333"/>
          <w:sz w:val="32"/>
          <w:szCs w:val="32"/>
          <w:lang w:val="en-US" w:eastAsia="zh-CN"/>
        </w:rPr>
        <w:t>4.11万元</w:t>
      </w:r>
      <w:r>
        <w:rPr>
          <w:rFonts w:hint="eastAsia" w:ascii="仿宋" w:hAnsi="仿宋" w:eastAsia="仿宋"/>
          <w:color w:val="333333"/>
          <w:sz w:val="32"/>
          <w:szCs w:val="32"/>
          <w:lang w:eastAsia="zh-CN"/>
        </w:rPr>
        <w:t>），三公经费严格按照县厉行节约办的控制数支出。</w:t>
      </w:r>
    </w:p>
    <w:p>
      <w:pPr>
        <w:shd w:val="clear" w:color="auto" w:fill="FFFFFF"/>
        <w:spacing w:line="640" w:lineRule="exact"/>
        <w:ind w:firstLine="643"/>
        <w:rPr>
          <w:rFonts w:hint="eastAsia" w:ascii="仿宋_GB2312" w:hAnsi="楷体" w:eastAsia="仿宋_GB2312"/>
          <w:b/>
          <w:spacing w:val="-2"/>
          <w:sz w:val="32"/>
          <w:szCs w:val="21"/>
        </w:rPr>
      </w:pPr>
      <w:r>
        <w:rPr>
          <w:rFonts w:hint="eastAsia" w:ascii="仿宋_GB2312" w:hAnsi="楷体" w:eastAsia="仿宋_GB2312"/>
          <w:b/>
          <w:spacing w:val="-2"/>
          <w:sz w:val="32"/>
          <w:szCs w:val="32"/>
        </w:rPr>
        <w:t>（二）专项支出</w:t>
      </w:r>
    </w:p>
    <w:p>
      <w:pPr>
        <w:shd w:val="clear" w:color="auto" w:fill="FFFFFF"/>
        <w:spacing w:line="640" w:lineRule="exact"/>
        <w:ind w:firstLine="640"/>
        <w:rPr>
          <w:rFonts w:hint="eastAsia" w:ascii="仿宋_GB2312" w:hAnsi="仿宋" w:eastAsia="仿宋_GB2312"/>
          <w:spacing w:val="-2"/>
          <w:sz w:val="32"/>
          <w:szCs w:val="21"/>
        </w:rPr>
      </w:pPr>
      <w:r>
        <w:rPr>
          <w:rFonts w:hint="eastAsia" w:ascii="仿宋" w:hAnsi="仿宋" w:eastAsia="仿宋"/>
          <w:color w:val="333333"/>
          <w:sz w:val="32"/>
          <w:szCs w:val="32"/>
        </w:rPr>
        <w:t>201</w:t>
      </w:r>
      <w:r>
        <w:rPr>
          <w:rFonts w:hint="eastAsia" w:ascii="仿宋" w:hAnsi="仿宋" w:eastAsia="仿宋"/>
          <w:color w:val="333333"/>
          <w:sz w:val="32"/>
          <w:szCs w:val="32"/>
          <w:lang w:val="en-US" w:eastAsia="zh-CN"/>
        </w:rPr>
        <w:t>9</w:t>
      </w:r>
      <w:r>
        <w:rPr>
          <w:rFonts w:hint="eastAsia" w:ascii="仿宋" w:hAnsi="仿宋" w:eastAsia="仿宋"/>
          <w:color w:val="333333"/>
          <w:sz w:val="32"/>
          <w:szCs w:val="32"/>
        </w:rPr>
        <w:t>年</w:t>
      </w:r>
      <w:r>
        <w:rPr>
          <w:rFonts w:hint="eastAsia" w:ascii="仿宋" w:hAnsi="仿宋" w:eastAsia="仿宋"/>
          <w:color w:val="333333"/>
          <w:sz w:val="32"/>
          <w:szCs w:val="32"/>
          <w:lang w:eastAsia="zh-CN"/>
        </w:rPr>
        <w:t>专项</w:t>
      </w:r>
      <w:r>
        <w:rPr>
          <w:rFonts w:hint="eastAsia" w:ascii="仿宋" w:hAnsi="仿宋" w:eastAsia="仿宋"/>
          <w:color w:val="333333"/>
          <w:sz w:val="32"/>
          <w:szCs w:val="32"/>
        </w:rPr>
        <w:t>支出</w:t>
      </w:r>
      <w:r>
        <w:rPr>
          <w:rFonts w:hint="eastAsia" w:ascii="仿宋" w:hAnsi="仿宋" w:eastAsia="仿宋"/>
          <w:color w:val="333333"/>
          <w:sz w:val="32"/>
          <w:szCs w:val="32"/>
          <w:lang w:val="en-US" w:eastAsia="zh-CN"/>
        </w:rPr>
        <w:t>917.5</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全部是财政资金，</w:t>
      </w:r>
      <w:r>
        <w:rPr>
          <w:rFonts w:hint="eastAsia" w:ascii="仿宋" w:hAnsi="仿宋" w:eastAsia="仿宋"/>
          <w:color w:val="333333"/>
          <w:sz w:val="32"/>
          <w:szCs w:val="32"/>
        </w:rPr>
        <w:t>主要用于</w:t>
      </w:r>
      <w:r>
        <w:rPr>
          <w:rFonts w:hint="eastAsia" w:ascii="仿宋" w:hAnsi="仿宋" w:eastAsia="仿宋"/>
          <w:color w:val="333333"/>
          <w:sz w:val="32"/>
          <w:szCs w:val="32"/>
          <w:lang w:eastAsia="zh-CN"/>
        </w:rPr>
        <w:t>基础设施建设、维修维护等扶贫项目支出，</w:t>
      </w:r>
      <w:r>
        <w:rPr>
          <w:rFonts w:hint="eastAsia" w:ascii="仿宋" w:hAnsi="仿宋" w:eastAsia="仿宋"/>
          <w:b w:val="0"/>
          <w:bCs/>
          <w:color w:val="333333"/>
          <w:sz w:val="32"/>
          <w:szCs w:val="32"/>
          <w:lang w:eastAsia="zh-CN"/>
        </w:rPr>
        <w:t>按</w:t>
      </w:r>
      <w:r>
        <w:rPr>
          <w:rFonts w:hint="eastAsia" w:ascii="仿宋" w:hAnsi="仿宋" w:eastAsia="仿宋"/>
          <w:b w:val="0"/>
          <w:bCs/>
          <w:color w:val="333333"/>
          <w:sz w:val="32"/>
          <w:szCs w:val="32"/>
        </w:rPr>
        <w:t>支出经济分类</w:t>
      </w:r>
      <w:r>
        <w:rPr>
          <w:rFonts w:hint="eastAsia" w:ascii="仿宋" w:hAnsi="仿宋" w:eastAsia="仿宋"/>
          <w:b w:val="0"/>
          <w:bCs/>
          <w:color w:val="333333"/>
          <w:sz w:val="32"/>
          <w:szCs w:val="32"/>
          <w:lang w:eastAsia="zh-CN"/>
        </w:rPr>
        <w:t>：</w:t>
      </w:r>
      <w:r>
        <w:rPr>
          <w:rFonts w:hint="eastAsia" w:ascii="仿宋" w:hAnsi="仿宋" w:eastAsia="仿宋"/>
          <w:color w:val="333333"/>
          <w:sz w:val="32"/>
          <w:szCs w:val="32"/>
        </w:rPr>
        <w:t>工资福利支出</w:t>
      </w:r>
      <w:r>
        <w:rPr>
          <w:rFonts w:hint="eastAsia" w:ascii="仿宋" w:hAnsi="仿宋" w:eastAsia="仿宋"/>
          <w:color w:val="333333"/>
          <w:sz w:val="32"/>
          <w:szCs w:val="32"/>
          <w:lang w:val="en-US" w:eastAsia="zh-CN"/>
        </w:rPr>
        <w:t>0.96</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w:t>
      </w:r>
      <w:r>
        <w:rPr>
          <w:rFonts w:hint="eastAsia" w:ascii="仿宋" w:hAnsi="仿宋" w:eastAsia="仿宋"/>
          <w:color w:val="333333"/>
          <w:sz w:val="32"/>
          <w:szCs w:val="32"/>
        </w:rPr>
        <w:t>资本性支出</w:t>
      </w:r>
      <w:r>
        <w:rPr>
          <w:rFonts w:hint="eastAsia" w:ascii="仿宋" w:hAnsi="仿宋" w:eastAsia="仿宋"/>
          <w:color w:val="333333"/>
          <w:sz w:val="32"/>
          <w:szCs w:val="32"/>
          <w:lang w:eastAsia="zh-CN"/>
        </w:rPr>
        <w:t>（基本建设）</w:t>
      </w:r>
      <w:r>
        <w:rPr>
          <w:rFonts w:hint="eastAsia" w:ascii="仿宋" w:hAnsi="仿宋" w:eastAsia="仿宋"/>
          <w:color w:val="333333"/>
          <w:sz w:val="32"/>
          <w:szCs w:val="32"/>
          <w:lang w:val="en-US" w:eastAsia="zh-CN"/>
        </w:rPr>
        <w:t>678.79</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、资本性支出</w:t>
      </w:r>
      <w:r>
        <w:rPr>
          <w:rFonts w:hint="eastAsia" w:ascii="仿宋" w:hAnsi="仿宋" w:eastAsia="仿宋"/>
          <w:color w:val="333333"/>
          <w:sz w:val="32"/>
          <w:szCs w:val="32"/>
          <w:lang w:val="en-US" w:eastAsia="zh-CN"/>
        </w:rPr>
        <w:t>237.75万元</w:t>
      </w:r>
      <w:r>
        <w:rPr>
          <w:rFonts w:hint="eastAsia" w:ascii="仿宋" w:hAnsi="仿宋" w:eastAsia="仿宋"/>
          <w:color w:val="333333"/>
          <w:sz w:val="32"/>
          <w:szCs w:val="32"/>
          <w:lang w:eastAsia="zh-CN"/>
        </w:rPr>
        <w:t>；按</w:t>
      </w:r>
      <w:r>
        <w:rPr>
          <w:rFonts w:hint="eastAsia" w:ascii="仿宋" w:hAnsi="仿宋" w:eastAsia="仿宋"/>
          <w:b w:val="0"/>
          <w:bCs/>
          <w:color w:val="333333"/>
          <w:sz w:val="32"/>
          <w:szCs w:val="32"/>
        </w:rPr>
        <w:t>支出功能分类：</w:t>
      </w:r>
      <w:r>
        <w:rPr>
          <w:rFonts w:hint="eastAsia" w:ascii="仿宋" w:hAnsi="仿宋" w:eastAsia="仿宋"/>
          <w:color w:val="333333"/>
          <w:sz w:val="32"/>
          <w:szCs w:val="32"/>
        </w:rPr>
        <w:t>一般公共服务支出</w:t>
      </w:r>
      <w:r>
        <w:rPr>
          <w:rFonts w:hint="eastAsia" w:ascii="仿宋" w:hAnsi="仿宋" w:eastAsia="仿宋"/>
          <w:color w:val="333333"/>
          <w:sz w:val="32"/>
          <w:szCs w:val="32"/>
          <w:lang w:val="en-US" w:eastAsia="zh-CN"/>
        </w:rPr>
        <w:t>0.96</w:t>
      </w:r>
      <w:r>
        <w:rPr>
          <w:rFonts w:hint="eastAsia" w:ascii="仿宋" w:hAnsi="仿宋" w:eastAsia="仿宋"/>
          <w:color w:val="333333"/>
          <w:sz w:val="32"/>
          <w:szCs w:val="32"/>
        </w:rPr>
        <w:t>万元、城乡社区支出</w:t>
      </w:r>
      <w:r>
        <w:rPr>
          <w:rFonts w:hint="eastAsia" w:ascii="仿宋" w:hAnsi="仿宋" w:eastAsia="仿宋"/>
          <w:color w:val="333333"/>
          <w:sz w:val="32"/>
          <w:szCs w:val="32"/>
          <w:lang w:val="en-US" w:eastAsia="zh-CN"/>
        </w:rPr>
        <w:t>28.75</w:t>
      </w:r>
      <w:r>
        <w:rPr>
          <w:rFonts w:hint="eastAsia" w:ascii="仿宋" w:hAnsi="仿宋" w:eastAsia="仿宋"/>
          <w:color w:val="333333"/>
          <w:sz w:val="32"/>
          <w:szCs w:val="32"/>
        </w:rPr>
        <w:t>万元、农林水支出</w:t>
      </w:r>
      <w:r>
        <w:rPr>
          <w:rFonts w:hint="eastAsia" w:ascii="仿宋" w:hAnsi="仿宋" w:eastAsia="仿宋"/>
          <w:color w:val="333333"/>
          <w:sz w:val="32"/>
          <w:szCs w:val="32"/>
          <w:lang w:val="en-US" w:eastAsia="zh-CN"/>
        </w:rPr>
        <w:t>650.04</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其他</w:t>
      </w:r>
      <w:r>
        <w:rPr>
          <w:rFonts w:hint="eastAsia" w:ascii="仿宋" w:hAnsi="仿宋" w:eastAsia="仿宋"/>
          <w:color w:val="333333"/>
          <w:sz w:val="32"/>
          <w:szCs w:val="32"/>
        </w:rPr>
        <w:t>支出</w:t>
      </w:r>
      <w:r>
        <w:rPr>
          <w:rFonts w:hint="eastAsia" w:ascii="仿宋" w:hAnsi="仿宋" w:eastAsia="仿宋"/>
          <w:color w:val="333333"/>
          <w:sz w:val="32"/>
          <w:szCs w:val="32"/>
          <w:lang w:val="en-US" w:eastAsia="zh-CN"/>
        </w:rPr>
        <w:t>237.75</w:t>
      </w:r>
      <w:r>
        <w:rPr>
          <w:rFonts w:hint="eastAsia" w:ascii="仿宋" w:hAnsi="仿宋" w:eastAsia="仿宋"/>
          <w:color w:val="333333"/>
          <w:sz w:val="32"/>
          <w:szCs w:val="32"/>
        </w:rPr>
        <w:t>万元。</w:t>
      </w:r>
      <w:r>
        <w:rPr>
          <w:rFonts w:hint="eastAsia" w:ascii="仿宋" w:hAnsi="仿宋" w:eastAsia="仿宋"/>
          <w:color w:val="333333"/>
          <w:sz w:val="32"/>
          <w:szCs w:val="32"/>
          <w:lang w:eastAsia="zh-CN"/>
        </w:rPr>
        <w:t>专项资金全部用于扶贫项目支出，每笔专项资金的使用都进行了绩效评价，达到了预期的绩效目标。</w:t>
      </w:r>
      <w:bookmarkStart w:id="2" w:name="_GoBack"/>
      <w:bookmarkEnd w:id="2"/>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三、部门专项组织实施情况</w:t>
      </w:r>
    </w:p>
    <w:p>
      <w:pPr>
        <w:ind w:firstLine="787" w:firstLineChars="246"/>
        <w:rPr>
          <w:rFonts w:hint="eastAsia" w:ascii="仿宋_GB2312" w:hAnsi="仿宋" w:eastAsia="仿宋_GB2312"/>
          <w:spacing w:val="-2"/>
          <w:sz w:val="32"/>
          <w:szCs w:val="21"/>
        </w:rPr>
      </w:pPr>
      <w:r>
        <w:rPr>
          <w:rFonts w:hint="eastAsia" w:ascii="仿宋" w:hAnsi="仿宋" w:eastAsia="仿宋"/>
          <w:color w:val="333333"/>
          <w:sz w:val="32"/>
          <w:szCs w:val="32"/>
          <w:lang w:eastAsia="zh-CN"/>
        </w:rPr>
        <w:t>我乡实行专项资金和基本支出公用经费分开专项管理，对</w:t>
      </w:r>
      <w:r>
        <w:rPr>
          <w:rFonts w:hint="eastAsia" w:ascii="仿宋" w:hAnsi="仿宋" w:eastAsia="仿宋"/>
          <w:color w:val="333333"/>
          <w:sz w:val="32"/>
          <w:szCs w:val="32"/>
        </w:rPr>
        <w:t>日常</w:t>
      </w:r>
      <w:r>
        <w:rPr>
          <w:rFonts w:hint="eastAsia" w:ascii="仿宋" w:hAnsi="仿宋" w:eastAsia="仿宋"/>
          <w:color w:val="333333"/>
          <w:sz w:val="32"/>
          <w:szCs w:val="32"/>
          <w:lang w:eastAsia="zh-CN"/>
        </w:rPr>
        <w:t>公用经费</w:t>
      </w:r>
      <w:r>
        <w:rPr>
          <w:rFonts w:hint="eastAsia" w:ascii="仿宋" w:hAnsi="仿宋" w:eastAsia="仿宋"/>
          <w:color w:val="333333"/>
          <w:sz w:val="32"/>
          <w:szCs w:val="32"/>
        </w:rPr>
        <w:t>坚决实行励行节约的原则，对所有的支出实行书记</w:t>
      </w:r>
      <w:r>
        <w:rPr>
          <w:rFonts w:hint="eastAsia" w:ascii="仿宋" w:hAnsi="仿宋" w:eastAsia="仿宋"/>
          <w:color w:val="333333"/>
          <w:sz w:val="32"/>
          <w:szCs w:val="32"/>
          <w:lang w:eastAsia="zh-CN"/>
        </w:rPr>
        <w:t>、乡长</w:t>
      </w:r>
      <w:r>
        <w:rPr>
          <w:rFonts w:hint="eastAsia" w:ascii="仿宋" w:hAnsi="仿宋" w:eastAsia="仿宋"/>
          <w:color w:val="333333"/>
          <w:sz w:val="32"/>
          <w:szCs w:val="32"/>
        </w:rPr>
        <w:t>审核</w:t>
      </w:r>
      <w:r>
        <w:rPr>
          <w:rFonts w:hint="eastAsia" w:ascii="仿宋" w:hAnsi="仿宋" w:eastAsia="仿宋"/>
          <w:color w:val="333333"/>
          <w:sz w:val="32"/>
          <w:szCs w:val="32"/>
          <w:lang w:eastAsia="zh-CN"/>
        </w:rPr>
        <w:t>，</w:t>
      </w:r>
      <w:r>
        <w:rPr>
          <w:rFonts w:hint="eastAsia" w:ascii="仿宋" w:hAnsi="仿宋" w:eastAsia="仿宋"/>
          <w:color w:val="333333"/>
          <w:sz w:val="32"/>
          <w:szCs w:val="32"/>
        </w:rPr>
        <w:t>分管财</w:t>
      </w:r>
      <w:r>
        <w:rPr>
          <w:rFonts w:hint="eastAsia" w:ascii="仿宋" w:hAnsi="仿宋" w:eastAsia="仿宋"/>
          <w:color w:val="333333"/>
          <w:sz w:val="32"/>
          <w:szCs w:val="32"/>
          <w:lang w:eastAsia="zh-CN"/>
        </w:rPr>
        <w:t>务</w:t>
      </w:r>
      <w:r>
        <w:rPr>
          <w:rFonts w:hint="eastAsia" w:ascii="仿宋" w:hAnsi="仿宋" w:eastAsia="仿宋"/>
          <w:color w:val="333333"/>
          <w:sz w:val="32"/>
          <w:szCs w:val="32"/>
        </w:rPr>
        <w:t>的领导签字后方可</w:t>
      </w:r>
      <w:r>
        <w:rPr>
          <w:rFonts w:hint="eastAsia" w:ascii="仿宋" w:hAnsi="仿宋" w:eastAsia="仿宋"/>
          <w:color w:val="333333"/>
          <w:sz w:val="32"/>
          <w:szCs w:val="32"/>
          <w:lang w:eastAsia="zh-CN"/>
        </w:rPr>
        <w:t>支出</w:t>
      </w:r>
      <w:r>
        <w:rPr>
          <w:rFonts w:hint="eastAsia" w:ascii="仿宋" w:hAnsi="仿宋" w:eastAsia="仿宋"/>
          <w:color w:val="333333"/>
          <w:sz w:val="32"/>
          <w:szCs w:val="32"/>
        </w:rPr>
        <w:t>，有效地控制了我</w:t>
      </w:r>
      <w:r>
        <w:rPr>
          <w:rFonts w:hint="eastAsia" w:ascii="仿宋" w:hAnsi="仿宋" w:eastAsia="仿宋"/>
          <w:color w:val="333333"/>
          <w:sz w:val="32"/>
          <w:szCs w:val="32"/>
          <w:lang w:eastAsia="zh-CN"/>
        </w:rPr>
        <w:t>乡</w:t>
      </w:r>
      <w:r>
        <w:rPr>
          <w:rFonts w:hint="eastAsia" w:ascii="仿宋" w:hAnsi="仿宋" w:eastAsia="仿宋"/>
          <w:color w:val="333333"/>
          <w:sz w:val="32"/>
          <w:szCs w:val="32"/>
        </w:rPr>
        <w:t>的支出</w:t>
      </w:r>
      <w:r>
        <w:rPr>
          <w:rFonts w:hint="eastAsia" w:ascii="仿宋" w:hAnsi="仿宋" w:eastAsia="仿宋"/>
          <w:color w:val="333333"/>
          <w:sz w:val="32"/>
          <w:szCs w:val="32"/>
          <w:lang w:eastAsia="zh-CN"/>
        </w:rPr>
        <w:t>；</w:t>
      </w:r>
      <w:r>
        <w:rPr>
          <w:rFonts w:hint="eastAsia" w:ascii="仿宋" w:hAnsi="仿宋" w:eastAsia="仿宋"/>
          <w:color w:val="333333"/>
          <w:sz w:val="32"/>
          <w:szCs w:val="32"/>
        </w:rPr>
        <w:t>对于</w:t>
      </w:r>
      <w:r>
        <w:rPr>
          <w:rFonts w:hint="eastAsia" w:ascii="仿宋" w:hAnsi="仿宋" w:eastAsia="仿宋"/>
          <w:color w:val="333333"/>
          <w:sz w:val="32"/>
          <w:szCs w:val="32"/>
          <w:lang w:eastAsia="zh-CN"/>
        </w:rPr>
        <w:t>专项</w:t>
      </w:r>
      <w:r>
        <w:rPr>
          <w:rFonts w:hint="eastAsia" w:ascii="仿宋" w:hAnsi="仿宋" w:eastAsia="仿宋"/>
          <w:color w:val="333333"/>
          <w:sz w:val="32"/>
          <w:szCs w:val="32"/>
        </w:rPr>
        <w:t>资金</w:t>
      </w:r>
      <w:r>
        <w:rPr>
          <w:rFonts w:hint="eastAsia" w:ascii="仿宋" w:hAnsi="仿宋" w:eastAsia="仿宋"/>
          <w:color w:val="333333"/>
          <w:sz w:val="32"/>
          <w:szCs w:val="32"/>
          <w:lang w:eastAsia="zh-CN"/>
        </w:rPr>
        <w:t>的</w:t>
      </w:r>
      <w:r>
        <w:rPr>
          <w:rFonts w:hint="eastAsia" w:ascii="仿宋" w:hAnsi="仿宋" w:eastAsia="仿宋"/>
          <w:color w:val="333333"/>
          <w:sz w:val="32"/>
          <w:szCs w:val="32"/>
        </w:rPr>
        <w:t>每一个项目实行</w:t>
      </w:r>
      <w:r>
        <w:rPr>
          <w:rFonts w:hint="eastAsia" w:ascii="仿宋" w:hAnsi="仿宋" w:eastAsia="仿宋"/>
          <w:color w:val="333333"/>
          <w:sz w:val="32"/>
          <w:szCs w:val="32"/>
          <w:lang w:eastAsia="zh-CN"/>
        </w:rPr>
        <w:t>专账管理，</w:t>
      </w:r>
      <w:r>
        <w:rPr>
          <w:rFonts w:hint="eastAsia" w:ascii="仿宋" w:hAnsi="仿宋" w:eastAsia="仿宋"/>
          <w:color w:val="333333"/>
          <w:sz w:val="32"/>
          <w:szCs w:val="32"/>
        </w:rPr>
        <w:t>严把质量、验收、结算关，</w:t>
      </w:r>
      <w:r>
        <w:rPr>
          <w:rFonts w:hint="eastAsia" w:ascii="仿宋" w:hAnsi="仿宋" w:eastAsia="仿宋"/>
          <w:color w:val="333333"/>
          <w:sz w:val="32"/>
          <w:szCs w:val="32"/>
          <w:lang w:eastAsia="zh-CN"/>
        </w:rPr>
        <w:t>实行事前勘察、事中监督，事后跟踪，</w:t>
      </w:r>
      <w:r>
        <w:rPr>
          <w:rFonts w:hint="eastAsia" w:ascii="仿宋" w:hAnsi="仿宋" w:eastAsia="仿宋"/>
          <w:color w:val="333333"/>
          <w:sz w:val="32"/>
          <w:szCs w:val="32"/>
        </w:rPr>
        <w:t>从每一个环节确保每一分</w:t>
      </w:r>
      <w:r>
        <w:rPr>
          <w:rFonts w:hint="eastAsia" w:ascii="仿宋" w:hAnsi="仿宋" w:eastAsia="仿宋"/>
          <w:color w:val="333333"/>
          <w:sz w:val="32"/>
          <w:szCs w:val="32"/>
          <w:lang w:eastAsia="zh-CN"/>
        </w:rPr>
        <w:t>专项</w:t>
      </w:r>
      <w:r>
        <w:rPr>
          <w:rFonts w:hint="eastAsia" w:ascii="仿宋" w:hAnsi="仿宋" w:eastAsia="仿宋"/>
          <w:color w:val="333333"/>
          <w:sz w:val="32"/>
          <w:szCs w:val="32"/>
        </w:rPr>
        <w:t>财政资金落到实处</w:t>
      </w:r>
      <w:r>
        <w:rPr>
          <w:rFonts w:hint="eastAsia" w:ascii="仿宋" w:hAnsi="仿宋" w:eastAsia="仿宋"/>
          <w:color w:val="333333"/>
          <w:sz w:val="32"/>
          <w:szCs w:val="32"/>
          <w:lang w:eastAsia="zh-CN"/>
        </w:rPr>
        <w:t>，取得良好的效用</w:t>
      </w:r>
      <w:r>
        <w:rPr>
          <w:rFonts w:hint="eastAsia" w:ascii="仿宋" w:hAnsi="仿宋" w:eastAsia="仿宋"/>
          <w:color w:val="333333"/>
          <w:sz w:val="32"/>
          <w:szCs w:val="32"/>
        </w:rPr>
        <w:t>。</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四、资产管理情况</w:t>
      </w:r>
    </w:p>
    <w:p>
      <w:pPr>
        <w:ind w:firstLine="480" w:firstLineChars="150"/>
        <w:rPr>
          <w:rFonts w:hint="eastAsia" w:ascii="仿宋_GB2312" w:hAnsi="仿宋" w:eastAsia="仿宋_GB2312"/>
          <w:spacing w:val="-2"/>
          <w:sz w:val="32"/>
          <w:szCs w:val="21"/>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年有固定资产</w:t>
      </w:r>
      <w:r>
        <w:rPr>
          <w:rFonts w:hint="eastAsia" w:ascii="仿宋" w:hAnsi="仿宋" w:eastAsia="仿宋"/>
          <w:sz w:val="32"/>
          <w:szCs w:val="32"/>
          <w:lang w:val="en-US" w:eastAsia="zh-CN"/>
        </w:rPr>
        <w:t>247.85</w:t>
      </w:r>
      <w:r>
        <w:rPr>
          <w:rFonts w:hint="eastAsia" w:ascii="仿宋" w:hAnsi="仿宋" w:eastAsia="仿宋"/>
          <w:sz w:val="32"/>
          <w:szCs w:val="32"/>
        </w:rPr>
        <w:t>万元，</w:t>
      </w:r>
      <w:r>
        <w:rPr>
          <w:rFonts w:hint="eastAsia" w:ascii="仿宋" w:hAnsi="仿宋" w:eastAsia="仿宋"/>
          <w:sz w:val="32"/>
          <w:szCs w:val="32"/>
          <w:lang w:eastAsia="zh-CN"/>
        </w:rPr>
        <w:t>较上年增加了</w:t>
      </w:r>
      <w:r>
        <w:rPr>
          <w:rFonts w:hint="eastAsia" w:ascii="仿宋" w:hAnsi="仿宋" w:eastAsia="仿宋"/>
          <w:sz w:val="32"/>
          <w:szCs w:val="32"/>
          <w:lang w:val="en-US" w:eastAsia="zh-CN"/>
        </w:rPr>
        <w:t>9.18万元，增加部分主要来源于办公设备购置。其构成主要</w:t>
      </w:r>
      <w:r>
        <w:rPr>
          <w:rFonts w:hint="eastAsia" w:ascii="仿宋" w:hAnsi="仿宋" w:eastAsia="仿宋"/>
          <w:sz w:val="32"/>
          <w:szCs w:val="32"/>
        </w:rPr>
        <w:t>包括</w:t>
      </w:r>
      <w:r>
        <w:rPr>
          <w:rFonts w:hint="eastAsia" w:ascii="仿宋" w:hAnsi="仿宋" w:eastAsia="仿宋"/>
          <w:sz w:val="32"/>
          <w:szCs w:val="32"/>
          <w:lang w:eastAsia="zh-CN"/>
        </w:rPr>
        <w:t>台式机、信息采集系统</w:t>
      </w:r>
      <w:r>
        <w:rPr>
          <w:rFonts w:hint="eastAsia" w:ascii="仿宋" w:hAnsi="仿宋" w:eastAsia="仿宋"/>
          <w:sz w:val="32"/>
          <w:szCs w:val="32"/>
        </w:rPr>
        <w:t>等。利用固定资产系统对于我</w:t>
      </w:r>
      <w:r>
        <w:rPr>
          <w:rFonts w:hint="eastAsia" w:ascii="仿宋" w:hAnsi="仿宋" w:eastAsia="仿宋"/>
          <w:sz w:val="32"/>
          <w:szCs w:val="32"/>
          <w:lang w:eastAsia="zh-CN"/>
        </w:rPr>
        <w:t>乡</w:t>
      </w:r>
      <w:r>
        <w:rPr>
          <w:rFonts w:hint="eastAsia" w:ascii="仿宋" w:hAnsi="仿宋" w:eastAsia="仿宋"/>
          <w:sz w:val="32"/>
          <w:szCs w:val="32"/>
        </w:rPr>
        <w:t>的固定资产赋码编号、实行分类别分部门落实到人，从而确保固定资产不流失</w:t>
      </w:r>
      <w:r>
        <w:rPr>
          <w:rFonts w:hint="eastAsia" w:ascii="仿宋" w:hAnsi="仿宋" w:eastAsia="仿宋"/>
          <w:sz w:val="32"/>
          <w:szCs w:val="32"/>
          <w:lang w:eastAsia="zh-CN"/>
        </w:rPr>
        <w:t>，做到账账相符、账实相符，资产不漏登，价值不虚报</w:t>
      </w:r>
      <w:r>
        <w:rPr>
          <w:rFonts w:hint="eastAsia" w:ascii="仿宋" w:hAnsi="仿宋" w:eastAsia="仿宋"/>
          <w:sz w:val="32"/>
          <w:szCs w:val="32"/>
        </w:rPr>
        <w:t>。</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五、部门整体支出绩效情况</w:t>
      </w:r>
    </w:p>
    <w:p>
      <w:pPr>
        <w:bidi w:val="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年，我</w:t>
      </w:r>
      <w:r>
        <w:rPr>
          <w:rFonts w:hint="eastAsia" w:ascii="仿宋" w:hAnsi="仿宋" w:eastAsia="仿宋" w:cs="仿宋"/>
          <w:color w:val="000000"/>
          <w:sz w:val="32"/>
          <w:szCs w:val="32"/>
          <w:lang w:eastAsia="zh-CN"/>
        </w:rPr>
        <w:t>乡</w:t>
      </w:r>
      <w:r>
        <w:rPr>
          <w:rFonts w:hint="eastAsia" w:ascii="仿宋" w:hAnsi="仿宋" w:eastAsia="仿宋" w:cs="仿宋"/>
          <w:color w:val="000000"/>
          <w:sz w:val="32"/>
          <w:szCs w:val="32"/>
        </w:rPr>
        <w:t>重点完成了以下主要工作并取得了较好成效。具体如下：</w:t>
      </w:r>
    </w:p>
    <w:p>
      <w:pPr>
        <w:bidi w:val="0"/>
        <w:ind w:firstLine="632" w:firstLineChars="200"/>
        <w:rPr>
          <w:rFonts w:hint="eastAsia" w:ascii="仿宋_GB2312" w:hAnsi="仿宋_GB2312" w:eastAsia="仿宋_GB2312" w:cs="仿宋_GB2312"/>
          <w:sz w:val="32"/>
          <w:szCs w:val="32"/>
        </w:rPr>
      </w:pPr>
      <w:r>
        <w:rPr>
          <w:rFonts w:hint="eastAsia" w:ascii="仿宋_GB2312" w:hAnsi="仿宋" w:eastAsia="仿宋_GB2312"/>
          <w:spacing w:val="-2"/>
          <w:sz w:val="32"/>
          <w:szCs w:val="32"/>
          <w:lang w:val="en-US" w:eastAsia="zh-CN"/>
        </w:rPr>
        <w:t>（一）</w:t>
      </w:r>
      <w:r>
        <w:rPr>
          <w:rFonts w:hint="eastAsia" w:ascii="楷体_GB2312" w:hAnsi="楷体_GB2312" w:eastAsia="楷体_GB2312" w:cs="楷体_GB2312"/>
          <w:b/>
          <w:bCs/>
          <w:sz w:val="32"/>
          <w:szCs w:val="32"/>
          <w:lang w:val="en-US" w:eastAsia="zh-CN"/>
        </w:rPr>
        <w:t>注重脱贫实效，实现高质量脱贫。</w:t>
      </w:r>
      <w:r>
        <w:rPr>
          <w:rFonts w:hint="eastAsia" w:ascii="仿宋_GB2312" w:hAnsi="仿宋_GB2312" w:eastAsia="仿宋_GB2312" w:cs="仿宋_GB2312"/>
          <w:sz w:val="32"/>
          <w:szCs w:val="32"/>
          <w:lang w:val="en-US" w:eastAsia="zh-CN"/>
        </w:rPr>
        <w:t>坚持精准扶贫、精准脱贫做到成熟一个、退出一个，确保贫困人口、贫困村退出反映客观实际、经得起检验。</w:t>
      </w:r>
      <w:r>
        <w:rPr>
          <w:rFonts w:hint="eastAsia" w:ascii="仿宋_GB2312" w:hAnsi="仿宋_GB2312" w:eastAsia="仿宋_GB2312" w:cs="仿宋_GB2312"/>
          <w:b/>
          <w:bCs/>
          <w:sz w:val="32"/>
          <w:szCs w:val="32"/>
          <w:lang w:val="en-US" w:eastAsia="zh-CN"/>
        </w:rPr>
        <w:t>一是推进“六大清零”工程。</w:t>
      </w:r>
      <w:r>
        <w:rPr>
          <w:rFonts w:hint="eastAsia" w:ascii="仿宋_GB2312" w:hAnsi="仿宋_GB2312" w:eastAsia="仿宋_GB2312" w:cs="仿宋_GB2312"/>
          <w:sz w:val="32"/>
          <w:szCs w:val="32"/>
          <w:lang w:val="en-US" w:eastAsia="zh-CN"/>
        </w:rPr>
        <w:t>2018年完成村组公路硬化21.79公里,窄路加宽21.3公里，2019年完成公路硬化14.9公里，25户或100人以上人口集中院子均已通水泥路；金子村、罗丰村、雷坡村、高台村、大同村、月溪村、罗子山村实施安全饮水工程；农网改造、通讯网络实现全覆盖、无死角。</w:t>
      </w:r>
      <w:r>
        <w:rPr>
          <w:rFonts w:hint="eastAsia" w:ascii="仿宋_GB2312" w:hAnsi="仿宋_GB2312" w:eastAsia="仿宋_GB2312" w:cs="仿宋_GB2312"/>
          <w:b/>
          <w:bCs/>
          <w:sz w:val="32"/>
          <w:szCs w:val="32"/>
          <w:lang w:val="en-US" w:eastAsia="zh-CN"/>
        </w:rPr>
        <w:t>二是完善基本公共服务。</w:t>
      </w:r>
      <w:r>
        <w:rPr>
          <w:rFonts w:hint="eastAsia" w:ascii="仿宋_GB2312" w:hAnsi="仿宋_GB2312" w:eastAsia="仿宋_GB2312" w:cs="仿宋_GB2312"/>
          <w:sz w:val="32"/>
          <w:szCs w:val="32"/>
          <w:lang w:val="en-US" w:eastAsia="zh-CN"/>
        </w:rPr>
        <w:t>全乡9个村均完成农村综合服务平台、卫生室等公共场所功能性建设，群众办事更加方便舒适。完成中心小学教学楼和金子村、治湾村、大同村村小新建任务。家庭医生签约全覆盖。</w:t>
      </w:r>
      <w:r>
        <w:rPr>
          <w:rFonts w:hint="eastAsia" w:ascii="仿宋_GB2312" w:hAnsi="仿宋_GB2312" w:eastAsia="仿宋_GB2312" w:cs="仿宋_GB2312"/>
          <w:b/>
          <w:bCs/>
          <w:sz w:val="32"/>
          <w:szCs w:val="32"/>
          <w:lang w:val="en-US" w:eastAsia="zh-CN"/>
        </w:rPr>
        <w:t>三是提高村集体经济收入。</w:t>
      </w:r>
      <w:r>
        <w:rPr>
          <w:rFonts w:hint="eastAsia" w:ascii="仿宋_GB2312" w:hAnsi="仿宋_GB2312" w:eastAsia="仿宋_GB2312" w:cs="仿宋_GB2312"/>
          <w:sz w:val="32"/>
          <w:szCs w:val="32"/>
          <w:lang w:val="en-US" w:eastAsia="zh-CN"/>
        </w:rPr>
        <w:t>采取集体入股、资产出租和自主经营等方式，全力盘活集体资产资源，全乡彻底消灭集体经济“空白村”。</w:t>
      </w:r>
      <w:r>
        <w:rPr>
          <w:rFonts w:hint="eastAsia" w:ascii="仿宋_GB2312" w:hAnsi="仿宋_GB2312" w:eastAsia="仿宋_GB2312" w:cs="仿宋_GB2312"/>
          <w:b/>
          <w:bCs/>
          <w:sz w:val="32"/>
          <w:szCs w:val="32"/>
          <w:lang w:val="en-US" w:eastAsia="zh-CN"/>
        </w:rPr>
        <w:t>四是解决“两不愁三保障”问题。</w:t>
      </w:r>
      <w:r>
        <w:rPr>
          <w:rFonts w:hint="eastAsia" w:ascii="仿宋_GB2312" w:hAnsi="仿宋_GB2312" w:eastAsia="仿宋_GB2312" w:cs="仿宋_GB2312"/>
          <w:sz w:val="32"/>
          <w:szCs w:val="32"/>
          <w:lang w:val="en-US" w:eastAsia="zh-CN"/>
        </w:rPr>
        <w:t>以“两不愁三保障”为统揽，因户施策，全乡3965名贫困人口均实现不愁吃、不愁穿；2017-2019年危房改造153户，易地搬迁163户559人，贫困户住房均达到B级以上要求；教育助学2747人次，落实雨露计划346人次，全乡无一人因贫辍学；贫困户医保均由政府代缴，非贫困户农合参保率达92%以上。截至目前全乡贫困人口脱贫1074户3798人，未脱贫87户167人，贫困发生率下降至0.94%。脱贫攻坚工作取得显著成效。</w:t>
      </w:r>
    </w:p>
    <w:p>
      <w:pPr>
        <w:bidi w:val="0"/>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lang w:val="en-US" w:eastAsia="zh-CN"/>
        </w:rPr>
        <w:t>（二）</w:t>
      </w:r>
      <w:r>
        <w:rPr>
          <w:rFonts w:hint="eastAsia" w:ascii="仿宋_GB2312" w:hAnsi="仿宋_GB2312" w:eastAsia="仿宋_GB2312" w:cs="仿宋_GB2312"/>
          <w:b/>
          <w:bCs/>
          <w:sz w:val="32"/>
          <w:szCs w:val="32"/>
          <w:lang w:val="en-US" w:eastAsia="zh-CN"/>
        </w:rPr>
        <w:t>注重政策落实，实现民生普惠。</w:t>
      </w:r>
      <w:r>
        <w:rPr>
          <w:rFonts w:hint="eastAsia" w:ascii="仿宋_GB2312" w:hAnsi="仿宋_GB2312" w:eastAsia="仿宋_GB2312" w:cs="仿宋_GB2312"/>
          <w:sz w:val="32"/>
          <w:szCs w:val="32"/>
          <w:lang w:val="en-US" w:eastAsia="zh-CN"/>
        </w:rPr>
        <w:t>完善城乡社会救助体系，全年发放支出型临时救助638800元,820人次；发放急难型临时救助80500元，42人次；发放B级房屋维修资金48400元。“八一”“十一”分别对困难优抚对象、老复员军人、烈属等特殊群体进行了走访、座谈并慰问。发放优抚临时资金54450元，91人次；发放优抚医疗救助资金18258元。完善特困人员供养制度，加大兜底救助力度，全年新增低保38户71人次。农村计划生育奖扶申报率达100%，发放奖励扶助资金29万元；落实生育关怀67产，发放生育关怀资金31000元。</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六、存在的主要问题</w:t>
      </w:r>
    </w:p>
    <w:p>
      <w:pPr>
        <w:ind w:firstLine="640" w:firstLineChars="200"/>
        <w:textAlignment w:val="baseline"/>
        <w:rPr>
          <w:rFonts w:hint="eastAsia" w:ascii="仿宋_GB2312" w:hAnsi="仿宋" w:eastAsia="仿宋_GB2312"/>
          <w:spacing w:val="-2"/>
          <w:sz w:val="32"/>
          <w:szCs w:val="21"/>
        </w:rPr>
      </w:pPr>
      <w:r>
        <w:rPr>
          <w:rFonts w:hint="eastAsia" w:ascii="仿宋" w:hAnsi="仿宋" w:eastAsia="仿宋" w:cs="仿宋"/>
          <w:color w:val="000000"/>
          <w:sz w:val="32"/>
          <w:szCs w:val="32"/>
        </w:rPr>
        <w:t>在肯定成绩的同时，我们必须清醒地认识到我们的工作还存在着一些困难和不足，主要表现在以下几个方面：一是</w:t>
      </w:r>
      <w:r>
        <w:rPr>
          <w:rFonts w:hint="eastAsia" w:ascii="仿宋" w:hAnsi="仿宋" w:eastAsia="仿宋" w:cs="仿宋"/>
          <w:color w:val="000000"/>
          <w:sz w:val="32"/>
          <w:szCs w:val="32"/>
          <w:lang w:eastAsia="zh-CN"/>
        </w:rPr>
        <w:t>在资金等财政方面的工作及时性不够，人员力量薄弱，思想高度有待提高</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是资金使用未达到应有的要求，如资金滞留等</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是</w:t>
      </w:r>
      <w:r>
        <w:rPr>
          <w:rFonts w:hint="eastAsia" w:ascii="仿宋" w:hAnsi="仿宋" w:eastAsia="仿宋" w:cs="仿宋"/>
          <w:color w:val="000000"/>
          <w:sz w:val="32"/>
          <w:szCs w:val="32"/>
          <w:lang w:eastAsia="zh-CN"/>
        </w:rPr>
        <w:t>资产管理方面缺少专人负责，对部分资产有效性未及时清理报废。</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七、改进措施和有关建议</w:t>
      </w:r>
    </w:p>
    <w:p>
      <w:pPr>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1、加大</w:t>
      </w:r>
      <w:r>
        <w:rPr>
          <w:rFonts w:hint="eastAsia" w:ascii="仿宋" w:hAnsi="仿宋" w:eastAsia="仿宋" w:cs="仿宋"/>
          <w:color w:val="000000"/>
          <w:sz w:val="32"/>
          <w:szCs w:val="32"/>
          <w:lang w:eastAsia="zh-CN"/>
        </w:rPr>
        <w:t>资金</w:t>
      </w:r>
      <w:r>
        <w:rPr>
          <w:rFonts w:hint="eastAsia" w:ascii="仿宋" w:hAnsi="仿宋" w:eastAsia="仿宋" w:cs="仿宋"/>
          <w:color w:val="000000"/>
          <w:sz w:val="32"/>
          <w:szCs w:val="32"/>
        </w:rPr>
        <w:t>投入力度，</w:t>
      </w:r>
      <w:r>
        <w:rPr>
          <w:rFonts w:hint="eastAsia" w:ascii="仿宋" w:hAnsi="仿宋" w:eastAsia="仿宋" w:cs="仿宋"/>
          <w:color w:val="000000"/>
          <w:sz w:val="32"/>
          <w:szCs w:val="32"/>
          <w:lang w:eastAsia="zh-CN"/>
        </w:rPr>
        <w:t>加强对资金使用的监督管理以及资金使用的事前可行性研究</w:t>
      </w: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提高思想认识，增强财政方面的专业性，为资金安全有效的使用提供最基本的保障</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进一步完善资金使用制度，并加大执行力度，堵住资金链上的每一个漏洞</w:t>
      </w:r>
      <w:r>
        <w:rPr>
          <w:rFonts w:hint="eastAsia" w:ascii="仿宋" w:hAnsi="仿宋" w:eastAsia="仿宋" w:cs="仿宋"/>
          <w:color w:val="000000"/>
          <w:sz w:val="32"/>
          <w:szCs w:val="32"/>
        </w:rPr>
        <w:t>。</w:t>
      </w:r>
    </w:p>
    <w:p>
      <w:pPr>
        <w:ind w:firstLine="640" w:firstLineChars="200"/>
        <w:textAlignment w:val="baseline"/>
        <w:rPr>
          <w:rFonts w:hint="eastAsia" w:ascii="仿宋" w:hAnsi="仿宋" w:eastAsia="仿宋" w:cs="仿宋"/>
          <w:color w:val="000000"/>
          <w:sz w:val="32"/>
          <w:szCs w:val="32"/>
        </w:rPr>
      </w:pPr>
    </w:p>
    <w:p>
      <w:pPr>
        <w:jc w:val="righ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溆浦县</w:t>
      </w:r>
      <w:r>
        <w:rPr>
          <w:rFonts w:hint="eastAsia" w:ascii="仿宋" w:hAnsi="仿宋" w:eastAsia="仿宋" w:cs="仿宋"/>
          <w:color w:val="000000"/>
          <w:sz w:val="32"/>
          <w:szCs w:val="32"/>
          <w:lang w:eastAsia="zh-CN"/>
        </w:rPr>
        <w:t>小横垅乡</w:t>
      </w:r>
      <w:r>
        <w:rPr>
          <w:rFonts w:hint="eastAsia" w:ascii="仿宋" w:hAnsi="仿宋" w:eastAsia="仿宋" w:cs="仿宋"/>
          <w:color w:val="000000"/>
          <w:sz w:val="32"/>
          <w:szCs w:val="32"/>
        </w:rPr>
        <w:t xml:space="preserve">人民政府                           </w:t>
      </w:r>
    </w:p>
    <w:p>
      <w:pPr>
        <w:jc w:val="center"/>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p>
    <w:sectPr>
      <w:pgSz w:w="11906" w:h="16838"/>
      <w:pgMar w:top="1440" w:right="850" w:bottom="1440" w:left="85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42681"/>
    <w:multiLevelType w:val="singleLevel"/>
    <w:tmpl w:val="F8642681"/>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62FE89"/>
    <w:multiLevelType w:val="singleLevel"/>
    <w:tmpl w:val="6F62FE89"/>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2585710"/>
    <w:rsid w:val="02F5202A"/>
    <w:rsid w:val="04876DE5"/>
    <w:rsid w:val="04B043C2"/>
    <w:rsid w:val="09983AC9"/>
    <w:rsid w:val="101041BA"/>
    <w:rsid w:val="103C736C"/>
    <w:rsid w:val="14850ED2"/>
    <w:rsid w:val="1D305F43"/>
    <w:rsid w:val="24E83CAD"/>
    <w:rsid w:val="2521635F"/>
    <w:rsid w:val="2C953B86"/>
    <w:rsid w:val="320E147A"/>
    <w:rsid w:val="37B5104D"/>
    <w:rsid w:val="38C23D49"/>
    <w:rsid w:val="391603A5"/>
    <w:rsid w:val="39B50FF2"/>
    <w:rsid w:val="3C384B49"/>
    <w:rsid w:val="3CA72A0F"/>
    <w:rsid w:val="3EF2276C"/>
    <w:rsid w:val="424D54A9"/>
    <w:rsid w:val="4B9A35B6"/>
    <w:rsid w:val="54DD353F"/>
    <w:rsid w:val="58704A9A"/>
    <w:rsid w:val="6AEC4CB9"/>
    <w:rsid w:val="7DA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eastAsia="仿宋_GB2312"/>
      <w:sz w:val="36"/>
      <w:szCs w:val="36"/>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p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4</TotalTime>
  <ScaleCrop>false</ScaleCrop>
  <LinksUpToDate>false</LinksUpToDate>
  <CharactersWithSpaces>8418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2020-10-14T05:02:08Z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