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0" w:firstLineChars="500"/>
        <w:jc w:val="left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400"/>
        <w:jc w:val="left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桥江镇2022年工作计划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0" w:firstLineChars="500"/>
        <w:jc w:val="left"/>
        <w:textAlignment w:val="auto"/>
        <w:rPr>
          <w:rFonts w:hint="default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2022年，我镇将对照</w:t>
      </w:r>
      <w:r>
        <w:rPr>
          <w:rFonts w:hint="eastAsia" w:ascii="Times New Roman" w:eastAsia="仿宋_GB2312"/>
          <w:sz w:val="32"/>
          <w:lang w:val="en-US" w:eastAsia="zh-CN"/>
        </w:rPr>
        <w:t>“生态立镇、产业兴镇、工业强镇、旅游富镇”的发展定位，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大力推动乡村振兴战略在基层落实落地，努力建设幸福美丽和谐新桥江。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1.坚持高站位推动，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严党纪、抓基层，全面加强党的建设。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一是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t>提升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班子自身建设。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按照集体领导、分工负责的原则，深入贯彻民主集中制，充分调动大家的积极性和主观能动性</w:t>
      </w:r>
      <w:r>
        <w:rPr>
          <w:rFonts w:ascii="Times New Roman" w:eastAsia="仿宋_GB2312"/>
          <w:bCs/>
          <w:color w:val="auto"/>
          <w:sz w:val="32"/>
          <w:szCs w:val="32"/>
        </w:rPr>
        <w:t>，提高决策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科学化、规范化</w:t>
      </w:r>
      <w:r>
        <w:rPr>
          <w:rFonts w:ascii="Times New Roman" w:eastAsia="仿宋_GB2312"/>
          <w:bCs/>
          <w:color w:val="auto"/>
          <w:sz w:val="32"/>
          <w:szCs w:val="32"/>
        </w:rPr>
        <w:t>水平。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不断深化党史学习教育，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始终坚定理想信念，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不断汲取奋进力量。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强化党员干部管理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</w:rPr>
        <w:t>强化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Times New Roman" w:hAnsi="Times New Roman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模范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意识</w:t>
      </w:r>
      <w:r>
        <w:rPr>
          <w:rFonts w:hint="eastAsia" w:ascii="Times New Roman" w:hAnsi="Times New Roman" w:eastAsia="仿宋_GB2312"/>
          <w:sz w:val="32"/>
        </w:rPr>
        <w:t>，积极发挥</w:t>
      </w:r>
      <w:r>
        <w:rPr>
          <w:rFonts w:hint="eastAsia" w:ascii="Times New Roman" w:hAnsi="Times New Roman" w:eastAsia="仿宋_GB2312"/>
          <w:sz w:val="32"/>
          <w:lang w:eastAsia="zh-CN"/>
        </w:rPr>
        <w:t>优秀</w:t>
      </w:r>
      <w:r>
        <w:rPr>
          <w:rFonts w:hint="eastAsia" w:eastAsia="仿宋_GB2312"/>
          <w:sz w:val="32"/>
          <w:lang w:val="en-US" w:eastAsia="zh-CN"/>
        </w:rPr>
        <w:t>党员干部</w:t>
      </w:r>
      <w:r>
        <w:rPr>
          <w:rFonts w:hint="eastAsia" w:ascii="Times New Roman" w:hAnsi="Times New Roman" w:eastAsia="仿宋_GB2312"/>
          <w:sz w:val="32"/>
        </w:rPr>
        <w:t>带头作用，</w:t>
      </w:r>
      <w:r>
        <w:rPr>
          <w:rFonts w:hint="eastAsia" w:ascii="Times New Roman" w:hAnsi="Times New Roman" w:eastAsia="仿宋_GB2312"/>
          <w:sz w:val="32"/>
          <w:lang w:eastAsia="zh-CN"/>
        </w:rPr>
        <w:t>以</w:t>
      </w:r>
      <w:r>
        <w:rPr>
          <w:rFonts w:hint="eastAsia" w:ascii="Times New Roman" w:hAnsi="Times New Roman" w:eastAsia="仿宋_GB2312"/>
          <w:sz w:val="32"/>
        </w:rPr>
        <w:t>正视听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明导向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深入开展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“宣战庸懒散，提振精气神”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作风大整治行动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严管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厚爱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相结合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sz w:val="32"/>
        </w:rPr>
        <w:t>进一步</w:t>
      </w:r>
      <w:r>
        <w:rPr>
          <w:rFonts w:hint="eastAsia" w:ascii="Times New Roman" w:hAnsi="Times New Roman" w:eastAsia="仿宋_GB2312"/>
          <w:sz w:val="32"/>
          <w:lang w:eastAsia="zh-CN"/>
        </w:rPr>
        <w:t>明确完善</w:t>
      </w:r>
      <w:r>
        <w:rPr>
          <w:rFonts w:hint="eastAsia" w:ascii="Times New Roman" w:hAnsi="Times New Roman" w:eastAsia="仿宋_GB2312"/>
          <w:sz w:val="32"/>
        </w:rPr>
        <w:t>奖罚机制和履职责任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让有为者有位、让实干者实惠，争创</w:t>
      </w:r>
      <w:r>
        <w:rPr>
          <w:rFonts w:hint="eastAsia" w:ascii="Times New Roman" w:hAnsi="Times New Roman" w:eastAsia="仿宋_GB2312"/>
          <w:sz w:val="32"/>
        </w:rPr>
        <w:t>学习型、实干型、服务型、亲民型干部队伍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三是狠抓党风廉政建设。</w:t>
      </w:r>
      <w:r>
        <w:rPr>
          <w:rFonts w:ascii="Times New Roman" w:eastAsia="仿宋_GB2312"/>
          <w:bCs/>
          <w:color w:val="auto"/>
          <w:sz w:val="32"/>
          <w:szCs w:val="32"/>
        </w:rPr>
        <w:t>进一步完善党风廉政工作制度，筑牢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防腐</w:t>
      </w:r>
      <w:r>
        <w:rPr>
          <w:rFonts w:ascii="Times New Roman" w:eastAsia="仿宋_GB2312"/>
          <w:bCs/>
          <w:color w:val="auto"/>
          <w:sz w:val="32"/>
          <w:szCs w:val="32"/>
        </w:rPr>
        <w:t>拒腐防线，严查违纪违法案件，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坚决惩治侵害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群众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利益的腐败行为，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以“铁腕”手段拔掉作风建设“软钉子”，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全面提升干部队伍形象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仿宋_GB2312"/>
          <w:sz w:val="32"/>
        </w:rPr>
        <w:t>牢牢掌握意识形态工作的领导权和主动权，压紧压实</w:t>
      </w:r>
      <w:r>
        <w:rPr>
          <w:rFonts w:hint="eastAsia" w:eastAsia="仿宋_GB2312"/>
          <w:sz w:val="32"/>
          <w:lang w:val="en-US" w:eastAsia="zh-CN"/>
        </w:rPr>
        <w:t>村镇两级</w:t>
      </w:r>
      <w:r>
        <w:rPr>
          <w:rFonts w:hint="eastAsia" w:ascii="Times New Roman" w:hAnsi="Times New Roman" w:eastAsia="仿宋_GB2312"/>
          <w:sz w:val="32"/>
        </w:rPr>
        <w:t>党组织意识形态工作责任。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2.坚持高质量发展，稳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增长、扩产能，全面增强发展后劲。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一是做强支柱产业。</w:t>
      </w:r>
      <w:bookmarkStart w:id="0" w:name="_Hlk72710711"/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坚持不懈抓好粮食生产工作，扛稳粮食安全重任，坚决整治耕地抛荒乱象，大力促进粮食生产、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扩大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种养殖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产业规模、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提高抗灾避害能力，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不断稳固“溆浦粮仓”地位。</w:t>
      </w:r>
      <w:r>
        <w:rPr>
          <w:rFonts w:hint="eastAsia" w:ascii="Times New Roman" w:eastAsia="仿宋_GB2312"/>
          <w:sz w:val="32"/>
          <w:lang w:eastAsia="zh-CN"/>
        </w:rPr>
        <w:t>不断加大对红糖产业的生产科技</w:t>
      </w:r>
      <w:r>
        <w:rPr>
          <w:rFonts w:hint="eastAsia" w:ascii="Times New Roman" w:eastAsia="仿宋_GB2312"/>
          <w:sz w:val="32"/>
        </w:rPr>
        <w:t>研发和</w:t>
      </w:r>
      <w:r>
        <w:rPr>
          <w:rFonts w:hint="eastAsia" w:ascii="Times New Roman" w:eastAsia="仿宋_GB2312"/>
          <w:sz w:val="32"/>
          <w:lang w:eastAsia="zh-CN"/>
        </w:rPr>
        <w:t>资金</w:t>
      </w:r>
      <w:r>
        <w:rPr>
          <w:rFonts w:hint="eastAsia" w:ascii="Times New Roman" w:eastAsia="仿宋_GB2312"/>
          <w:sz w:val="32"/>
        </w:rPr>
        <w:t>投入力度，</w:t>
      </w:r>
      <w:r>
        <w:rPr>
          <w:rFonts w:hint="eastAsia" w:ascii="Times New Roman" w:eastAsia="仿宋_GB2312"/>
          <w:sz w:val="32"/>
          <w:lang w:eastAsia="zh-CN"/>
        </w:rPr>
        <w:t>持续扩大甘蔗种植面积。</w:t>
      </w:r>
      <w:r>
        <w:rPr>
          <w:rFonts w:hint="eastAsia" w:ascii="Times New Roman" w:hAnsi="Times New Roman" w:eastAsia="仿宋_GB2312"/>
          <w:sz w:val="32"/>
        </w:rPr>
        <w:t>积极</w:t>
      </w:r>
      <w:r>
        <w:rPr>
          <w:rFonts w:hint="eastAsia" w:eastAsia="仿宋_GB2312"/>
          <w:sz w:val="32"/>
          <w:lang w:val="en-US" w:eastAsia="zh-CN"/>
        </w:rPr>
        <w:t>依托原产地优势资源，孵化红糖种植、加工一体化</w:t>
      </w:r>
      <w:r>
        <w:rPr>
          <w:rFonts w:hint="eastAsia" w:ascii="Times New Roman" w:hAnsi="Times New Roman" w:eastAsia="仿宋_GB2312"/>
          <w:sz w:val="32"/>
        </w:rPr>
        <w:t>龙头企业</w:t>
      </w:r>
      <w:r>
        <w:rPr>
          <w:rFonts w:hint="eastAsia" w:ascii="Times New Roman" w:hAnsi="Times New Roman" w:eastAsia="仿宋_GB2312"/>
          <w:sz w:val="32"/>
          <w:lang w:eastAsia="zh-CN"/>
        </w:rPr>
        <w:t>，优化加工技术，增加产品附加值，扩大红糖品牌效应，</w:t>
      </w:r>
      <w:r>
        <w:rPr>
          <w:rFonts w:hint="eastAsia" w:ascii="Times New Roman" w:hAnsi="Times New Roman" w:eastAsia="仿宋_GB2312"/>
          <w:sz w:val="32"/>
        </w:rPr>
        <w:t>实现由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特色产业</w:t>
      </w:r>
      <w:r>
        <w:rPr>
          <w:rFonts w:hint="eastAsia" w:ascii="Times New Roman" w:hAnsi="Times New Roman" w:eastAsia="仿宋_GB2312"/>
          <w:sz w:val="32"/>
        </w:rPr>
        <w:t>原产地资源优势向产业融合发展优势大转变。</w:t>
      </w:r>
      <w:bookmarkEnd w:id="0"/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二是推进潜力产业。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依托我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生态资源优势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劳动力富余优势和毗邻县城、高速出口所在的区位交通优势，结合辖区群众种植蔬菜的传统习惯，在章池村试点反季大棚蔬菜种植产业，目前产量效益均反响良好，下阶段计划在高速口周边罗卜田、大湾等村大力推广，辐射带动周边群众就业增收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三是创新发展方式。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引进云南沃丰农业与进驻我镇并初步达成合作意向，实行清单式、计划式的“定单农业”生产项目，确保农产品收购有保障、农户种植有盼头，有效激发农民群众产业种植热情，拓宽增收方式。同时，鼓励村民积极参加技能培训、学历教育，提升自身素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黑体"/>
          <w:bCs/>
          <w:color w:val="auto"/>
          <w:sz w:val="32"/>
          <w:szCs w:val="32"/>
          <w:lang w:eastAsia="zh-CN"/>
        </w:rPr>
        <w:t>坚持高标准治理，定规划、优环境，全面加快</w:t>
      </w:r>
      <w:r>
        <w:rPr>
          <w:rFonts w:hint="eastAsia" w:ascii="Times New Roman" w:eastAsia="黑体"/>
          <w:bCs/>
          <w:color w:val="auto"/>
          <w:sz w:val="32"/>
          <w:szCs w:val="32"/>
        </w:rPr>
        <w:t>乡村提质</w:t>
      </w:r>
      <w:r>
        <w:rPr>
          <w:rFonts w:hint="eastAsia" w:ascii="Times New Roman" w:eastAsia="黑体"/>
          <w:bCs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eastAsia="仿宋_GB2312"/>
          <w:bCs/>
          <w:color w:val="auto"/>
          <w:sz w:val="32"/>
          <w:szCs w:val="32"/>
        </w:rPr>
      </w:pPr>
      <w:r>
        <w:rPr>
          <w:rFonts w:ascii="楷体_GB2312" w:eastAsia="楷体_GB2312"/>
          <w:b/>
          <w:bCs w:val="0"/>
          <w:color w:val="auto"/>
          <w:sz w:val="32"/>
          <w:szCs w:val="32"/>
        </w:rPr>
        <w:t>一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是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t>持续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推进村庄规划工作。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继续“铁腕”手段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查处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“空心房”“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大棚房”及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违规乱建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行为。</w:t>
      </w:r>
      <w:r>
        <w:rPr>
          <w:rFonts w:hint="eastAsia" w:ascii="Times New Roman" w:eastAsia="仿宋_GB2312" w:cs="Times New Roman"/>
          <w:bCs/>
          <w:color w:val="auto"/>
          <w:sz w:val="32"/>
          <w:szCs w:val="32"/>
          <w:lang w:eastAsia="zh-CN"/>
        </w:rPr>
        <w:t>加强乡村公共基础设施建设，继续配套完善灌溉、道路等基础设施建设，着力完善生产基础设施条件。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加快新型城镇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化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建设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积极配合县职能部门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做好沙湾新市场建设的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征地拆迁和土地储备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后续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工作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拉通建好河堤两岸油沙路和防洪大堤，打造防洪大堤沿河风光带。进一步健全完善集镇治理体系和管理长效机制，做到城镇管理科学化、规范化。</w:t>
      </w:r>
      <w:r>
        <w:rPr>
          <w:rFonts w:hint="eastAsia" w:ascii="楷体_GB2312" w:eastAsia="楷体_GB2312" w:cs="Times New Roman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是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抓好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农村人居环境整治。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持续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推进农村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厕所革命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，统筹农村改厕和污水、黑臭水体治理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健全农村生活垃圾收运处置体系，推进源头分类减量、资源化处理利用</w:t>
      </w:r>
      <w:r>
        <w:rPr>
          <w:rFonts w:hint="eastAsia" w:ascii="Times New Roman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深入推进村庄清洁和绿化行动</w:t>
      </w:r>
      <w:r>
        <w:rPr>
          <w:rFonts w:ascii="Times New Roman" w:eastAsia="仿宋_GB2312"/>
          <w:bCs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Times New Roman" w:eastAsia="仿宋_GB2312" w:cs="Times New Roman" w:hAnsiTheme="minorHAnsi"/>
          <w:bCs/>
          <w:color w:val="auto"/>
          <w:kern w:val="0"/>
          <w:sz w:val="32"/>
          <w:szCs w:val="32"/>
          <w:lang w:val="en-US" w:eastAsia="zh-CN" w:bidi="ar-SA"/>
        </w:rPr>
        <w:t>同时，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练好“十指弹琴”本领，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统筹做好防返贫、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安全生产、学生防溺水、信访维稳、扫黑除恶、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毒品管控、农保农合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等重要工作，</w:t>
      </w:r>
      <w:r>
        <w:rPr>
          <w:rFonts w:hint="eastAsia" w:ascii="Times New Roman" w:eastAsia="仿宋_GB2312" w:cs="Times New Roman" w:hAnsiTheme="minorHAnsi"/>
          <w:bCs/>
          <w:color w:val="auto"/>
          <w:kern w:val="0"/>
          <w:sz w:val="32"/>
          <w:szCs w:val="32"/>
          <w:lang w:val="en-US" w:eastAsia="zh-CN" w:bidi="ar-SA"/>
        </w:rPr>
        <w:t>坚持</w:t>
      </w:r>
      <w:r>
        <w:rPr>
          <w:rFonts w:hint="eastAsia" w:ascii="Times New Roman" w:cs="Times New Roman"/>
          <w:bCs/>
          <w:color w:val="auto"/>
          <w:kern w:val="0"/>
          <w:sz w:val="32"/>
          <w:szCs w:val="32"/>
          <w:lang w:val="en-US" w:eastAsia="zh-CN" w:bidi="ar-SA"/>
        </w:rPr>
        <w:t>优服务、</w:t>
      </w:r>
      <w:r>
        <w:rPr>
          <w:rFonts w:hint="eastAsia" w:ascii="Times New Roman" w:eastAsia="仿宋_GB2312" w:cs="Times New Roman" w:hAnsiTheme="minorHAnsi"/>
          <w:bCs/>
          <w:color w:val="auto"/>
          <w:kern w:val="0"/>
          <w:sz w:val="32"/>
          <w:szCs w:val="32"/>
          <w:lang w:val="en-US" w:eastAsia="zh-CN" w:bidi="ar-SA"/>
        </w:rPr>
        <w:t>惠民生、保安稳，全面提高民生</w:t>
      </w:r>
      <w:r>
        <w:rPr>
          <w:rFonts w:hint="eastAsia" w:ascii="Times New Roman" w:cs="Times New Roman"/>
          <w:bCs/>
          <w:color w:val="auto"/>
          <w:kern w:val="0"/>
          <w:sz w:val="32"/>
          <w:szCs w:val="32"/>
          <w:lang w:val="en-US" w:eastAsia="zh-CN" w:bidi="ar-SA"/>
        </w:rPr>
        <w:t>福祉，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不断提升人民群众的安全感、获得感和幸福感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实现桥江镇新时代乡村振兴发展新篇章而努力奋斗！</w:t>
      </w:r>
    </w:p>
    <w:p/>
    <w:sectPr>
      <w:footerReference r:id="rId3" w:type="default"/>
      <w:pgSz w:w="11906" w:h="16838"/>
      <w:pgMar w:top="1701" w:right="1502" w:bottom="1531" w:left="150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3F9C"/>
    <w:rsid w:val="42D3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2022-01-17T03:28:00Z</dcterms:created>
  <dc:creator>pathfinder ‍</dc:creator>
  <cp:lastModifiedBy>pathfinder ‍</cp:lastModifiedBy>
  <dcterms:modified xsi:type="dcterms:W3CDTF">2022-01-17T03:29:44Z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3589B009267743E3815A2D55283BC510</vt:lpwstr>
  </property>
</Properties>
</file>