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sz w:val="84"/>
          <w:szCs w:val="84"/>
        </w:rPr>
      </w:pPr>
      <w:r>
        <w:rPr>
          <w:rFonts w:hint="eastAsia"/>
          <w:sz w:val="84"/>
          <w:szCs w:val="84"/>
        </w:rPr>
        <w:t>溆浦县祖师殿镇人民政府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rFonts w:hint="eastAsia"/>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溆浦县祖师殿镇人民政府</w:t>
      </w:r>
      <w:r>
        <w:rPr>
          <w:rFonts w:hint="eastAsia" w:ascii="黑体" w:hAnsi="黑体" w:eastAsia="黑体" w:cs="黑体"/>
          <w:b w:val="0"/>
          <w:bCs/>
          <w:sz w:val="28"/>
          <w:szCs w:val="28"/>
        </w:rPr>
        <w:t>单位概况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sz w:val="84"/>
          <w:szCs w:val="84"/>
        </w:rPr>
      </w:pPr>
      <w:r>
        <w:rPr>
          <w:rFonts w:hint="eastAsia"/>
          <w:sz w:val="84"/>
          <w:szCs w:val="84"/>
        </w:rPr>
        <w:t>溆浦县祖师殿镇人民政府</w:t>
      </w:r>
    </w:p>
    <w:p>
      <w:pPr>
        <w:pStyle w:val="10"/>
        <w:jc w:val="center"/>
        <w:rPr>
          <w:rFonts w:hint="eastAsia" w:ascii="方正小标宋_GBK" w:hAnsi="方正小标宋_GBK" w:eastAsia="方正小标宋_GBK" w:cs="方正小标宋_GBK"/>
          <w:sz w:val="84"/>
          <w:szCs w:val="84"/>
        </w:rPr>
      </w:pPr>
      <w:r>
        <w:rPr>
          <w:rFonts w:hint="eastAsia"/>
          <w:sz w:val="84"/>
          <w:szCs w:val="84"/>
        </w:rPr>
        <w:t>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both"/>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乡镇党政机构具有党委和政府两种职能，党委领导政府工作。主要是政治思想和方针政策的领导，干部的选拔，考核和监督，经济和行政工作中重大问题的决策。乡镇政府是基层国家行政机关，行使本行政区的行政职能。</w:t>
      </w:r>
    </w:p>
    <w:p>
      <w:pPr>
        <w:pStyle w:val="11"/>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党委工作职责：（1）保证党的路线、方针、政策的坚决贯彻执行。（2）保证监督职能。（3）教育和管理职能。（4）服从和服务于经济建设的职能。（5）负责抓好本党建工作、群团工作、精神文明建设工作、新闻宣传工作。（6）完成县委、县政府交给的其他工作任务。</w:t>
      </w:r>
    </w:p>
    <w:p>
      <w:pPr>
        <w:pStyle w:val="11"/>
        <w:widowControl/>
        <w:spacing w:line="600" w:lineRule="exact"/>
        <w:ind w:left="720"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jc w:val="left"/>
        <w:rPr>
          <w:rFonts w:hint="eastAsia" w:ascii="Times New Roman" w:hAnsi="Times New Roman" w:eastAsia="仿宋_GB2312" w:cs="仿宋_GB2312"/>
          <w:bCs/>
          <w:kern w:val="0"/>
          <w:sz w:val="32"/>
          <w:szCs w:val="32"/>
          <w:lang w:val="en-US" w:eastAsia="zh-CN" w:bidi="ar-SA"/>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left="722" w:leftChars="344" w:firstLine="0" w:firstLineChars="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溆浦县祖师殿镇人民政府内设机构包括：党政办，党建办,经济发展办,社会事务办,自然资源与生态环境办,社会治安和应急管理办,社会事务综合服务中心，农业综合服务中心，政务服务中心，综合行政执法大队。</w:t>
      </w:r>
    </w:p>
    <w:p>
      <w:pPr>
        <w:widowControl/>
        <w:spacing w:line="600" w:lineRule="exact"/>
        <w:ind w:left="722" w:leftChars="344" w:firstLine="0" w:firstLineChars="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（二）决算单位构成。溆浦县祖师殿镇人民政府202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年部门决算汇总公开单位构成包括：溆浦县祖师殿镇人民政府本级</w:t>
      </w:r>
      <w:r>
        <w:rPr>
          <w:rFonts w:hint="eastAsia" w:ascii="Times New Roman" w:hAnsi="Times New Roman" w:eastAsia="仿宋_GB2312" w:cs="仿宋_GB2312"/>
          <w:bCs/>
          <w:kern w:val="0"/>
          <w:sz w:val="32"/>
          <w:szCs w:val="32"/>
          <w:lang w:eastAsia="zh-CN"/>
        </w:rPr>
        <w:t>以</w:t>
      </w:r>
      <w:r>
        <w:rPr>
          <w:rFonts w:hint="eastAsia" w:ascii="Times New Roman" w:hAnsi="Times New Roman" w:eastAsia="仿宋_GB2312" w:cs="仿宋_GB2312"/>
          <w:bCs/>
          <w:kern w:val="0"/>
          <w:sz w:val="32"/>
          <w:szCs w:val="32"/>
        </w:rPr>
        <w:t>及财政所共两个</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276"/>
        <w:gridCol w:w="667"/>
        <w:gridCol w:w="4665"/>
        <w:gridCol w:w="1425"/>
        <w:gridCol w:w="1455"/>
        <w:gridCol w:w="1485"/>
        <w:gridCol w:w="1125"/>
        <w:gridCol w:w="1230"/>
        <w:gridCol w:w="1770"/>
        <w:gridCol w:w="1330"/>
      </w:tblGrid>
      <w:tr>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4"/>
              <w:gridCol w:w="582"/>
              <w:gridCol w:w="1333"/>
              <w:gridCol w:w="4764"/>
              <w:gridCol w:w="1546"/>
              <w:gridCol w:w="498"/>
              <w:gridCol w:w="605"/>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04"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部门：溆浦县祖师殿镇人民政府</w:t>
                  </w:r>
                </w:p>
              </w:tc>
              <w:tc>
                <w:tcPr>
                  <w:tcW w:w="58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6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4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611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1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62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2493.17</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34.96</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56"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52"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2528.13</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62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66" w:type="dxa"/>
                <w:trHeight w:val="448" w:hRule="atLeast"/>
              </w:trPr>
              <w:tc>
                <w:tcPr>
                  <w:tcW w:w="4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2528.13</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2528.13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3" w:hRule="atLeast"/>
        </w:trPr>
        <w:tc>
          <w:tcPr>
            <w:tcW w:w="2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3" w:hRule="atLeast"/>
        </w:trPr>
        <w:tc>
          <w:tcPr>
            <w:tcW w:w="94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665"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溆浦县祖师殿镇人民政府</w:t>
            </w:r>
            <w:r>
              <w:rPr>
                <w:rFonts w:hint="eastAsia"/>
              </w:rPr>
              <w:t>　</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3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9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66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94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66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3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283" w:hRule="atLeast"/>
        </w:trPr>
        <w:tc>
          <w:tcPr>
            <w:tcW w:w="56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2,528.13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2,528.13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850.20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850.20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815.83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815.83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763.63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763.63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42.48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42.48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统计信息事务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2010507</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37.94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37.94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128.84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128.84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2080107</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47.75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47.75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17.22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17.22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45.89</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45.89</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35.16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优抚对象医疗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2101401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0.81</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67.88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47.88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1,229.74</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1,229.74</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4.25</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2130234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33.97</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2130314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防汛</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2130321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645.58</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645.58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288.52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288.52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86.00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271.06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271.06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440.23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440.23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435.23</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435.23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44"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2200106</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应急管理事务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107.22</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107.22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34.96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34.96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2296002</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34.96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34.96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70" w:hRule="atLeast"/>
        </w:trPr>
        <w:tc>
          <w:tcPr>
            <w:tcW w:w="9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4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3"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36"/>
        <w:gridCol w:w="240"/>
        <w:gridCol w:w="4597"/>
        <w:gridCol w:w="1740"/>
        <w:gridCol w:w="1470"/>
        <w:gridCol w:w="1245"/>
        <w:gridCol w:w="1680"/>
        <w:gridCol w:w="1230"/>
        <w:gridCol w:w="2202"/>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97"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溆浦县祖师殿镇人民政府</w:t>
            </w: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607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5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6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0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12" w:hRule="atLeast"/>
        </w:trPr>
        <w:tc>
          <w:tcPr>
            <w:tcW w:w="60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2,528.13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1,556.61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971.53</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850.20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805.72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815.83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773.35</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763.63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763.63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2010507</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40.50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40.50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128.84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128.84</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2080107</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47.75</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47.75</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30.54</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45.89</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45.89</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35.16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优抚对象医疗</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0.81</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2101401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0.81</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67.88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47.88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1,229.74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440.48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789.27</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90.72</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90.72</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4.25</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2130234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47.97</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33.97</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33.97</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防汛</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2130321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645.58</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645.58</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288.52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288.52</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271.06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271.06</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440.23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435.23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435.23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435.23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2200106</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应急管理事务</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107.22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34.96</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34.96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34.96</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2296002</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34.96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34.96</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12"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45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72.26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0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388"/>
        <w:gridCol w:w="510"/>
        <w:gridCol w:w="1211"/>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388"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1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0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57" w:hRule="atLeast"/>
        </w:trPr>
        <w:tc>
          <w:tcPr>
            <w:tcW w:w="3388"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溆浦县祖师殿镇人民政府</w:t>
            </w:r>
          </w:p>
        </w:tc>
        <w:tc>
          <w:tcPr>
            <w:tcW w:w="5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17"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2,493.17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850.20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34.96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1,229.74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1,229.74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7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107.22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72.26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34.96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2,528.13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2,528.13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34.96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2,528.13</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2,528.13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2,493.17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34.96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959"/>
        <w:gridCol w:w="2895"/>
        <w:gridCol w:w="2985"/>
        <w:gridCol w:w="2180"/>
      </w:tblGrid>
      <w:tr>
        <w:tblPrEx>
          <w:tblCellMar>
            <w:top w:w="0" w:type="dxa"/>
            <w:left w:w="108" w:type="dxa"/>
            <w:bottom w:w="0" w:type="dxa"/>
            <w:right w:w="108" w:type="dxa"/>
          </w:tblCellMar>
        </w:tblPrEx>
        <w:trPr>
          <w:trHeight w:val="405" w:hRule="atLeast"/>
          <w:jc w:val="center"/>
        </w:trPr>
        <w:tc>
          <w:tcPr>
            <w:tcW w:w="615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06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9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18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9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8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9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8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615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18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615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8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850.20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805.72</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815.83</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773.35</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763.63</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763.63</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4.72</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2010507</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22.97</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20.97</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20.97</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20.97</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40.50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40.50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128.84</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128.84</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2080107</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47.75</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47.75</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30.54</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30.54</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17.22</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4.88</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特困人员救助供养</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4.29</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0.02</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0.02</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45.89</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45.89</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9.93</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9.93</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3.98</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优抚对象医疗</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0.81</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0.81</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2101401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0.81</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0.81</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67.88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1,229.74</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440.48</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789.27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4.25</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4.25</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2130234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47.97</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33.97</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防汛</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645.58</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645.58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288.52</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288.52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271.06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440.23</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435.23</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435.23</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435.23</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2200106</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自然资源利用与保护</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22999</w:t>
            </w:r>
          </w:p>
        </w:tc>
        <w:tc>
          <w:tcPr>
            <w:tcW w:w="4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9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18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2299999</w:t>
            </w:r>
          </w:p>
        </w:tc>
        <w:tc>
          <w:tcPr>
            <w:tcW w:w="495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89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98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72.26</w:t>
            </w:r>
          </w:p>
        </w:tc>
        <w:tc>
          <w:tcPr>
            <w:tcW w:w="21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036"/>
        <w:gridCol w:w="236"/>
        <w:gridCol w:w="1435"/>
        <w:gridCol w:w="1689"/>
        <w:gridCol w:w="346"/>
        <w:gridCol w:w="899"/>
        <w:gridCol w:w="1065"/>
        <w:gridCol w:w="165"/>
        <w:gridCol w:w="264"/>
        <w:gridCol w:w="1221"/>
        <w:gridCol w:w="477"/>
        <w:gridCol w:w="337"/>
        <w:gridCol w:w="596"/>
        <w:gridCol w:w="30"/>
        <w:gridCol w:w="1029"/>
        <w:gridCol w:w="529"/>
        <w:gridCol w:w="317"/>
        <w:gridCol w:w="1680"/>
        <w:gridCol w:w="1245"/>
        <w:gridCol w:w="691"/>
        <w:gridCol w:w="191"/>
        <w:gridCol w:w="136"/>
      </w:tblGrid>
      <w:tr>
        <w:tblPrEx>
          <w:tblCellMar>
            <w:top w:w="0" w:type="dxa"/>
            <w:left w:w="108" w:type="dxa"/>
            <w:bottom w:w="0" w:type="dxa"/>
            <w:right w:w="108" w:type="dxa"/>
          </w:tblCellMar>
        </w:tblPrEx>
        <w:trPr>
          <w:trHeight w:val="113" w:hRule="atLeast"/>
        </w:trPr>
        <w:tc>
          <w:tcPr>
            <w:tcW w:w="15614" w:type="dxa"/>
            <w:gridSpan w:val="22"/>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58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 w:val="20"/>
                <w:szCs w:val="18"/>
              </w:rPr>
              <w:t>经济分类科目编码</w:t>
            </w:r>
          </w:p>
        </w:tc>
        <w:tc>
          <w:tcPr>
            <w:tcW w:w="21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18"/>
              </w:rPr>
              <w:t>经济分类科目编码</w:t>
            </w:r>
          </w:p>
        </w:tc>
        <w:tc>
          <w:tcPr>
            <w:tcW w:w="37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772.09</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267.01</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279.84</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194.88</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116.12</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16.75</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22.59</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3.39</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71.45</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9.16</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35.87</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52.44</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32.86</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517.51</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498.80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3.98</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0.81</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43.43</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13.92</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13.49</w:t>
            </w:r>
          </w:p>
        </w:tc>
        <w:tc>
          <w:tcPr>
            <w:tcW w:w="102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1,289.60</w:t>
            </w:r>
          </w:p>
        </w:tc>
        <w:tc>
          <w:tcPr>
            <w:tcW w:w="895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267.01</w:t>
            </w:r>
          </w:p>
        </w:tc>
      </w:tr>
      <w:tr>
        <w:tblPrEx>
          <w:tblCellMar>
            <w:top w:w="0" w:type="dxa"/>
            <w:left w:w="108" w:type="dxa"/>
            <w:bottom w:w="0" w:type="dxa"/>
            <w:right w:w="108" w:type="dxa"/>
          </w:tblCellMar>
        </w:tblPrEx>
        <w:trPr>
          <w:trHeight w:val="284" w:hRule="exact"/>
        </w:trPr>
        <w:tc>
          <w:tcPr>
            <w:tcW w:w="15614" w:type="dxa"/>
            <w:gridSpan w:val="2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690" w:hRule="atLeast"/>
        </w:trPr>
        <w:tc>
          <w:tcPr>
            <w:tcW w:w="15287" w:type="dxa"/>
            <w:gridSpan w:val="2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45" w:hRule="atLeast"/>
        </w:trPr>
        <w:tc>
          <w:tcPr>
            <w:tcW w:w="10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3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93"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4"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7"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690" w:hRule="atLeast"/>
        </w:trPr>
        <w:tc>
          <w:tcPr>
            <w:tcW w:w="4742" w:type="dxa"/>
            <w:gridSpan w:val="5"/>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2393"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4"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7"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45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49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609"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37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0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409"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0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47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34.96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34.96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34.96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2296002</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34.96</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509"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27" w:type="dxa"/>
          <w:trHeight w:val="725" w:hRule="atLeast"/>
        </w:trPr>
        <w:tc>
          <w:tcPr>
            <w:tcW w:w="15287"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52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溆浦县祖师殿镇人民政府</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2528.13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67.31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在岗在编</w:t>
      </w:r>
      <w:r>
        <w:rPr>
          <w:rFonts w:hint="eastAsia" w:ascii="Times New Roman" w:hAnsi="Times New Roman" w:eastAsia="仿宋_GB2312"/>
          <w:sz w:val="32"/>
          <w:szCs w:val="32"/>
        </w:rPr>
        <w:t>人员的</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，人员</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、办公开支</w:t>
      </w:r>
      <w:r>
        <w:rPr>
          <w:rFonts w:hint="eastAsia" w:ascii="Times New Roman" w:hAnsi="Times New Roman" w:eastAsia="仿宋_GB2312"/>
          <w:sz w:val="32"/>
          <w:szCs w:val="32"/>
        </w:rPr>
        <w:t>也就</w:t>
      </w:r>
      <w:r>
        <w:rPr>
          <w:rFonts w:hint="eastAsia" w:ascii="Times New Roman" w:hAnsi="Times New Roman" w:eastAsia="仿宋_GB2312"/>
          <w:sz w:val="32"/>
          <w:szCs w:val="32"/>
          <w:lang w:eastAsia="zh-CN"/>
        </w:rPr>
        <w:t>减少</w:t>
      </w:r>
      <w:r>
        <w:rPr>
          <w:rFonts w:hint="eastAsia" w:cs="宋体"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2528.13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2528.13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2528.13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1556.61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61.57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971.53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38.43</w:t>
      </w:r>
      <w:r>
        <w:rPr>
          <w:rFonts w:hint="eastAsia" w:ascii="Times New Roman" w:hAnsi="Times New Roman" w:eastAsia="仿宋_GB2312"/>
          <w:sz w:val="32"/>
          <w:szCs w:val="32"/>
        </w:rPr>
        <w:t>%；上缴上级支出0万元，占0%；经营支出0万元，占0%；对附属单位补助支出0万元，占0%。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0000FF"/>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2528.13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67.31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在岗在编</w:t>
      </w:r>
      <w:r>
        <w:rPr>
          <w:rFonts w:hint="eastAsia" w:ascii="Times New Roman" w:hAnsi="Times New Roman" w:eastAsia="仿宋_GB2312"/>
          <w:sz w:val="32"/>
          <w:szCs w:val="32"/>
        </w:rPr>
        <w:t>人员的</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，人员</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、办公开支</w:t>
      </w:r>
      <w:r>
        <w:rPr>
          <w:rFonts w:hint="eastAsia" w:ascii="Times New Roman" w:hAnsi="Times New Roman" w:eastAsia="仿宋_GB2312"/>
          <w:sz w:val="32"/>
          <w:szCs w:val="32"/>
        </w:rPr>
        <w:t>也就</w:t>
      </w:r>
      <w:r>
        <w:rPr>
          <w:rFonts w:hint="eastAsia" w:ascii="Times New Roman" w:hAnsi="Times New Roman" w:eastAsia="仿宋_GB2312"/>
          <w:sz w:val="32"/>
          <w:szCs w:val="32"/>
          <w:lang w:eastAsia="zh-CN"/>
        </w:rPr>
        <w:t>减少</w:t>
      </w:r>
      <w:r>
        <w:rPr>
          <w:rFonts w:hint="eastAsia" w:cs="宋体" w:asciiTheme="minorEastAsia" w:hAnsiTheme="minorEastAsia" w:eastAsiaTheme="minorEastAsia"/>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w:t>
      </w:r>
      <w:r>
        <w:rPr>
          <w:rFonts w:hint="eastAsia" w:ascii="Times New Roman" w:hAnsi="Times New Roman" w:eastAsia="仿宋_GB2312"/>
          <w:color w:val="auto"/>
          <w:sz w:val="32"/>
          <w:szCs w:val="32"/>
        </w:rPr>
        <w:t>款支出</w:t>
      </w:r>
      <w:r>
        <w:rPr>
          <w:rFonts w:hint="eastAsia" w:ascii="Times New Roman" w:hAnsi="Times New Roman" w:eastAsia="仿宋_GB2312"/>
          <w:color w:val="auto"/>
          <w:sz w:val="32"/>
          <w:szCs w:val="32"/>
          <w:lang w:val="en-US" w:eastAsia="zh-CN"/>
        </w:rPr>
        <w:t>2493.17</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%，与上年相比，财政拨款支出减少</w:t>
      </w:r>
      <w:r>
        <w:rPr>
          <w:rFonts w:hint="eastAsia" w:ascii="Times New Roman" w:hAnsi="Times New Roman" w:eastAsia="仿宋_GB2312"/>
          <w:color w:val="auto"/>
          <w:sz w:val="32"/>
          <w:szCs w:val="32"/>
          <w:lang w:val="en-US" w:eastAsia="zh-CN"/>
        </w:rPr>
        <w:t>102.27</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3.94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在岗在编</w:t>
      </w:r>
      <w:r>
        <w:rPr>
          <w:rFonts w:hint="eastAsia" w:ascii="Times New Roman" w:hAnsi="Times New Roman" w:eastAsia="仿宋_GB2312"/>
          <w:color w:val="auto"/>
          <w:sz w:val="32"/>
          <w:szCs w:val="32"/>
        </w:rPr>
        <w:t>人员的</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rPr>
        <w:t>，人员</w:t>
      </w:r>
      <w:r>
        <w:rPr>
          <w:rFonts w:hint="eastAsia" w:ascii="Times New Roman" w:hAnsi="Times New Roman" w:eastAsia="仿宋_GB2312"/>
          <w:color w:val="auto"/>
          <w:sz w:val="32"/>
          <w:szCs w:val="32"/>
          <w:lang w:eastAsia="zh-CN"/>
        </w:rPr>
        <w:t>相关</w:t>
      </w:r>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eastAsia="zh-CN"/>
        </w:rPr>
        <w:t>、办公开支</w:t>
      </w:r>
      <w:r>
        <w:rPr>
          <w:rFonts w:hint="eastAsia" w:ascii="Times New Roman" w:hAnsi="Times New Roman" w:eastAsia="仿宋_GB2312"/>
          <w:color w:val="auto"/>
          <w:sz w:val="32"/>
          <w:szCs w:val="32"/>
        </w:rPr>
        <w:t>也就</w:t>
      </w:r>
      <w:r>
        <w:rPr>
          <w:rFonts w:hint="eastAsia" w:ascii="Times New Roman" w:hAnsi="Times New Roman" w:eastAsia="仿宋_GB2312"/>
          <w:color w:val="auto"/>
          <w:sz w:val="32"/>
          <w:szCs w:val="32"/>
          <w:lang w:eastAsia="zh-CN"/>
        </w:rPr>
        <w:t>减少</w:t>
      </w:r>
      <w:r>
        <w:rPr>
          <w:rFonts w:hint="eastAsia" w:cs="宋体" w:asciiTheme="minorEastAsia" w:hAnsiTheme="minorEastAsia" w:eastAsiaTheme="minorEastAsia"/>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2493.17</w:t>
      </w:r>
      <w:r>
        <w:rPr>
          <w:rFonts w:hint="eastAsia" w:ascii="Times New Roman" w:hAnsi="Times New Roman" w:eastAsia="仿宋_GB2312"/>
          <w:color w:val="auto"/>
          <w:sz w:val="32"/>
          <w:szCs w:val="32"/>
        </w:rPr>
        <w:t>万元，主要用于以下方面：一般公共服务支出</w:t>
      </w:r>
      <w:r>
        <w:rPr>
          <w:rFonts w:hint="eastAsia" w:ascii="Times New Roman" w:hAnsi="Times New Roman" w:eastAsia="仿宋_GB2312"/>
          <w:color w:val="auto"/>
          <w:sz w:val="32"/>
          <w:szCs w:val="32"/>
          <w:lang w:val="en-US" w:eastAsia="zh-CN"/>
        </w:rPr>
        <w:t>850.2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33.63</w:t>
      </w:r>
      <w:r>
        <w:rPr>
          <w:rFonts w:hint="eastAsia" w:ascii="Times New Roman" w:hAnsi="Times New Roman" w:eastAsia="仿宋_GB2312"/>
          <w:color w:val="auto"/>
          <w:sz w:val="32"/>
          <w:szCs w:val="32"/>
        </w:rPr>
        <w:t>%；公共安全支出</w:t>
      </w:r>
      <w:r>
        <w:rPr>
          <w:rFonts w:hint="eastAsia" w:ascii="Times New Roman" w:hAnsi="Times New Roman" w:eastAsia="仿宋_GB2312"/>
          <w:color w:val="auto"/>
          <w:sz w:val="32"/>
          <w:szCs w:val="32"/>
          <w:lang w:val="en-US" w:eastAsia="zh-CN"/>
        </w:rPr>
        <w:t>40.5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文化旅游体育与传媒支出</w:t>
      </w:r>
      <w:r>
        <w:rPr>
          <w:rFonts w:hint="eastAsia" w:ascii="Times New Roman" w:hAnsi="Times New Roman" w:eastAsia="仿宋_GB2312"/>
          <w:color w:val="auto"/>
          <w:sz w:val="32"/>
          <w:szCs w:val="32"/>
          <w:lang w:val="en-US" w:eastAsia="zh-CN"/>
        </w:rPr>
        <w:t>17万元，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0.67</w:t>
      </w:r>
      <w:r>
        <w:rPr>
          <w:rFonts w:hint="eastAsia" w:ascii="Times New Roman" w:hAnsi="Times New Roman" w:eastAsia="仿宋_GB2312"/>
          <w:color w:val="auto"/>
          <w:sz w:val="32"/>
          <w:szCs w:val="32"/>
        </w:rPr>
        <w:t>%；社会保障和就业支出</w:t>
      </w:r>
      <w:r>
        <w:rPr>
          <w:rFonts w:hint="eastAsia" w:ascii="Times New Roman" w:hAnsi="Times New Roman" w:eastAsia="仿宋_GB2312"/>
          <w:color w:val="auto"/>
          <w:sz w:val="32"/>
          <w:szCs w:val="32"/>
          <w:lang w:val="en-US" w:eastAsia="zh-CN"/>
        </w:rPr>
        <w:t>128.84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5.1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卫生健康支出</w:t>
      </w:r>
      <w:r>
        <w:rPr>
          <w:rFonts w:hint="eastAsia" w:ascii="Times New Roman" w:hAnsi="Times New Roman" w:eastAsia="仿宋_GB2312"/>
          <w:color w:val="auto"/>
          <w:sz w:val="32"/>
          <w:szCs w:val="32"/>
          <w:lang w:val="en-US" w:eastAsia="zh-CN"/>
        </w:rPr>
        <w:t>45.89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1.82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城乡社区支出</w:t>
      </w:r>
      <w:r>
        <w:rPr>
          <w:rFonts w:hint="eastAsia" w:ascii="Times New Roman" w:hAnsi="Times New Roman" w:eastAsia="仿宋_GB2312"/>
          <w:color w:val="auto"/>
          <w:sz w:val="32"/>
          <w:szCs w:val="32"/>
          <w:lang w:val="en-US" w:eastAsia="zh-CN"/>
        </w:rPr>
        <w:t>67.88</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2.68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农林水支出</w:t>
      </w:r>
      <w:r>
        <w:rPr>
          <w:rFonts w:hint="eastAsia" w:ascii="Times New Roman" w:hAnsi="Times New Roman" w:eastAsia="仿宋_GB2312"/>
          <w:color w:val="auto"/>
          <w:sz w:val="32"/>
          <w:szCs w:val="32"/>
          <w:lang w:val="en-US" w:eastAsia="zh-CN"/>
        </w:rPr>
        <w:t>1229.74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48.64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；自然资源海洋气象等支出</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0.12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住房保障支出</w:t>
      </w:r>
      <w:r>
        <w:rPr>
          <w:rFonts w:hint="eastAsia" w:ascii="Times New Roman" w:hAnsi="Times New Roman" w:eastAsia="仿宋_GB2312"/>
          <w:color w:val="auto"/>
          <w:sz w:val="32"/>
          <w:szCs w:val="32"/>
          <w:lang w:val="en-US" w:eastAsia="zh-CN"/>
        </w:rPr>
        <w:t>32.86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rPr>
        <w:t>%，灾害防治及应急管理支出</w:t>
      </w:r>
      <w:r>
        <w:rPr>
          <w:rFonts w:hint="eastAsia" w:ascii="Times New Roman" w:hAnsi="Times New Roman" w:eastAsia="仿宋_GB2312"/>
          <w:color w:val="auto"/>
          <w:sz w:val="32"/>
          <w:szCs w:val="32"/>
          <w:lang w:val="en-US" w:eastAsia="zh-CN"/>
        </w:rPr>
        <w:t>5万元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0.2</w:t>
      </w:r>
      <w:r>
        <w:rPr>
          <w:rFonts w:hint="eastAsia" w:ascii="Times New Roman" w:hAnsi="Times New Roman" w:eastAsia="仿宋_GB2312"/>
          <w:color w:val="auto"/>
          <w:sz w:val="32"/>
          <w:szCs w:val="32"/>
        </w:rPr>
        <w:t>%，其他支出</w:t>
      </w:r>
      <w:r>
        <w:rPr>
          <w:rFonts w:hint="eastAsia" w:ascii="Times New Roman" w:hAnsi="Times New Roman" w:eastAsia="仿宋_GB2312"/>
          <w:color w:val="auto"/>
          <w:sz w:val="32"/>
          <w:szCs w:val="32"/>
          <w:lang w:val="en-US" w:eastAsia="zh-CN"/>
        </w:rPr>
        <w:t>107.22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4.24</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pPr>
        <w:pStyle w:val="10"/>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2493.17</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2493.17</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一般公共服务（类）政府办公厅（</w:t>
      </w:r>
      <w:r>
        <w:rPr>
          <w:rFonts w:hint="eastAsia" w:ascii="Times New Roman" w:hAnsi="Times New Roman" w:eastAsia="仿宋_GB2312"/>
          <w:sz w:val="32"/>
          <w:szCs w:val="32"/>
        </w:rPr>
        <w:t>室）及相关机构事务（款）行政运行（项）。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763.63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763.63</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、一般公共服务（类）政府办公厅（室）及相关机构事务（款）一般行政管理事务（项）。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42.48</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w:t>
      </w:r>
      <w:r>
        <w:rPr>
          <w:rFonts w:hint="eastAsia" w:ascii="Times New Roman" w:hAnsi="Times New Roman" w:eastAsia="仿宋_GB2312"/>
          <w:sz w:val="32"/>
          <w:szCs w:val="32"/>
          <w:lang w:eastAsia="zh-CN"/>
        </w:rPr>
        <w:t>信访事务</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 其他政府办公厅（室）及相关机构事务支出（项）。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、一般公共服务（类）统计信息事务（款）专项普查活动（项）。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、一般公共服务（类）财政事务（款）行政运行（项）。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20.97</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、一般公共服务（类）财政事务（款）一般行政管理事务（项）。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党委办公厅（室）及相关机构事务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专项业务</w:t>
      </w:r>
      <w:r>
        <w:rPr>
          <w:rFonts w:hint="eastAsia" w:ascii="Times New Roman" w:hAnsi="Times New Roman" w:eastAsia="仿宋_GB2312"/>
          <w:sz w:val="32"/>
          <w:szCs w:val="32"/>
        </w:rPr>
        <w:t>（项）。</w:t>
      </w:r>
    </w:p>
    <w:p>
      <w:pPr>
        <w:pStyle w:val="10"/>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、一般公共服务（类）其他一般公共服务支出（款）其他一般公共服务支出（项）。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、公共安全支出（类）公安（款）一般行政管理事务（项）。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37.94</w:t>
      </w:r>
      <w:r>
        <w:rPr>
          <w:rFonts w:hint="eastAsia" w:ascii="Times New Roman" w:hAnsi="Times New Roman" w:eastAsia="仿宋_GB2312"/>
          <w:sz w:val="32"/>
          <w:szCs w:val="32"/>
        </w:rPr>
        <w:t>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、公共安全支出（类）公安（款）其他公安支出（项）。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文化和旅游</w:t>
      </w:r>
      <w:r>
        <w:rPr>
          <w:rFonts w:hint="eastAsia" w:ascii="Times New Roman" w:hAnsi="Times New Roman" w:eastAsia="仿宋_GB2312"/>
          <w:sz w:val="32"/>
          <w:szCs w:val="32"/>
        </w:rPr>
        <w:t>（款）其他</w:t>
      </w:r>
      <w:r>
        <w:rPr>
          <w:rFonts w:hint="eastAsia" w:ascii="Times New Roman" w:hAnsi="Times New Roman" w:eastAsia="仿宋_GB2312"/>
          <w:sz w:val="32"/>
          <w:szCs w:val="32"/>
          <w:lang w:eastAsia="zh-CN"/>
        </w:rPr>
        <w:t>文化和旅游支出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其他文化旅游体育与传媒支出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其他文化旅游体育与传媒支出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社会保险业务管理事务</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66.5</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、社会保障和就业支出（类）抚恤（款）死亡抚恤（项）。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30.54</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eastAsia="zh-CN"/>
        </w:rPr>
        <w:t>其他优抚支出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17.22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、社会保障和就业支出（类）社会福利（款）</w:t>
      </w:r>
      <w:r>
        <w:rPr>
          <w:rFonts w:hint="eastAsia" w:ascii="Times New Roman" w:hAnsi="Times New Roman" w:eastAsia="仿宋_GB2312"/>
          <w:sz w:val="32"/>
          <w:szCs w:val="32"/>
          <w:lang w:eastAsia="zh-CN"/>
        </w:rPr>
        <w:t>儿童</w:t>
      </w:r>
      <w:r>
        <w:rPr>
          <w:rFonts w:hint="eastAsia" w:ascii="Times New Roman" w:hAnsi="Times New Roman" w:eastAsia="仿宋_GB2312"/>
          <w:sz w:val="32"/>
          <w:szCs w:val="32"/>
        </w:rPr>
        <w:t>福利（项）。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、社会保障和就业支出（类）社会福利（款）</w:t>
      </w:r>
      <w:r>
        <w:rPr>
          <w:rFonts w:hint="eastAsia" w:ascii="Times New Roman" w:hAnsi="Times New Roman" w:eastAsia="仿宋_GB2312"/>
          <w:sz w:val="32"/>
          <w:szCs w:val="32"/>
          <w:lang w:eastAsia="zh-CN"/>
        </w:rPr>
        <w:t>老年</w:t>
      </w:r>
      <w:r>
        <w:rPr>
          <w:rFonts w:hint="eastAsia" w:ascii="Times New Roman" w:hAnsi="Times New Roman" w:eastAsia="仿宋_GB2312"/>
          <w:sz w:val="32"/>
          <w:szCs w:val="32"/>
        </w:rPr>
        <w:t>福利（项）。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3.88</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、社会保障和就业支出（类）特困人员救助供养（款）农村特困人员救助供养支出（项）。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4.29</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、社会保障和就业支出（类）财政对基本养老保险基金的补助（款）财政对其他基本养老保险基金的补助（项）。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、社会保障和就业支出（类）退役军人管理事务（款）其他退役军人</w:t>
      </w:r>
      <w:r>
        <w:rPr>
          <w:rFonts w:hint="eastAsia" w:ascii="Times New Roman" w:hAnsi="Times New Roman" w:eastAsia="仿宋_GB2312"/>
          <w:sz w:val="32"/>
          <w:szCs w:val="32"/>
          <w:lang w:eastAsia="zh-CN"/>
        </w:rPr>
        <w:t>事务</w:t>
      </w:r>
      <w:r>
        <w:rPr>
          <w:rFonts w:hint="eastAsia" w:ascii="Times New Roman" w:hAnsi="Times New Roman" w:eastAsia="仿宋_GB2312"/>
          <w:sz w:val="32"/>
          <w:szCs w:val="32"/>
        </w:rPr>
        <w:t>管理支出（项）。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、卫生健康支出（类）公共卫生（款） 精神卫生机构（项）。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、卫生健康支出（类）公共卫生（款）突发公共卫生事件应急处理（项）。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4.27</w:t>
      </w:r>
      <w:r>
        <w:rPr>
          <w:rFonts w:hint="eastAsia" w:ascii="Times New Roman" w:hAnsi="Times New Roman" w:eastAsia="仿宋_GB2312"/>
          <w:sz w:val="32"/>
          <w:szCs w:val="32"/>
        </w:rPr>
        <w:t>万元，完成年初预算的100 %。</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、卫生健康支出（类）公共卫生（款）其他公共卫生支出（项）。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万元，完成年初预算的100 %。</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pPr>
        <w:pStyle w:val="10"/>
        <w:ind w:left="638" w:leftChars="304"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35.16</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优抚对象医疗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优抚对象医疗补助</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、城乡社区支出（类）城乡社区</w:t>
      </w:r>
      <w:r>
        <w:rPr>
          <w:rFonts w:hint="eastAsia" w:ascii="Times New Roman" w:hAnsi="Times New Roman" w:eastAsia="仿宋_GB2312"/>
          <w:sz w:val="32"/>
          <w:szCs w:val="32"/>
          <w:lang w:val="en-US" w:eastAsia="zh-CN"/>
        </w:rPr>
        <w:t>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其他城乡社区管理事务支出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、城乡社区支出（类）城乡社区公共设施（款）小城镇基础设施建设（项）。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47.88</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城乡社区支出（类）城乡社区环境卫生（款）城乡社区环境卫生（项）。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、农林水支出（类）农业农村（款）其他农业农村支出（项）。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90.72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、农林水支出（类）林业和草原（款）</w:t>
      </w:r>
      <w:r>
        <w:rPr>
          <w:rFonts w:hint="eastAsia" w:ascii="Times New Roman" w:hAnsi="Times New Roman" w:eastAsia="仿宋_GB2312"/>
          <w:sz w:val="32"/>
          <w:szCs w:val="32"/>
          <w:lang w:val="en-US" w:eastAsia="zh-CN"/>
        </w:rPr>
        <w:t>森林生态效益补偿</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、农林水支出（类）林业和草原（款）</w:t>
      </w:r>
      <w:r>
        <w:rPr>
          <w:rFonts w:hint="eastAsia" w:ascii="Times New Roman" w:hAnsi="Times New Roman" w:eastAsia="仿宋_GB2312"/>
          <w:sz w:val="32"/>
          <w:szCs w:val="32"/>
          <w:lang w:val="en-US" w:eastAsia="zh-CN"/>
        </w:rPr>
        <w:t>林业草原防灾减灾</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、农林水支出（类）水利（款）水利工程运行与维护（项）。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33.97</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、农林水支出（类）水利（款）防汛（项）。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、农林水支出（类）水利（款）大中型水库移民后期扶持专项支出（项）。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、农林水支出（类）巩固脱贫衔接乡村振兴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款）农村基础设施建设（项）。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288.52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288.52</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、农林水支出（类）巩固脱贫衔接乡村振兴（款）生产发展（项）。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、农林水支出（类）巩固脱贫衔接乡村振兴（款）</w:t>
      </w:r>
      <w:r>
        <w:rPr>
          <w:rFonts w:hint="eastAsia" w:ascii="Times New Roman" w:hAnsi="Times New Roman" w:eastAsia="仿宋_GB2312"/>
          <w:sz w:val="32"/>
          <w:szCs w:val="32"/>
          <w:lang w:val="en-US" w:eastAsia="zh-CN"/>
        </w:rPr>
        <w:t>其他巩固脱贫衔接乡村振兴支出</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271.06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271.06</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、农林水支出（类）农村综合改革（款）对村级公益事业建设的补助（项）。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、农林水支出（类）农村综合改革（款）对村民委员会和村党支部的补助（项）。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435.23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435.23</w:t>
      </w:r>
      <w:r>
        <w:rPr>
          <w:rFonts w:hint="eastAsia" w:ascii="Times New Roman" w:hAnsi="Times New Roman" w:eastAsia="仿宋_GB2312"/>
          <w:sz w:val="32"/>
          <w:szCs w:val="32"/>
        </w:rPr>
        <w:t>万元，完成年初预算的100 %。</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自然资源海洋气象等</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自然资源事务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自然资源利用与保护</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pPr>
        <w:pStyle w:val="10"/>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住房保障支出（类）住房改革支出（款）住房公积金（项）。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32.86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32.86</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灾害防治及应急管理支出（类）应急管理事务（款） 其他应急管理支出（项）。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年初预算为2万元，支出决算为2万元，完成年初预算的100%。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灾害防治及应急管理支出（类）自然灾害</w:t>
      </w:r>
      <w:r>
        <w:rPr>
          <w:rFonts w:hint="eastAsia" w:ascii="Times New Roman" w:hAnsi="Times New Roman" w:eastAsia="仿宋_GB2312"/>
          <w:sz w:val="32"/>
          <w:szCs w:val="32"/>
          <w:lang w:val="en-US" w:eastAsia="zh-CN"/>
        </w:rPr>
        <w:t>防治</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地质灾害防治</w:t>
      </w:r>
      <w:r>
        <w:rPr>
          <w:rFonts w:hint="eastAsia" w:ascii="Times New Roman" w:hAnsi="Times New Roman" w:eastAsia="仿宋_GB2312"/>
          <w:sz w:val="32"/>
          <w:szCs w:val="32"/>
        </w:rPr>
        <w:t>（项）。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其他支出（类）彩票公益金安排的支出（款）用于社会福利的彩票公益金支出（项）。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万元，完成年初预算的100%。</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其他支出（类）其他支出（款）其他支出（项）。</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72.26</w:t>
      </w:r>
      <w:r>
        <w:rPr>
          <w:rFonts w:hint="eastAsia" w:ascii="Times New Roman" w:hAnsi="Times New Roman" w:eastAsia="仿宋_GB2312"/>
          <w:sz w:val="32"/>
          <w:szCs w:val="32"/>
        </w:rPr>
        <w:t>万元，完成年初预算的100%。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1556.61</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1289.6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82.85</w:t>
      </w:r>
      <w:r>
        <w:rPr>
          <w:rFonts w:hint="eastAsia" w:ascii="Times New Roman" w:hAnsi="Times New Roman" w:eastAsia="仿宋_GB2312"/>
          <w:sz w:val="32"/>
          <w:szCs w:val="32"/>
        </w:rPr>
        <w:t>%,主要包括基本工资279.84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、津贴补贴194.88</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、奖金116.12</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、伙食补助费16.75</w:t>
      </w:r>
      <w:r>
        <w:rPr>
          <w:rFonts w:hint="eastAsia" w:ascii="Times New Roman" w:hAnsi="Times New Roman" w:eastAsia="仿宋_GB2312"/>
          <w:sz w:val="32"/>
          <w:szCs w:val="32"/>
          <w:lang w:eastAsia="zh-CN"/>
        </w:rPr>
        <w:t>万元、绩效工资22.59万元、机关事业单位基本养老保险缴费71.45万元、职工基本医疗保险缴费</w:t>
      </w:r>
      <w:r>
        <w:rPr>
          <w:rFonts w:hint="eastAsia" w:ascii="Times New Roman" w:hAnsi="Times New Roman" w:eastAsia="仿宋_GB2312"/>
          <w:sz w:val="32"/>
          <w:szCs w:val="32"/>
          <w:lang w:val="en-US" w:eastAsia="zh-CN"/>
        </w:rPr>
        <w:t>35.87万元、 其他社会保障缴费1.72万元、住房公积金32.86万元、对个人和家庭的补助517.51万元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267.01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17.15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100万元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4万元、水费3.39万元、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9.16万元</w:t>
      </w:r>
      <w:r>
        <w:rPr>
          <w:rFonts w:hint="eastAsia" w:ascii="Times New Roman" w:hAnsi="Times New Roman" w:eastAsia="仿宋_GB2312"/>
          <w:sz w:val="32"/>
          <w:szCs w:val="32"/>
        </w:rPr>
        <w:t>、 取暖费</w:t>
      </w:r>
      <w:r>
        <w:rPr>
          <w:rFonts w:hint="eastAsia" w:ascii="Times New Roman" w:hAnsi="Times New Roman" w:eastAsia="仿宋_GB2312"/>
          <w:sz w:val="32"/>
          <w:szCs w:val="32"/>
          <w:lang w:val="en-US" w:eastAsia="zh-CN"/>
        </w:rPr>
        <w:t>4.1万元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52.44万元</w:t>
      </w:r>
      <w:r>
        <w:rPr>
          <w:rFonts w:hint="eastAsia" w:ascii="Times New Roman" w:hAnsi="Times New Roman" w:eastAsia="仿宋_GB2312"/>
          <w:sz w:val="32"/>
          <w:szCs w:val="32"/>
          <w:lang w:eastAsia="zh-CN"/>
        </w:rPr>
        <w:t>、会议费</w:t>
      </w:r>
      <w:r>
        <w:rPr>
          <w:rFonts w:hint="eastAsia" w:ascii="Times New Roman" w:hAnsi="Times New Roman" w:eastAsia="仿宋_GB2312"/>
          <w:sz w:val="32"/>
          <w:szCs w:val="32"/>
          <w:lang w:val="en-US" w:eastAsia="zh-CN"/>
        </w:rPr>
        <w:t>2.5万元、培训费0.5万元、公务接待费4万元、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30万元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43.43万元、</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val="en-US" w:eastAsia="zh-CN"/>
        </w:rPr>
        <w:t>13.49万元</w:t>
      </w:r>
      <w:r>
        <w:rPr>
          <w:rFonts w:hint="eastAsia" w:ascii="Times New Roman" w:hAnsi="Times New Roman" w:eastAsia="仿宋_GB2312"/>
          <w:sz w:val="32"/>
          <w:szCs w:val="32"/>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万元，全年共接待来</w:t>
      </w:r>
      <w:r>
        <w:rPr>
          <w:rFonts w:hint="eastAsia" w:ascii="Times New Roman" w:hAnsi="Times New Roman" w:eastAsia="仿宋_GB2312"/>
          <w:sz w:val="32"/>
          <w:szCs w:val="32"/>
        </w:rPr>
        <w:t>访团组</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833</w:t>
      </w:r>
      <w:r>
        <w:rPr>
          <w:rFonts w:hint="eastAsia" w:ascii="Times New Roman" w:hAnsi="Times New Roman" w:eastAsia="仿宋_GB2312"/>
          <w:sz w:val="32"/>
          <w:szCs w:val="32"/>
        </w:rPr>
        <w:t>人次，主要是日常工作检查发生的接待支出。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r>
        <w:rPr>
          <w:rFonts w:hint="eastAsia" w:ascii="Times New Roman" w:hAnsi="Times New Roman" w:eastAsia="仿宋_GB2312"/>
          <w:sz w:val="32"/>
          <w:szCs w:val="32"/>
        </w:rPr>
        <w:t>：公务用车购置费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w:t>
      </w:r>
      <w:r>
        <w:rPr>
          <w:rFonts w:hint="eastAsia" w:ascii="Times New Roman" w:hAnsi="Times New Roman" w:eastAsia="仿宋_GB2312"/>
          <w:sz w:val="32"/>
          <w:szCs w:val="32"/>
        </w:rPr>
        <w:t>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1、其他支出（类）彩票公益金安排的支出（款）用于社会福利的彩票公益金支出（项）。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34.96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黑体" w:asciiTheme="minorEastAsia" w:hAnsiTheme="minorEastAsia"/>
          <w:color w:val="000000"/>
          <w:kern w:val="0"/>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267.01</w:t>
      </w:r>
      <w:r>
        <w:rPr>
          <w:rFonts w:hint="eastAsia" w:ascii="Times New Roman" w:hAnsi="Times New Roman" w:eastAsia="仿宋_GB2312"/>
          <w:sz w:val="32"/>
          <w:szCs w:val="32"/>
        </w:rPr>
        <w:t>万元，完成年初预算数</w:t>
      </w:r>
      <w:r>
        <w:rPr>
          <w:rFonts w:hint="eastAsia" w:ascii="Times New Roman" w:hAnsi="Times New Roman" w:eastAsia="仿宋_GB2312"/>
          <w:sz w:val="32"/>
          <w:szCs w:val="32"/>
          <w:lang w:val="en-US" w:eastAsia="zh-CN"/>
        </w:rPr>
        <w:t>267.01</w:t>
      </w:r>
      <w:r>
        <w:rPr>
          <w:rFonts w:hint="eastAsia" w:ascii="Times New Roman" w:hAnsi="Times New Roman" w:eastAsia="仿宋_GB2312"/>
          <w:sz w:val="32"/>
          <w:szCs w:val="32"/>
        </w:rPr>
        <w:t>万元，完成率100%。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万元，用于召开</w:t>
      </w:r>
      <w:r>
        <w:rPr>
          <w:rFonts w:hint="eastAsia" w:eastAsia="仿宋_GB2312" w:cs="仿宋" w:asciiTheme="minorEastAsia" w:hAnsiTheme="minorEastAsia"/>
          <w:color w:val="000000"/>
          <w:kern w:val="0"/>
          <w:sz w:val="32"/>
          <w:szCs w:val="32"/>
          <w:lang w:val="en-US" w:eastAsia="zh-CN"/>
        </w:rPr>
        <w:t>乡村振兴</w:t>
      </w:r>
      <w:r>
        <w:rPr>
          <w:rFonts w:hint="eastAsia" w:eastAsia="仿宋_GB2312" w:cs="仿宋" w:asciiTheme="minorEastAsia" w:hAnsiTheme="minorEastAsia"/>
          <w:color w:val="000000"/>
          <w:kern w:val="0"/>
          <w:sz w:val="32"/>
          <w:szCs w:val="32"/>
          <w:lang w:eastAsia="zh-CN"/>
        </w:rPr>
        <w:t>、日常工作等</w:t>
      </w:r>
      <w:r>
        <w:rPr>
          <w:rFonts w:hint="eastAsia" w:ascii="Times New Roman" w:hAnsi="Times New Roman" w:eastAsia="仿宋_GB2312"/>
          <w:sz w:val="32"/>
          <w:szCs w:val="32"/>
        </w:rPr>
        <w:t>会议，人</w:t>
      </w:r>
      <w:r>
        <w:rPr>
          <w:rFonts w:hint="eastAsia" w:ascii="Times New Roman" w:hAnsi="Times New Roman" w:eastAsia="仿宋_GB2312"/>
          <w:sz w:val="32"/>
          <w:szCs w:val="32"/>
        </w:rPr>
        <w:t>数</w:t>
      </w:r>
      <w:r>
        <w:rPr>
          <w:rFonts w:hint="eastAsia" w:ascii="Times New Roman" w:hAnsi="Times New Roman" w:eastAsia="仿宋_GB2312"/>
          <w:sz w:val="32"/>
          <w:szCs w:val="32"/>
          <w:lang w:val="en-US" w:eastAsia="zh-CN"/>
        </w:rPr>
        <w:t>1972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乡村振兴及日常工作安排等</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仿宋" w:asciiTheme="minorEastAsia" w:hAnsiTheme="minorEastAsia"/>
          <w:color w:val="000000"/>
          <w:kern w:val="0"/>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万元，用于开展就业培训、业务培训，人数</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人，内容为各</w:t>
      </w:r>
      <w:r>
        <w:rPr>
          <w:rFonts w:hint="eastAsia" w:ascii="Times New Roman" w:hAnsi="Times New Roman" w:eastAsia="仿宋_GB2312"/>
          <w:sz w:val="32"/>
          <w:szCs w:val="32"/>
        </w:rPr>
        <w:t>项就业培训、业务培训</w:t>
      </w:r>
      <w:r>
        <w:rPr>
          <w:rFonts w:hint="eastAsia" w:cs="仿宋" w:asciiTheme="minorEastAsia" w:hAnsiTheme="minorEastAsia"/>
          <w:color w:val="000000"/>
          <w:kern w:val="0"/>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cs="仿宋" w:asciiTheme="minorEastAsia" w:hAnsiTheme="minorEastAsia"/>
          <w:color w:val="000000"/>
          <w:kern w:val="0"/>
          <w:sz w:val="32"/>
          <w:szCs w:val="32"/>
          <w:lang w:eastAsia="zh-CN"/>
        </w:rPr>
      </w:pPr>
      <w:r>
        <w:rPr>
          <w:rFonts w:hint="eastAsia" w:ascii="Times New Roman" w:hAnsi="Times New Roman" w:eastAsia="仿宋_GB2312"/>
          <w:sz w:val="32"/>
          <w:szCs w:val="32"/>
          <w:lang w:val="en-US" w:eastAsia="zh-CN"/>
        </w:rPr>
        <w:t>举办0次节庆、晚会、论坛、赛事活动，开支0万元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w:t>
      </w:r>
      <w:r>
        <w:rPr>
          <w:rFonts w:hint="eastAsia" w:ascii="Times New Roman" w:hAnsi="Times New Roman" w:eastAsia="仿宋_GB2312"/>
          <w:sz w:val="32"/>
          <w:szCs w:val="32"/>
        </w:rPr>
        <w:t>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其他用车主要是</w:t>
      </w:r>
      <w:r>
        <w:rPr>
          <w:rFonts w:hint="eastAsia" w:ascii="Times New Roman" w:hAnsi="Times New Roman" w:eastAsia="仿宋_GB2312"/>
          <w:sz w:val="32"/>
          <w:szCs w:val="32"/>
          <w:lang w:eastAsia="zh-CN"/>
        </w:rPr>
        <w:t>闲置的公车</w:t>
      </w:r>
      <w:r>
        <w:rPr>
          <w:rFonts w:hint="eastAsia" w:ascii="Times New Roman" w:hAnsi="Times New Roman" w:eastAsia="仿宋_GB2312"/>
          <w:sz w:val="32"/>
          <w:szCs w:val="32"/>
        </w:rPr>
        <w:t>；单位价值50</w:t>
      </w:r>
      <w:r>
        <w:rPr>
          <w:rFonts w:hint="eastAsia" w:ascii="Times New Roman" w:hAnsi="Times New Roman" w:eastAsia="仿宋_GB2312"/>
          <w:sz w:val="32"/>
          <w:szCs w:val="32"/>
        </w:rPr>
        <w:t>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一、部门概况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（一）部门基本情</w:t>
      </w:r>
      <w:bookmarkStart w:id="3" w:name="_GoBack"/>
      <w:bookmarkEnd w:id="3"/>
      <w:r>
        <w:rPr>
          <w:rFonts w:hint="eastAsia" w:ascii="Times New Roman" w:hAnsi="Times New Roman" w:eastAsia="仿宋_GB2312" w:cs="黑体"/>
          <w:color w:val="000000"/>
          <w:kern w:val="0"/>
          <w:sz w:val="32"/>
          <w:szCs w:val="32"/>
          <w:lang w:val="en-US" w:eastAsia="zh-CN" w:bidi="ar-SA"/>
        </w:rPr>
        <w:t>况：祖师殿镇位于县境东北部，距县城30公</w:t>
      </w:r>
    </w:p>
    <w:p>
      <w:pPr>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里，面积116.48平方公里，共辖16个自然村和2个社区，总人口3.36万。辖区以农业为主，盛产脆蜜桃、金秋梨、柑橘等，镇人民政府驻荷叶社区。2022年12月未，政府编制数75人，在职人数65人,其中：行政人员23人，事业人员42人。下设六办三中心一大队，分别是党政办，党建办,经济发展办,社会事务办,自然资源与生态环境办,社会治安和应急管理办,社会事务综合服务中心，农业综合服务中心，政务服务中心，综合行政执法大队。</w:t>
      </w:r>
    </w:p>
    <w:p>
      <w:pPr>
        <w:pStyle w:val="5"/>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（二）、2022年本单位财政拨款收入支出情况</w:t>
      </w:r>
    </w:p>
    <w:p>
      <w:pPr>
        <w:pStyle w:val="5"/>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1、2022年本部门财政拨款收入2528.13万元，其中公共财政拨款2493.17万元，政府性基金拨款34.96万元。</w:t>
      </w:r>
    </w:p>
    <w:p>
      <w:pPr>
        <w:pStyle w:val="5"/>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2、2022年本部门支出2528.13万元。其中基本支出1556.61万元，项目支出971.53万元。</w:t>
      </w:r>
    </w:p>
    <w:p>
      <w:pPr>
        <w:pStyle w:val="5"/>
        <w:spacing w:before="0" w:beforeAutospacing="0" w:after="0" w:afterAutospacing="0" w:line="520" w:lineRule="atLeast"/>
        <w:ind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二、部门整体支出管理及使用情况</w:t>
      </w:r>
    </w:p>
    <w:p>
      <w:pPr>
        <w:pStyle w:val="5"/>
        <w:spacing w:before="0" w:beforeAutospacing="0" w:after="0" w:afterAutospacing="0" w:line="520" w:lineRule="atLeast"/>
        <w:ind w:firstLine="48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1、基本支出：2022年度我镇基本支出1556.61万元，其中用于人员经费支出772.09万元，日常公用经费支出267.01万元。</w:t>
      </w:r>
    </w:p>
    <w:p>
      <w:pPr>
        <w:pStyle w:val="5"/>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三公经费支出4万元，其中公务接待费为4万元，公务用车运行维护费完成0万元。（2021年三公经费支出为13.32万元，其中公车运行维护9.2万元，公务接待4.12万元），同比去年减少69.97%，减少的主要原因为公务运行维护费减少。</w:t>
      </w:r>
    </w:p>
    <w:p>
      <w:pPr>
        <w:pStyle w:val="5"/>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2、项目支出：2022年财政拨款项目支出971.53万元。 </w:t>
      </w:r>
    </w:p>
    <w:p>
      <w:pPr>
        <w:pStyle w:val="5"/>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三、县本级其他财政性资金实施情况</w:t>
      </w:r>
    </w:p>
    <w:p>
      <w:pPr>
        <w:pStyle w:val="5"/>
        <w:spacing w:before="0" w:beforeAutospacing="0" w:after="0" w:afterAutospacing="0" w:line="520" w:lineRule="atLeast"/>
        <w:ind w:firstLine="79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我镇本年无其他本级财政性资金项目支出。</w:t>
      </w:r>
    </w:p>
    <w:p>
      <w:pPr>
        <w:pStyle w:val="5"/>
        <w:spacing w:before="0" w:beforeAutospacing="0" w:after="0" w:afterAutospacing="0" w:line="520" w:lineRule="atLeast"/>
        <w:ind w:firstLine="806" w:firstLineChars="252"/>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四、资产管理情况</w:t>
      </w:r>
    </w:p>
    <w:p>
      <w:pPr>
        <w:pStyle w:val="5"/>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镇进一步规范和完善了资产管理。每次固定资产购置均履行了报批程序，纳入年度政府采购预算的资产，实行多方询价、“货比三家”，并严格根据批复的政府采购预算规定实施；按县财政要求和各项流程办理政府采购业务手续，各项采购支出统一由办公室提出申请，由镇党政联席会议研究决定、镇长审核签字确认后再采购。</w:t>
      </w:r>
    </w:p>
    <w:p>
      <w:pPr>
        <w:pStyle w:val="5"/>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五、部门整体支出绩效情况</w:t>
      </w:r>
    </w:p>
    <w:p>
      <w:pPr>
        <w:pStyle w:val="5"/>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2022年，我镇积极履职，强化管理，较好的完成了年度工作目标。通过加强预算收支管理，不断建立健全内部管理制度，梳理内部管理流程，整体支出管理水平得到提升；各项绩效指标均达到了预期效果。</w:t>
      </w:r>
    </w:p>
    <w:p>
      <w:pPr>
        <w:pStyle w:val="5"/>
        <w:spacing w:before="0" w:beforeAutospacing="0" w:after="0" w:afterAutospacing="0" w:line="520" w:lineRule="atLeast"/>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六、存在的问题及原因</w:t>
      </w:r>
    </w:p>
    <w:p>
      <w:pPr>
        <w:pStyle w:val="5"/>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1.因业务水平有限，年初预算的编制支出类别上理解不够，比如基本支出和项目支出，在日常业务操作时容易出错。</w:t>
      </w:r>
    </w:p>
    <w:p>
      <w:pPr>
        <w:pStyle w:val="5"/>
        <w:spacing w:before="0" w:beforeAutospacing="0" w:after="0" w:afterAutospacing="0" w:line="520" w:lineRule="atLeast"/>
        <w:ind w:firstLine="72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2.预决算项目支出编制需进一步明确、精细化。同时项目执行率需进一步提高。</w:t>
      </w:r>
    </w:p>
    <w:p>
      <w:pPr>
        <w:pStyle w:val="5"/>
        <w:spacing w:before="0" w:beforeAutospacing="0" w:after="0" w:afterAutospacing="0" w:line="52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1.专项资金执行进度较慢</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一是对项目资金执行进度的监管力度有所欠缺；二是财政部门因财政资金紧张未及时拨付专项资金。</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2.部分资金使用管理不够规范</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一是验收程序不够完善；二是对项目资金的监督、</w:t>
      </w:r>
      <w:r>
        <w:rPr>
          <w:rFonts w:hint="eastAsia" w:eastAsia="仿宋_GB2312"/>
          <w:color w:val="auto"/>
          <w:kern w:val="0"/>
          <w:sz w:val="32"/>
          <w:szCs w:val="32"/>
          <w:highlight w:val="none"/>
          <w:lang w:eastAsia="zh-CN"/>
        </w:rPr>
        <w:t>检</w:t>
      </w:r>
      <w:r>
        <w:rPr>
          <w:rFonts w:hint="eastAsia" w:eastAsia="仿宋_GB2312"/>
          <w:color w:val="auto"/>
          <w:kern w:val="0"/>
          <w:sz w:val="32"/>
          <w:szCs w:val="32"/>
          <w:highlight w:val="none"/>
        </w:rPr>
        <w:t>查力度有所不足。</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3.部分项目实施管理不够规范</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项目管理机制不够完善，在实施项目全过程管理，包括项目申报、政府采购、合同签订、项目验收等各环节，及时发现问题、及时协调处理问题的能力仍需加强。</w:t>
      </w:r>
    </w:p>
    <w:p>
      <w:pPr>
        <w:autoSpaceDE w:val="0"/>
        <w:autoSpaceDN w:val="0"/>
        <w:adjustRightInd w:val="0"/>
        <w:spacing w:line="600" w:lineRule="exact"/>
        <w:ind w:firstLine="640" w:firstLineChars="200"/>
        <w:jc w:val="left"/>
        <w:rPr>
          <w:rFonts w:hint="eastAsia" w:eastAsia="仿宋_GB2312"/>
          <w:color w:val="auto"/>
          <w:kern w:val="0"/>
          <w:sz w:val="32"/>
          <w:szCs w:val="32"/>
          <w:highlight w:val="none"/>
        </w:rPr>
      </w:pPr>
      <w:r>
        <w:rPr>
          <w:rFonts w:hint="eastAsia" w:eastAsia="仿宋_GB2312"/>
          <w:color w:val="auto"/>
          <w:kern w:val="0"/>
          <w:sz w:val="32"/>
          <w:szCs w:val="32"/>
          <w:highlight w:val="none"/>
        </w:rPr>
        <w:t>4.绩效管理工作不够到位</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rPr>
      </w:pPr>
      <w:r>
        <w:rPr>
          <w:rFonts w:hint="eastAsia" w:eastAsia="仿宋_GB2312"/>
          <w:color w:val="auto"/>
          <w:kern w:val="0"/>
          <w:sz w:val="32"/>
          <w:szCs w:val="32"/>
          <w:highlight w:val="none"/>
        </w:rPr>
        <w:t>一是基础工作不够扎实，业务工作中仍存在个别漏洞</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二是预算绩效运行监控力度不够，对绩效运行情况、项目绩效运行监控汇总分析不够。</w:t>
      </w:r>
    </w:p>
    <w:p>
      <w:pPr>
        <w:ind w:firstLine="640" w:firstLineChars="200"/>
        <w:rPr>
          <w:rFonts w:hint="eastAsia" w:ascii="Times New Roman" w:hAnsi="Times New Roman" w:eastAsia="仿宋_GB2312"/>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ind w:firstLine="640" w:firstLineChars="200"/>
        <w:jc w:val="left"/>
        <w:rPr>
          <w:rFonts w:ascii="宋体"/>
          <w:kern w:val="0"/>
          <w:sz w:val="32"/>
          <w:szCs w:val="32"/>
        </w:rPr>
      </w:pPr>
      <w:r>
        <w:rPr>
          <w:rFonts w:hint="eastAsia" w:cs="黑体" w:asciiTheme="minorEastAsia" w:hAnsiTheme="minorEastAsia"/>
          <w:color w:val="000000"/>
          <w:kern w:val="0"/>
          <w:sz w:val="32"/>
          <w:szCs w:val="32"/>
        </w:rPr>
        <w:t>一、</w:t>
      </w:r>
      <w:r>
        <w:rPr>
          <w:rFonts w:hint="eastAsia" w:ascii="宋体" w:hAnsi="宋体"/>
          <w:b/>
          <w:bCs/>
          <w:kern w:val="0"/>
          <w:sz w:val="32"/>
          <w:szCs w:val="32"/>
        </w:rPr>
        <w:t>一般公共预算：</w:t>
      </w:r>
      <w:r>
        <w:rPr>
          <w:rFonts w:hint="eastAsia" w:ascii="宋体" w:hAnsi="宋体"/>
          <w:kern w:val="0"/>
          <w:sz w:val="32"/>
          <w:szCs w:val="32"/>
        </w:rPr>
        <w:t>是指对以税收为主体的财政收入，安排用于保障和改善民生、推动经济社会发展、维护国家安全、维持国家机构正常运转等方面的收支预算。</w:t>
      </w:r>
    </w:p>
    <w:p>
      <w:pPr>
        <w:spacing w:line="600" w:lineRule="exact"/>
        <w:ind w:firstLine="640" w:firstLineChars="200"/>
        <w:rPr>
          <w:rFonts w:ascii="宋体"/>
          <w:kern w:val="0"/>
          <w:sz w:val="32"/>
          <w:szCs w:val="32"/>
        </w:rPr>
      </w:pPr>
      <w:r>
        <w:rPr>
          <w:rFonts w:hint="eastAsia" w:ascii="宋体" w:hAnsi="宋体"/>
          <w:b/>
          <w:bCs/>
          <w:kern w:val="0"/>
          <w:sz w:val="32"/>
          <w:szCs w:val="32"/>
          <w:lang w:eastAsia="zh-CN"/>
        </w:rPr>
        <w:t>二、</w:t>
      </w:r>
      <w:r>
        <w:rPr>
          <w:rFonts w:hint="eastAsia" w:ascii="宋体" w:hAnsi="宋体"/>
          <w:b/>
          <w:bCs/>
          <w:kern w:val="0"/>
          <w:sz w:val="32"/>
          <w:szCs w:val="32"/>
        </w:rPr>
        <w:t>政府性基金预算：</w:t>
      </w:r>
      <w:r>
        <w:rPr>
          <w:rFonts w:hint="eastAsia" w:ascii="宋体" w:hAnsi="宋体"/>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宋体" w:hAnsi="宋体"/>
          <w:kern w:val="0"/>
          <w:sz w:val="32"/>
          <w:szCs w:val="32"/>
        </w:rPr>
        <w:t>政府预算</w:t>
      </w:r>
      <w:r>
        <w:rPr>
          <w:rFonts w:hint="eastAsia" w:ascii="宋体" w:hAnsi="宋体"/>
          <w:kern w:val="0"/>
          <w:sz w:val="32"/>
          <w:szCs w:val="32"/>
        </w:rPr>
        <w:fldChar w:fldCharType="end"/>
      </w:r>
      <w:r>
        <w:rPr>
          <w:rFonts w:hint="eastAsia" w:ascii="宋体" w:hAnsi="宋体"/>
          <w:kern w:val="0"/>
          <w:sz w:val="32"/>
          <w:szCs w:val="32"/>
        </w:rPr>
        <w:t>体系的重要组成部分。</w:t>
      </w:r>
    </w:p>
    <w:p>
      <w:pPr>
        <w:spacing w:line="600" w:lineRule="exact"/>
        <w:ind w:firstLine="640" w:firstLineChars="200"/>
        <w:rPr>
          <w:rFonts w:ascii="宋体"/>
          <w:kern w:val="0"/>
          <w:sz w:val="32"/>
          <w:szCs w:val="32"/>
        </w:rPr>
      </w:pPr>
      <w:r>
        <w:rPr>
          <w:rFonts w:hint="eastAsia" w:ascii="宋体" w:hAnsi="宋体"/>
          <w:b/>
          <w:bCs/>
          <w:kern w:val="0"/>
          <w:sz w:val="32"/>
          <w:szCs w:val="32"/>
          <w:lang w:eastAsia="zh-CN"/>
        </w:rPr>
        <w:t>三、</w:t>
      </w:r>
      <w:r>
        <w:rPr>
          <w:rFonts w:hint="eastAsia" w:ascii="宋体" w:hAnsi="宋体"/>
          <w:b/>
          <w:bCs/>
          <w:kern w:val="0"/>
          <w:sz w:val="32"/>
          <w:szCs w:val="32"/>
        </w:rPr>
        <w:t>一般公共服务支出：</w:t>
      </w:r>
      <w:r>
        <w:rPr>
          <w:rFonts w:hint="eastAsia" w:ascii="宋体" w:hAnsi="宋体"/>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宋体"/>
          <w:kern w:val="0"/>
          <w:sz w:val="32"/>
          <w:szCs w:val="32"/>
        </w:rPr>
      </w:pPr>
      <w:r>
        <w:rPr>
          <w:rFonts w:hint="eastAsia" w:ascii="宋体" w:hAnsi="宋体" w:cs="仿宋"/>
          <w:b/>
          <w:color w:val="000000"/>
          <w:kern w:val="0"/>
          <w:sz w:val="32"/>
          <w:szCs w:val="32"/>
          <w:lang w:eastAsia="zh-CN"/>
        </w:rPr>
        <w:t>四、</w:t>
      </w:r>
      <w:r>
        <w:rPr>
          <w:rFonts w:hint="eastAsia" w:ascii="宋体" w:hAnsi="宋体" w:cs="仿宋"/>
          <w:b/>
          <w:color w:val="000000"/>
          <w:kern w:val="0"/>
          <w:sz w:val="32"/>
          <w:szCs w:val="32"/>
        </w:rPr>
        <w:t>“三公”经费</w:t>
      </w:r>
      <w:r>
        <w:rPr>
          <w:rFonts w:hint="eastAsia" w:ascii="宋体" w:hAnsi="宋体"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jc w:val="left"/>
        <w:rPr>
          <w:rStyle w:val="16"/>
          <w:rFonts w:ascii="宋体" w:cs="Arial"/>
          <w:color w:val="333333"/>
          <w:sz w:val="32"/>
          <w:szCs w:val="32"/>
        </w:rPr>
      </w:pPr>
      <w:r>
        <w:rPr>
          <w:rFonts w:hint="eastAsia" w:ascii="宋体" w:hAnsi="宋体" w:cs="仿宋"/>
          <w:b/>
          <w:color w:val="000000"/>
          <w:kern w:val="0"/>
          <w:sz w:val="32"/>
          <w:szCs w:val="32"/>
          <w:lang w:eastAsia="zh-CN"/>
        </w:rPr>
        <w:t>五、</w:t>
      </w:r>
      <w:r>
        <w:rPr>
          <w:rFonts w:hint="eastAsia" w:ascii="宋体" w:hAnsi="宋体" w:cs="仿宋"/>
          <w:b/>
          <w:color w:val="000000"/>
          <w:kern w:val="0"/>
          <w:sz w:val="32"/>
          <w:szCs w:val="32"/>
        </w:rPr>
        <w:t>机关运行经费</w:t>
      </w:r>
      <w:r>
        <w:rPr>
          <w:rFonts w:hint="eastAsia" w:ascii="宋体" w:hAnsi="宋体"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宋体" w:hAnsi="宋体" w:cs="Arial"/>
          <w:color w:val="333333"/>
          <w:sz w:val="32"/>
          <w:szCs w:val="32"/>
        </w:rPr>
        <w:t xml:space="preserve"> </w:t>
      </w:r>
    </w:p>
    <w:p>
      <w:pPr>
        <w:ind w:firstLine="640" w:firstLineChars="200"/>
        <w:jc w:val="left"/>
        <w:rPr>
          <w:rFonts w:ascii="宋体" w:cs="黑体"/>
          <w:color w:val="000000"/>
          <w:kern w:val="0"/>
          <w:sz w:val="32"/>
          <w:szCs w:val="32"/>
        </w:rPr>
      </w:pPr>
      <w:r>
        <w:rPr>
          <w:rFonts w:hint="eastAsia" w:ascii="宋体" w:hAnsi="宋体"/>
          <w:b/>
          <w:sz w:val="32"/>
          <w:szCs w:val="32"/>
          <w:lang w:eastAsia="zh-CN"/>
        </w:rPr>
        <w:t>六、</w:t>
      </w:r>
      <w:r>
        <w:rPr>
          <w:rFonts w:hint="eastAsia" w:ascii="宋体" w:hAnsi="宋体"/>
          <w:b/>
          <w:sz w:val="32"/>
          <w:szCs w:val="32"/>
        </w:rPr>
        <w:t>基本支出：</w:t>
      </w:r>
      <w:r>
        <w:rPr>
          <w:rFonts w:hint="eastAsia" w:ascii="宋体" w:hAnsi="宋体"/>
          <w:sz w:val="32"/>
          <w:szCs w:val="32"/>
        </w:rPr>
        <w:t>指部门为保障其机构正常运转、完成日常工作任务的年度基本支出，包括人员经费和公用经费两部分。</w:t>
      </w:r>
    </w:p>
    <w:p>
      <w:pPr>
        <w:pStyle w:val="10"/>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23093"/>
    <w:multiLevelType w:val="singleLevel"/>
    <w:tmpl w:val="E1223093"/>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AD54B0E"/>
    <w:rsid w:val="403C2693"/>
    <w:rsid w:val="57517104"/>
    <w:rsid w:val="5777D4F5"/>
    <w:rsid w:val="5FC6BB1E"/>
    <w:rsid w:val="5FF720F1"/>
    <w:rsid w:val="737D59BA"/>
    <w:rsid w:val="77C37683"/>
    <w:rsid w:val="780F16ED"/>
    <w:rsid w:val="79FF515B"/>
    <w:rsid w:val="7BF75F6E"/>
    <w:rsid w:val="7DF432EF"/>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c-font-big2"/>
    <w:basedOn w:val="7"/>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14683</Words>
  <Characters>23051</Characters>
  <Lines>63</Lines>
  <Paragraphs>18</Paragraphs>
  <TotalTime>0</TotalTime>
  <ScaleCrop>false</ScaleCrop>
  <LinksUpToDate>false</LinksUpToDate>
  <CharactersWithSpaces>24072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2023-10-16T01:16:53Z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6159168C1DED48068BFD9E5C64E2AEE6_13</vt:lpwstr>
  </property>
</Properties>
</file>