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212" w:beforeLines="1350" w:after="468" w:afterLines="150"/>
        <w:jc w:val="center"/>
        <w:rPr>
          <w:rFonts w:hint="eastAsia" w:ascii="仿宋_GB2312" w:eastAsia="仿宋_GB2312"/>
          <w:sz w:val="28"/>
          <w:szCs w:val="28"/>
        </w:rPr>
      </w:pPr>
      <w:r>
        <w:rPr>
          <w:rFonts w:hint="eastAsia" w:ascii="仿宋_GB2312" w:eastAsia="仿宋_GB2312"/>
          <w:sz w:val="28"/>
          <w:szCs w:val="28"/>
        </w:rPr>
        <w:t>深政发</w:t>
      </w:r>
      <w:r>
        <w:rPr>
          <w:rFonts w:hint="eastAsia" w:ascii="仿宋" w:hAnsi="仿宋" w:eastAsia="仿宋" w:cs="仿宋"/>
          <w:sz w:val="28"/>
          <w:szCs w:val="28"/>
        </w:rPr>
        <w:t>〔</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_GB2312" w:eastAsia="仿宋_GB2312"/>
          <w:sz w:val="28"/>
          <w:szCs w:val="28"/>
        </w:rPr>
        <w:t>号</w:t>
      </w:r>
    </w:p>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关于下达2021年深子湖镇农村村民建房用地计划的通知</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村（居）委会</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根据全镇农村村民建房需求调查情况，为加强对农村村民建房用地计划管理，促进节约集约用地，经镇党委政府研究同意， 现将2021年用地计划下达到各村，用于农村村民建房，并就有关事项通知如下： </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一、农村村民建房用地必须符合土地利用总体规划，尽量使用原宅基地，村内空闲地和未利用地，少占或不占耕地，严禁占用基本农田。 </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二、农村村民建房用地计划下达后，由各村统筹安排，优先用于危房户、无房户、计划生育两女结扎户和独生子女户及地质灾害搬迁避让户、危房改造户。对地质灾害搬迁避让及危房改造户的用地指标应保尽保。 </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三、各村要建立用地计划管理台账，对用地计划使用情况进行登记。 </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四、各村要全程参与农民建房的前期选址和建设放线等工作，把好农民建房的选址关；加强对农民建房的监督管理，严格控制占用耕地建房；农民建房的监管和督查，要及时制 </w:t>
      </w:r>
    </w:p>
    <w:p>
      <w:pPr>
        <w:keepNext w:val="0"/>
        <w:keepLines w:val="0"/>
        <w:pageBreakBefore w:val="0"/>
        <w:widowControl/>
        <w:suppressLineNumbers w:val="0"/>
        <w:kinsoku/>
        <w:wordWrap/>
        <w:overflowPunct/>
        <w:topLinePunct w:val="0"/>
        <w:autoSpaceDE/>
        <w:autoSpaceDN/>
        <w:bidi w:val="0"/>
        <w:adjustRightInd/>
        <w:snapToGrid/>
        <w:spacing w:line="61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止和查处乱占滥用耕地建房行为，对2020年7月3日以后的违法用地行为实行零容忍。 </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五、2021年农村村民建房用地计划只能用于本文件下发之日后的农村村民建房审批。 </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附件：2021年深子湖镇农村村民建房用地计划安排表 </w:t>
      </w:r>
    </w:p>
    <w:p>
      <w:pPr>
        <w:keepNext w:val="0"/>
        <w:keepLines w:val="0"/>
        <w:pageBreakBefore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1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深子湖镇人民政府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1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2021年6月2日</w:t>
      </w: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bookmarkStart w:id="0" w:name="_GoBack"/>
      <w:bookmarkEnd w:id="0"/>
    </w:p>
    <w:p>
      <w:pPr>
        <w:ind w:firstLine="5440" w:firstLineChars="1700"/>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32"/>
          <w:szCs w:val="32"/>
          <w:u w:val="none"/>
          <w:lang w:val="en-US" w:eastAsia="zh-CN"/>
        </w:rPr>
      </w:pPr>
      <w:r>
        <w:rPr>
          <w:sz w:val="32"/>
        </w:rPr>
        <mc:AlternateContent>
          <mc:Choice Requires="wpg">
            <w:drawing>
              <wp:anchor distT="0" distB="0" distL="114300" distR="114300" simplePos="0" relativeHeight="251833344" behindDoc="0" locked="0" layoutInCell="1" allowOverlap="1">
                <wp:simplePos x="0" y="0"/>
                <wp:positionH relativeFrom="column">
                  <wp:posOffset>-211455</wp:posOffset>
                </wp:positionH>
                <wp:positionV relativeFrom="paragraph">
                  <wp:posOffset>32385</wp:posOffset>
                </wp:positionV>
                <wp:extent cx="5655310" cy="408305"/>
                <wp:effectExtent l="0" t="0" r="0" b="0"/>
                <wp:wrapNone/>
                <wp:docPr id="101" name="组合 101"/>
                <wp:cNvGraphicFramePr/>
                <a:graphic xmlns:a="http://schemas.openxmlformats.org/drawingml/2006/main">
                  <a:graphicData uri="http://schemas.microsoft.com/office/word/2010/wordprocessingGroup">
                    <wpg:wgp>
                      <wpg:cNvGrpSpPr/>
                      <wpg:grpSpPr>
                        <a:xfrm>
                          <a:off x="0" y="0"/>
                          <a:ext cx="5655310" cy="408305"/>
                          <a:chOff x="5498" y="31946"/>
                          <a:chExt cx="8906" cy="643"/>
                        </a:xfrm>
                        <a:effectLst/>
                      </wpg:grpSpPr>
                      <wps:wsp>
                        <wps:cNvPr id="134" name="直接连接符 1"/>
                        <wps:cNvCnPr/>
                        <wps:spPr>
                          <a:xfrm>
                            <a:off x="5498" y="31946"/>
                            <a:ext cx="8889" cy="7"/>
                          </a:xfrm>
                          <a:prstGeom prst="line">
                            <a:avLst/>
                          </a:prstGeom>
                          <a:ln w="9525" cap="flat" cmpd="sng">
                            <a:solidFill>
                              <a:srgbClr val="000000"/>
                            </a:solidFill>
                            <a:prstDash val="solid"/>
                            <a:headEnd type="none" w="med" len="med"/>
                            <a:tailEnd type="none" w="med" len="med"/>
                          </a:ln>
                          <a:effectLst/>
                        </wps:spPr>
                        <wps:bodyPr upright="1"/>
                      </wps:wsp>
                      <wps:wsp>
                        <wps:cNvPr id="135" name="直接连接符 2"/>
                        <wps:cNvCnPr/>
                        <wps:spPr>
                          <a:xfrm>
                            <a:off x="5516" y="32583"/>
                            <a:ext cx="8889" cy="7"/>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6.65pt;margin-top:2.55pt;height:32.15pt;width:445.3pt;z-index:251833344;mso-width-relative:page;mso-height-relative:page;" coordorigin="5498,31946" coordsize="8906,643" o:gfxdata="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ChqMfYAAAACAEAAA8AAAAAAAAAAQAgAAAAIgAAAGRycy9kb3ducmV2LnhtbFBL&#10;AQIUABQAAAAIAIdO4kA81j9ioQIAAFQHAAAOAAAAAAAAAAEAIAAAACcBAABkcnMvZTJvRG9jLnht&#10;bFBLBQYAAAAABgAGAFkBAAA6BgAAAAA=&#10;">
                <o:lock v:ext="edit" aspectratio="f"/>
                <v:line id="直接连接符 1" o:spid="_x0000_s1026" o:spt="20" style="position:absolute;left:5498;top:31946;height:7;width:8889;"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 o:spid="_x0000_s1026" o:spt="20" style="position:absolute;left:5516;top:32583;height:7;width:8889;"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仿宋" w:hAnsi="仿宋" w:eastAsia="仿宋" w:cs="仿宋"/>
          <w:sz w:val="32"/>
          <w:szCs w:val="32"/>
          <w:u w:val="none"/>
          <w:lang w:val="en-US" w:eastAsia="zh-CN"/>
        </w:rPr>
        <w:t>深子湖镇党政办公室                  2021年6月2日</w:t>
      </w:r>
    </w:p>
    <w:tbl>
      <w:tblPr>
        <w:tblStyle w:val="4"/>
        <w:tblW w:w="9840" w:type="dxa"/>
        <w:jc w:val="center"/>
        <w:shd w:val="clear" w:color="auto" w:fill="auto"/>
        <w:tblLayout w:type="autofit"/>
        <w:tblCellMar>
          <w:top w:w="0" w:type="dxa"/>
          <w:left w:w="0" w:type="dxa"/>
          <w:bottom w:w="0" w:type="dxa"/>
          <w:right w:w="0" w:type="dxa"/>
        </w:tblCellMar>
      </w:tblPr>
      <w:tblGrid>
        <w:gridCol w:w="849"/>
        <w:gridCol w:w="1669"/>
        <w:gridCol w:w="1265"/>
        <w:gridCol w:w="1399"/>
        <w:gridCol w:w="862"/>
        <w:gridCol w:w="2072"/>
        <w:gridCol w:w="862"/>
        <w:gridCol w:w="862"/>
      </w:tblGrid>
      <w:tr>
        <w:tblPrEx>
          <w:shd w:val="clear" w:color="auto" w:fill="auto"/>
          <w:tblCellMar>
            <w:top w:w="0" w:type="dxa"/>
            <w:left w:w="0" w:type="dxa"/>
            <w:bottom w:w="0" w:type="dxa"/>
            <w:right w:w="0" w:type="dxa"/>
          </w:tblCellMar>
        </w:tblPrEx>
        <w:trPr>
          <w:trHeight w:val="506" w:hRule="atLeast"/>
          <w:jc w:val="center"/>
        </w:trPr>
        <w:tc>
          <w:tcPr>
            <w:tcW w:w="984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深子湖镇2021年度到村建房用地指标分配表</w:t>
            </w:r>
          </w:p>
        </w:tc>
      </w:tr>
      <w:tr>
        <w:tblPrEx>
          <w:shd w:val="clear" w:color="auto" w:fill="auto"/>
          <w:tblCellMar>
            <w:top w:w="0" w:type="dxa"/>
            <w:left w:w="0" w:type="dxa"/>
            <w:bottom w:w="0" w:type="dxa"/>
            <w:right w:w="0" w:type="dxa"/>
          </w:tblCellMar>
        </w:tblPrEx>
        <w:trPr>
          <w:trHeight w:val="244" w:hRule="atLeast"/>
          <w:jc w:val="center"/>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2021年2月22日</w:t>
            </w:r>
          </w:p>
        </w:tc>
      </w:tr>
      <w:tr>
        <w:tblPrEx>
          <w:shd w:val="clear" w:color="auto" w:fill="auto"/>
          <w:tblCellMar>
            <w:top w:w="0" w:type="dxa"/>
            <w:left w:w="0" w:type="dxa"/>
            <w:bottom w:w="0" w:type="dxa"/>
            <w:right w:w="0" w:type="dxa"/>
          </w:tblCellMar>
        </w:tblPrEx>
        <w:trPr>
          <w:trHeight w:val="40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村上报情况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指标数（单位：平方米）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2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异址 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其它农用地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张家冲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让家溪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贺家冲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深子湖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刘家坪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荞子湾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泮里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马家溪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柑子园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铁山溪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炉场坪村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向家垴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卫星村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清水塘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黄溪湾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胡家坪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圣人山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曾家溪村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27536"/>
    <w:rsid w:val="091C05D5"/>
    <w:rsid w:val="37A27536"/>
    <w:rsid w:val="46DB337D"/>
    <w:rsid w:val="7AD9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ind w:firstLine="720" w:firstLineChars="200"/>
    </w:pPr>
    <w:rPr>
      <w:rFonts w:eastAsia="仿宋_GB2312"/>
      <w:sz w:val="36"/>
    </w:rPr>
  </w:style>
  <w:style w:type="paragraph" w:styleId="3">
    <w:name w:val="Body Text First Indent 2"/>
    <w:basedOn w:val="2"/>
    <w:next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2021-02-23T05:13:00Z</dcterms:created>
  <dc:creator>Administrator</dc:creator>
  <cp:lastModifiedBy>Administrator</cp:lastModifiedBy>
  <cp:lastPrinted>2021-02-23T06:50:00Z</cp:lastPrinted>
  <dcterms:modified xsi:type="dcterms:W3CDTF">2021-06-03T05:12:17Z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