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30F91">
      <w:pPr>
        <w:pStyle w:val="14"/>
        <w:jc w:val="center"/>
        <w:rPr>
          <w:sz w:val="56"/>
          <w:szCs w:val="56"/>
        </w:rPr>
      </w:pPr>
    </w:p>
    <w:p w14:paraId="3954A088">
      <w:pPr>
        <w:pStyle w:val="14"/>
        <w:jc w:val="center"/>
        <w:rPr>
          <w:sz w:val="56"/>
          <w:szCs w:val="56"/>
        </w:rPr>
      </w:pPr>
    </w:p>
    <w:p w14:paraId="1D553332">
      <w:pPr>
        <w:pStyle w:val="14"/>
        <w:jc w:val="center"/>
        <w:rPr>
          <w:sz w:val="84"/>
          <w:szCs w:val="84"/>
        </w:rPr>
      </w:pPr>
    </w:p>
    <w:p w14:paraId="54EC34BF">
      <w:pPr>
        <w:pStyle w:val="14"/>
        <w:jc w:val="center"/>
        <w:rPr>
          <w:sz w:val="84"/>
          <w:szCs w:val="84"/>
        </w:rPr>
      </w:pPr>
    </w:p>
    <w:p w14:paraId="7A6D861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66C8AB3">
      <w:pPr>
        <w:pStyle w:val="14"/>
        <w:jc w:val="center"/>
        <w:rPr>
          <w:rFonts w:hint="eastAsia"/>
          <w:sz w:val="84"/>
          <w:szCs w:val="84"/>
        </w:rPr>
      </w:pPr>
      <w:r>
        <w:rPr>
          <w:rFonts w:hint="eastAsia"/>
          <w:sz w:val="84"/>
          <w:szCs w:val="84"/>
        </w:rPr>
        <w:t>溆浦县均坪镇人民政府</w:t>
      </w:r>
    </w:p>
    <w:p w14:paraId="2A590FD5">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1AC95D14">
      <w:pPr>
        <w:pStyle w:val="14"/>
        <w:jc w:val="center"/>
        <w:rPr>
          <w:rFonts w:hint="eastAsia" w:ascii="方正小标宋_GBK" w:hAnsi="方正小标宋_GBK" w:eastAsia="方正小标宋_GBK" w:cs="方正小标宋_GBK"/>
          <w:sz w:val="56"/>
          <w:szCs w:val="56"/>
        </w:rPr>
      </w:pPr>
    </w:p>
    <w:p w14:paraId="52DB2FE4">
      <w:pPr>
        <w:pStyle w:val="14"/>
        <w:jc w:val="center"/>
        <w:rPr>
          <w:sz w:val="56"/>
          <w:szCs w:val="56"/>
        </w:rPr>
      </w:pPr>
    </w:p>
    <w:p w14:paraId="303EA911">
      <w:pPr>
        <w:pStyle w:val="14"/>
        <w:jc w:val="center"/>
        <w:rPr>
          <w:sz w:val="56"/>
          <w:szCs w:val="56"/>
        </w:rPr>
      </w:pPr>
    </w:p>
    <w:p w14:paraId="39D0C81A">
      <w:pPr>
        <w:pStyle w:val="14"/>
        <w:jc w:val="center"/>
        <w:rPr>
          <w:sz w:val="56"/>
          <w:szCs w:val="56"/>
        </w:rPr>
      </w:pPr>
    </w:p>
    <w:p w14:paraId="150E79EA">
      <w:pPr>
        <w:pStyle w:val="14"/>
        <w:jc w:val="center"/>
        <w:rPr>
          <w:sz w:val="32"/>
          <w:szCs w:val="32"/>
        </w:rPr>
      </w:pPr>
    </w:p>
    <w:p w14:paraId="4962CF39">
      <w:pPr>
        <w:pStyle w:val="14"/>
        <w:jc w:val="center"/>
        <w:rPr>
          <w:sz w:val="32"/>
          <w:szCs w:val="32"/>
        </w:rPr>
      </w:pPr>
    </w:p>
    <w:p w14:paraId="2F348195">
      <w:pPr>
        <w:pStyle w:val="14"/>
        <w:jc w:val="center"/>
        <w:rPr>
          <w:sz w:val="32"/>
          <w:szCs w:val="32"/>
        </w:rPr>
      </w:pPr>
    </w:p>
    <w:p w14:paraId="59D98892">
      <w:pPr>
        <w:pStyle w:val="14"/>
        <w:jc w:val="center"/>
        <w:rPr>
          <w:sz w:val="32"/>
          <w:szCs w:val="32"/>
        </w:rPr>
      </w:pPr>
    </w:p>
    <w:p w14:paraId="1A4838C7">
      <w:pPr>
        <w:pStyle w:val="14"/>
        <w:spacing w:line="500" w:lineRule="exact"/>
        <w:jc w:val="center"/>
        <w:rPr>
          <w:b/>
          <w:sz w:val="36"/>
          <w:szCs w:val="28"/>
        </w:rPr>
      </w:pPr>
      <w:r>
        <w:rPr>
          <w:rFonts w:hint="eastAsia"/>
          <w:b/>
          <w:sz w:val="36"/>
          <w:szCs w:val="28"/>
        </w:rPr>
        <w:t>目录</w:t>
      </w:r>
    </w:p>
    <w:p w14:paraId="342330B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b w:val="0"/>
          <w:bCs/>
          <w:sz w:val="28"/>
          <w:szCs w:val="28"/>
        </w:rPr>
        <w:t>溆浦县均坪镇人民政府单位</w:t>
      </w:r>
      <w:r>
        <w:rPr>
          <w:rFonts w:hint="eastAsia" w:ascii="黑体" w:hAnsi="黑体" w:eastAsia="黑体" w:cs="黑体"/>
          <w:b w:val="0"/>
          <w:bCs/>
          <w:sz w:val="28"/>
          <w:szCs w:val="28"/>
        </w:rPr>
        <w:t>概况</w:t>
      </w:r>
    </w:p>
    <w:p w14:paraId="5B4328B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43BCFC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AEC01FE">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25AD5B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A0F023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51CE55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A993E2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11A6D0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048BBB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169220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63F360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BD1E73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00D754A">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7B0C00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220510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00257D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6D2059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23B8F3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30AD07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4B50D9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F68847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B7B6B6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2E534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FC53C1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1F04CF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E374C8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0B27BF5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7166ED4">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7CE5BEA">
      <w:pPr>
        <w:pStyle w:val="14"/>
        <w:spacing w:line="500" w:lineRule="exact"/>
        <w:rPr>
          <w:rFonts w:hint="eastAsia" w:ascii="黑体" w:hAnsi="黑体" w:eastAsia="黑体" w:cs="黑体"/>
          <w:b w:val="0"/>
          <w:bCs/>
          <w:sz w:val="28"/>
          <w:szCs w:val="28"/>
        </w:rPr>
      </w:pPr>
    </w:p>
    <w:p w14:paraId="0EF82CB0">
      <w:pPr>
        <w:jc w:val="center"/>
        <w:rPr>
          <w:sz w:val="72"/>
          <w:szCs w:val="72"/>
        </w:rPr>
      </w:pPr>
    </w:p>
    <w:p w14:paraId="5D937DDE">
      <w:pPr>
        <w:jc w:val="center"/>
        <w:rPr>
          <w:sz w:val="72"/>
          <w:szCs w:val="72"/>
        </w:rPr>
      </w:pPr>
    </w:p>
    <w:p w14:paraId="7630B906">
      <w:pPr>
        <w:jc w:val="center"/>
        <w:rPr>
          <w:sz w:val="72"/>
          <w:szCs w:val="72"/>
        </w:rPr>
      </w:pPr>
    </w:p>
    <w:p w14:paraId="7CED9900">
      <w:pPr>
        <w:rPr>
          <w:rFonts w:hint="eastAsia" w:ascii="方正小标宋_GBK" w:hAnsi="方正小标宋_GBK" w:eastAsia="方正小标宋_GBK" w:cs="方正小标宋_GBK"/>
          <w:sz w:val="72"/>
          <w:szCs w:val="72"/>
        </w:rPr>
      </w:pPr>
    </w:p>
    <w:p w14:paraId="0F4A2A8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2E2478C">
      <w:pPr>
        <w:pStyle w:val="14"/>
        <w:jc w:val="center"/>
        <w:rPr>
          <w:rFonts w:hint="eastAsia" w:ascii="方正小标宋_GBK" w:hAnsi="方正小标宋_GBK" w:eastAsia="方正小标宋_GBK" w:cs="方正小标宋_GBK"/>
          <w:sz w:val="84"/>
          <w:szCs w:val="84"/>
        </w:rPr>
      </w:pPr>
    </w:p>
    <w:p w14:paraId="68495791">
      <w:pPr>
        <w:pStyle w:val="14"/>
        <w:jc w:val="center"/>
        <w:rPr>
          <w:rFonts w:hint="eastAsia"/>
          <w:sz w:val="84"/>
          <w:szCs w:val="84"/>
        </w:rPr>
      </w:pPr>
      <w:r>
        <w:rPr>
          <w:rFonts w:hint="eastAsia"/>
          <w:sz w:val="84"/>
          <w:szCs w:val="84"/>
        </w:rPr>
        <w:t>溆浦县均坪镇人民政府</w:t>
      </w:r>
    </w:p>
    <w:p w14:paraId="373273C0">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14:paraId="619A3916">
      <w:pPr>
        <w:jc w:val="center"/>
        <w:rPr>
          <w:rFonts w:hint="eastAsia" w:ascii="方正小标宋_GBK" w:hAnsi="方正小标宋_GBK" w:eastAsia="方正小标宋_GBK" w:cs="方正小标宋_GBK"/>
          <w:sz w:val="72"/>
          <w:szCs w:val="72"/>
        </w:rPr>
      </w:pPr>
    </w:p>
    <w:p w14:paraId="67852BEA">
      <w:pPr>
        <w:jc w:val="center"/>
        <w:rPr>
          <w:rFonts w:hint="eastAsia" w:ascii="方正小标宋_GBK" w:hAnsi="方正小标宋_GBK" w:eastAsia="方正小标宋_GBK" w:cs="方正小标宋_GBK"/>
          <w:sz w:val="72"/>
          <w:szCs w:val="72"/>
        </w:rPr>
      </w:pPr>
    </w:p>
    <w:p w14:paraId="717C5C73">
      <w:pPr>
        <w:jc w:val="center"/>
        <w:rPr>
          <w:sz w:val="72"/>
          <w:szCs w:val="72"/>
        </w:rPr>
      </w:pPr>
    </w:p>
    <w:p w14:paraId="5BC65917">
      <w:pPr>
        <w:jc w:val="both"/>
        <w:rPr>
          <w:sz w:val="72"/>
          <w:szCs w:val="72"/>
        </w:rPr>
      </w:pPr>
    </w:p>
    <w:p w14:paraId="32BC786E">
      <w:pPr>
        <w:jc w:val="both"/>
        <w:rPr>
          <w:sz w:val="72"/>
          <w:szCs w:val="72"/>
        </w:rPr>
      </w:pPr>
    </w:p>
    <w:p w14:paraId="4A632678">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1FB569A">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①执行本级人民代表大会决议以及上级国家行政机关的决定和命令；</w:t>
      </w:r>
    </w:p>
    <w:p w14:paraId="226FEDD9">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②执行全镇的社会和经济发展计划、预算，管理本镇内的经济、教育、科技、文化、卫生、体育事业和财政、民政、治安、人民调解、安全生产监督管理、移民开发、计划生育等行政工作；</w:t>
      </w:r>
    </w:p>
    <w:p w14:paraId="413B8F11">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③保护社会主义的全民所有财产和劳动群众集体所有财产，保护公民私人所有的合法财产，维护社会秩序，保障公民的人身权利、民主权利和其他权利；</w:t>
      </w:r>
    </w:p>
    <w:p w14:paraId="1D8EA2A7">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④保护各种经济组织的合法权益；</w:t>
      </w:r>
    </w:p>
    <w:p w14:paraId="151BC14E">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⑤贯彻执行党和国家的民族宗教政策，保障少数民族的权利和尊重少数民族的风俗习惯，尊重民族宗教信仰；</w:t>
      </w:r>
    </w:p>
    <w:p w14:paraId="3AF74F94">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⑥保障宪法和法律赋予妇女的男女平等、婚姻自由等各项权利；</w:t>
      </w:r>
    </w:p>
    <w:p w14:paraId="5D28CC22">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⑦办理上级人民政府交办的其他事项。</w:t>
      </w:r>
    </w:p>
    <w:p w14:paraId="7012C3CB">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CF83A17">
      <w:pPr>
        <w:widowControl/>
        <w:spacing w:line="600" w:lineRule="exact"/>
        <w:rPr>
          <w:rFonts w:hint="eastAsia" w:ascii="宋体" w:hAnsi="宋体" w:eastAsia="宋体" w:cs="宋体"/>
          <w:sz w:val="30"/>
          <w:szCs w:val="30"/>
        </w:rPr>
      </w:pPr>
      <w:r>
        <w:rPr>
          <w:rFonts w:hint="eastAsia" w:ascii="Times New Roman" w:hAnsi="Times New Roman" w:eastAsia="仿宋_GB2312" w:cs="仿宋_GB2312"/>
          <w:bCs/>
          <w:kern w:val="0"/>
          <w:sz w:val="32"/>
          <w:szCs w:val="32"/>
        </w:rPr>
        <w:t>（一）内设机构设置。</w:t>
      </w:r>
      <w:r>
        <w:rPr>
          <w:rFonts w:hint="eastAsia" w:ascii="宋体" w:hAnsi="宋体" w:eastAsia="宋体" w:cs="宋体"/>
          <w:sz w:val="30"/>
          <w:szCs w:val="30"/>
        </w:rPr>
        <w:t>均坪镇人民政府内设机构包括：主要为党政办公室、党建站、乡村振兴工作站、社会服务保障中心、农业综合服务中心、国土所、财政所、司法所、派出所、林业站、安监站等</w:t>
      </w:r>
      <w:r>
        <w:rPr>
          <w:rFonts w:hint="eastAsia" w:ascii="宋体" w:hAnsi="宋体" w:eastAsia="宋体" w:cs="宋体"/>
          <w:sz w:val="30"/>
          <w:szCs w:val="30"/>
        </w:rPr>
        <w:t>。年末实有在职5</w:t>
      </w:r>
      <w:r>
        <w:rPr>
          <w:rFonts w:hint="eastAsia" w:ascii="宋体" w:hAnsi="宋体" w:eastAsia="宋体" w:cs="宋体"/>
          <w:sz w:val="30"/>
          <w:szCs w:val="30"/>
          <w:lang w:val="en-US" w:eastAsia="zh-CN"/>
        </w:rPr>
        <w:t>0</w:t>
      </w:r>
      <w:r>
        <w:rPr>
          <w:rFonts w:hint="eastAsia" w:ascii="宋体" w:hAnsi="宋体" w:eastAsia="宋体" w:cs="宋体"/>
          <w:sz w:val="30"/>
          <w:szCs w:val="30"/>
        </w:rPr>
        <w:t>人，其中行政</w:t>
      </w:r>
      <w:r>
        <w:rPr>
          <w:rFonts w:hint="eastAsia" w:ascii="宋体" w:hAnsi="宋体" w:eastAsia="宋体" w:cs="宋体"/>
          <w:sz w:val="30"/>
          <w:szCs w:val="30"/>
          <w:lang w:val="en-US" w:eastAsia="zh-CN"/>
        </w:rPr>
        <w:t>21</w:t>
      </w:r>
      <w:r>
        <w:rPr>
          <w:rFonts w:hint="eastAsia" w:ascii="宋体" w:hAnsi="宋体" w:eastAsia="宋体" w:cs="宋体"/>
          <w:sz w:val="30"/>
          <w:szCs w:val="30"/>
        </w:rPr>
        <w:t>人，事业2</w:t>
      </w:r>
      <w:r>
        <w:rPr>
          <w:rFonts w:hint="eastAsia" w:ascii="宋体" w:hAnsi="宋体" w:eastAsia="宋体" w:cs="宋体"/>
          <w:sz w:val="30"/>
          <w:szCs w:val="30"/>
          <w:lang w:val="en-US" w:eastAsia="zh-CN"/>
        </w:rPr>
        <w:t>5</w:t>
      </w:r>
      <w:r>
        <w:rPr>
          <w:rFonts w:hint="eastAsia" w:ascii="宋体" w:hAnsi="宋体" w:eastAsia="宋体" w:cs="宋体"/>
          <w:sz w:val="30"/>
          <w:szCs w:val="30"/>
        </w:rPr>
        <w:t>人,林业2人，计生办</w:t>
      </w:r>
      <w:r>
        <w:rPr>
          <w:rFonts w:hint="eastAsia" w:ascii="宋体" w:hAnsi="宋体" w:eastAsia="宋体" w:cs="宋体"/>
          <w:sz w:val="30"/>
          <w:szCs w:val="30"/>
          <w:lang w:val="en-US" w:eastAsia="zh-CN"/>
        </w:rPr>
        <w:t>2</w:t>
      </w:r>
      <w:r>
        <w:rPr>
          <w:rFonts w:hint="eastAsia" w:ascii="宋体" w:hAnsi="宋体" w:eastAsia="宋体" w:cs="宋体"/>
          <w:sz w:val="30"/>
          <w:szCs w:val="30"/>
        </w:rPr>
        <w:t>人。</w:t>
      </w:r>
    </w:p>
    <w:p w14:paraId="416DBBBF">
      <w:pPr>
        <w:widowControl/>
        <w:spacing w:line="600" w:lineRule="exact"/>
        <w:rPr>
          <w:rFonts w:hint="eastAsia" w:ascii="仿宋_GB2312" w:eastAsia="宋体" w:hAnsiTheme="minorEastAsia"/>
          <w:sz w:val="28"/>
          <w:szCs w:val="32"/>
          <w:lang w:eastAsia="zh-CN"/>
        </w:rPr>
      </w:pPr>
      <w:r>
        <w:rPr>
          <w:rFonts w:hint="eastAsia" w:ascii="Times New Roman" w:hAnsi="Times New Roman" w:eastAsia="仿宋_GB2312" w:cs="仿宋_GB2312"/>
          <w:bCs/>
          <w:kern w:val="0"/>
          <w:sz w:val="32"/>
          <w:szCs w:val="32"/>
        </w:rPr>
        <w:t>（二）决算单位构成。</w:t>
      </w:r>
      <w:r>
        <w:rPr>
          <w:rFonts w:hint="eastAsia" w:ascii="宋体" w:hAnsi="宋体" w:eastAsia="宋体" w:cs="宋体"/>
          <w:sz w:val="30"/>
          <w:szCs w:val="30"/>
          <w:lang w:eastAsia="zh-CN"/>
        </w:rPr>
        <w:t>均</w:t>
      </w:r>
      <w:r>
        <w:rPr>
          <w:rFonts w:hint="eastAsia" w:ascii="宋体" w:hAnsi="宋体" w:eastAsia="宋体" w:cs="宋体"/>
          <w:sz w:val="30"/>
          <w:szCs w:val="30"/>
        </w:rPr>
        <w:t>坪镇人民政府202</w:t>
      </w:r>
      <w:r>
        <w:rPr>
          <w:rFonts w:hint="eastAsia" w:ascii="宋体" w:hAnsi="宋体" w:eastAsia="宋体" w:cs="宋体"/>
          <w:sz w:val="30"/>
          <w:szCs w:val="30"/>
          <w:lang w:val="en-US" w:eastAsia="zh-CN"/>
        </w:rPr>
        <w:t>3</w:t>
      </w:r>
      <w:r>
        <w:rPr>
          <w:rFonts w:hint="eastAsia" w:ascii="宋体" w:hAnsi="宋体" w:eastAsia="宋体" w:cs="宋体"/>
          <w:sz w:val="30"/>
          <w:szCs w:val="30"/>
        </w:rPr>
        <w:t>年部门决算汇总公开单位构成包括：</w:t>
      </w:r>
      <w:r>
        <w:rPr>
          <w:rFonts w:hint="eastAsia" w:ascii="宋体" w:hAnsi="宋体" w:eastAsia="宋体" w:cs="宋体"/>
          <w:sz w:val="30"/>
          <w:szCs w:val="30"/>
          <w:lang w:eastAsia="zh-CN"/>
        </w:rPr>
        <w:t>均</w:t>
      </w:r>
      <w:r>
        <w:rPr>
          <w:rFonts w:hint="eastAsia" w:ascii="宋体" w:hAnsi="宋体" w:eastAsia="宋体" w:cs="宋体"/>
          <w:sz w:val="30"/>
          <w:szCs w:val="30"/>
        </w:rPr>
        <w:t>坪镇人民政府及均坪镇财政所</w:t>
      </w:r>
      <w:r>
        <w:rPr>
          <w:rFonts w:hint="eastAsia" w:ascii="Times New Roman" w:hAnsi="Times New Roman" w:eastAsia="仿宋_GB2312" w:cs="仿宋_GB2312"/>
          <w:bCs/>
          <w:kern w:val="0"/>
          <w:sz w:val="32"/>
          <w:szCs w:val="32"/>
          <w:lang w:eastAsia="zh-CN"/>
        </w:rPr>
        <w:t>。</w:t>
      </w:r>
    </w:p>
    <w:p w14:paraId="0888CB25">
      <w:pPr>
        <w:jc w:val="center"/>
        <w:rPr>
          <w:rFonts w:ascii="黑体" w:hAnsi="黑体" w:eastAsia="黑体"/>
          <w:sz w:val="28"/>
          <w:szCs w:val="28"/>
        </w:rPr>
      </w:pPr>
    </w:p>
    <w:p w14:paraId="047458C4">
      <w:pPr>
        <w:jc w:val="center"/>
        <w:rPr>
          <w:rFonts w:ascii="黑体" w:hAnsi="黑体" w:eastAsia="黑体"/>
          <w:sz w:val="28"/>
          <w:szCs w:val="28"/>
        </w:rPr>
      </w:pPr>
    </w:p>
    <w:p w14:paraId="139CC1EA">
      <w:pPr>
        <w:jc w:val="center"/>
        <w:rPr>
          <w:rFonts w:ascii="黑体" w:hAnsi="黑体" w:eastAsia="黑体"/>
          <w:sz w:val="28"/>
          <w:szCs w:val="28"/>
        </w:rPr>
      </w:pPr>
    </w:p>
    <w:p w14:paraId="67C26C11">
      <w:pPr>
        <w:pStyle w:val="14"/>
        <w:jc w:val="center"/>
        <w:rPr>
          <w:rFonts w:hint="eastAsia" w:ascii="方正小标宋_GBK" w:hAnsi="方正小标宋_GBK" w:eastAsia="方正小标宋_GBK" w:cs="方正小标宋_GBK"/>
          <w:sz w:val="84"/>
          <w:szCs w:val="84"/>
        </w:rPr>
      </w:pPr>
    </w:p>
    <w:p w14:paraId="25B35777">
      <w:pPr>
        <w:pStyle w:val="14"/>
        <w:jc w:val="center"/>
        <w:rPr>
          <w:rFonts w:hint="eastAsia" w:ascii="方正小标宋_GBK" w:hAnsi="方正小标宋_GBK" w:eastAsia="方正小标宋_GBK" w:cs="方正小标宋_GBK"/>
          <w:sz w:val="84"/>
          <w:szCs w:val="84"/>
        </w:rPr>
      </w:pPr>
    </w:p>
    <w:p w14:paraId="440C2F90">
      <w:pPr>
        <w:pStyle w:val="14"/>
        <w:jc w:val="center"/>
        <w:rPr>
          <w:rFonts w:hint="eastAsia" w:ascii="方正小标宋_GBK" w:hAnsi="方正小标宋_GBK" w:eastAsia="方正小标宋_GBK" w:cs="方正小标宋_GBK"/>
          <w:sz w:val="84"/>
          <w:szCs w:val="84"/>
        </w:rPr>
      </w:pPr>
    </w:p>
    <w:p w14:paraId="092090D8">
      <w:pPr>
        <w:pStyle w:val="14"/>
        <w:jc w:val="both"/>
        <w:rPr>
          <w:rFonts w:hint="eastAsia" w:ascii="方正小标宋_GBK" w:hAnsi="方正小标宋_GBK" w:eastAsia="方正小标宋_GBK" w:cs="方正小标宋_GBK"/>
          <w:sz w:val="84"/>
          <w:szCs w:val="84"/>
        </w:rPr>
      </w:pPr>
    </w:p>
    <w:p w14:paraId="23CBE6D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55018C4">
      <w:pPr>
        <w:pStyle w:val="14"/>
        <w:jc w:val="center"/>
        <w:rPr>
          <w:rFonts w:hint="eastAsia" w:ascii="方正小标宋_GBK" w:hAnsi="方正小标宋_GBK" w:eastAsia="方正小标宋_GBK" w:cs="方正小标宋_GBK"/>
          <w:sz w:val="84"/>
          <w:szCs w:val="84"/>
        </w:rPr>
      </w:pPr>
    </w:p>
    <w:p w14:paraId="1BFE5E0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BA990CC">
      <w:pPr>
        <w:jc w:val="center"/>
        <w:rPr>
          <w:sz w:val="72"/>
          <w:szCs w:val="72"/>
        </w:rPr>
      </w:pPr>
    </w:p>
    <w:p w14:paraId="6924D206">
      <w:pPr>
        <w:jc w:val="center"/>
        <w:rPr>
          <w:sz w:val="72"/>
          <w:szCs w:val="72"/>
        </w:rPr>
      </w:pPr>
    </w:p>
    <w:p w14:paraId="300CAF23">
      <w:pPr>
        <w:jc w:val="center"/>
        <w:rPr>
          <w:sz w:val="72"/>
          <w:szCs w:val="72"/>
        </w:rPr>
      </w:pPr>
    </w:p>
    <w:p w14:paraId="1ED304D5">
      <w:pPr>
        <w:jc w:val="center"/>
        <w:rPr>
          <w:sz w:val="72"/>
          <w:szCs w:val="72"/>
        </w:rPr>
      </w:pPr>
    </w:p>
    <w:p w14:paraId="533E59A5">
      <w:pPr>
        <w:jc w:val="both"/>
        <w:rPr>
          <w:sz w:val="72"/>
          <w:szCs w:val="72"/>
        </w:rPr>
      </w:pPr>
    </w:p>
    <w:p w14:paraId="14C8FBA7">
      <w:pPr>
        <w:jc w:val="left"/>
        <w:rPr>
          <w:sz w:val="32"/>
          <w:szCs w:val="32"/>
        </w:rPr>
      </w:pPr>
    </w:p>
    <w:p w14:paraId="2ACDA913">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14:paraId="25E1E43B">
      <w:pPr>
        <w:widowControl/>
        <w:jc w:val="center"/>
        <w:rPr>
          <w:rFonts w:hint="eastAsia" w:ascii="Times New Roman" w:hAnsi="Times New Roman" w:eastAsia="方正小标宋_GBK" w:cs="Times New Roman"/>
          <w:color w:val="000000"/>
          <w:kern w:val="0"/>
          <w:sz w:val="36"/>
          <w:szCs w:val="36"/>
        </w:rPr>
      </w:pPr>
    </w:p>
    <w:tbl>
      <w:tblPr>
        <w:tblStyle w:val="9"/>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14:paraId="1F70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754335C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2CA2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616671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63BC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A594F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E20B8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4EDC0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20B9C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7F77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4FDAB7C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部门：溆浦县均坪镇人民政府</w:t>
            </w:r>
          </w:p>
        </w:tc>
        <w:tc>
          <w:tcPr>
            <w:tcW w:w="0" w:type="auto"/>
            <w:tcBorders>
              <w:top w:val="nil"/>
              <w:left w:val="nil"/>
              <w:bottom w:val="nil"/>
              <w:right w:val="nil"/>
            </w:tcBorders>
            <w:shd w:val="clear" w:color="auto" w:fill="auto"/>
            <w:noWrap/>
            <w:vAlign w:val="center"/>
          </w:tcPr>
          <w:p w14:paraId="730AB14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4E074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DE576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19E78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7B2CD4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C6A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5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B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7823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0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7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2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F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3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7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062B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7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24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7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D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E0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E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D3C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A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2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A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A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7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C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666.14</w:t>
            </w:r>
          </w:p>
        </w:tc>
      </w:tr>
      <w:tr w14:paraId="5CCC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F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7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BE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4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7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1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08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E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E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B0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9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F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F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25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2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6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B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5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1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F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r>
      <w:tr w14:paraId="15314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8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8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0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F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04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BF4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2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4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7F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2D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D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1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5D1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94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2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83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6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A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6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r>
      <w:tr w14:paraId="11C0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F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3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3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2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C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58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102.99</w:t>
            </w:r>
          </w:p>
        </w:tc>
      </w:tr>
      <w:tr w14:paraId="056B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F8D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F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F47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5F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4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7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53.70</w:t>
            </w:r>
          </w:p>
        </w:tc>
      </w:tr>
      <w:tr w14:paraId="10E5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3A8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D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577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1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A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0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CEC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C2E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5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DBC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F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0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F7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14:paraId="2890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88F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D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F38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8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7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2F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572.68</w:t>
            </w:r>
          </w:p>
        </w:tc>
      </w:tr>
      <w:tr w14:paraId="5174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512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4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549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9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B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AE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F0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7DD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F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DF9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5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0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80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r>
      <w:tr w14:paraId="76EF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59B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C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56A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D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F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E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52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E9A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6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DE6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A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5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88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4F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2E0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9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0F6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B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6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88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AC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649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E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489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F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1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DE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BCC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62C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F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479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7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0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57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r>
      <w:tr w14:paraId="0804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0E5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5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A1F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A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C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90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1A20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058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F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9BD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7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E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50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03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FC2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B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0B3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4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3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8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w:t>
            </w:r>
          </w:p>
        </w:tc>
      </w:tr>
      <w:tr w14:paraId="4A0C7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234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A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29B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EC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5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9B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r>
      <w:tr w14:paraId="6E08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F677">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C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C5A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9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C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DF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43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004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2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AD1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8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A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8E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D8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F2E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4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3D9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7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B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5F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90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7E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E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4D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72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6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89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1,812.05</w:t>
            </w:r>
          </w:p>
        </w:tc>
      </w:tr>
      <w:tr w14:paraId="77D9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E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7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2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AD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A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68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3E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4E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3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F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5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8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42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79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648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4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11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C4A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5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5C9C">
            <w:pPr>
              <w:jc w:val="left"/>
              <w:rPr>
                <w:rFonts w:hint="eastAsia" w:ascii="宋体" w:hAnsi="宋体" w:eastAsia="宋体" w:cs="宋体"/>
                <w:i w:val="0"/>
                <w:iCs w:val="0"/>
                <w:color w:val="000000"/>
                <w:sz w:val="22"/>
                <w:szCs w:val="22"/>
                <w:u w:val="none"/>
              </w:rPr>
            </w:pPr>
          </w:p>
        </w:tc>
      </w:tr>
      <w:tr w14:paraId="3F92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D9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E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2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9A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3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D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1,812.05</w:t>
            </w:r>
          </w:p>
        </w:tc>
      </w:tr>
      <w:tr w14:paraId="34B5C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44C37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31F7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43129A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076688AF">
      <w:pPr>
        <w:widowControl/>
        <w:jc w:val="center"/>
        <w:rPr>
          <w:rFonts w:hint="eastAsia" w:ascii="Times New Roman" w:hAnsi="Times New Roman" w:eastAsia="方正小标宋_GBK" w:cs="Times New Roman"/>
          <w:color w:val="000000"/>
          <w:kern w:val="0"/>
          <w:sz w:val="36"/>
          <w:szCs w:val="36"/>
        </w:rPr>
      </w:pPr>
    </w:p>
    <w:p w14:paraId="2CA507ED">
      <w:pPr>
        <w:widowControl/>
        <w:jc w:val="center"/>
        <w:rPr>
          <w:rFonts w:hint="eastAsia" w:ascii="Times New Roman" w:hAnsi="Times New Roman" w:eastAsia="方正小标宋_GBK" w:cs="Times New Roman"/>
          <w:color w:val="000000"/>
          <w:kern w:val="0"/>
          <w:sz w:val="36"/>
          <w:szCs w:val="36"/>
        </w:rPr>
      </w:pPr>
    </w:p>
    <w:p w14:paraId="79860900">
      <w:pPr>
        <w:widowControl/>
        <w:jc w:val="center"/>
        <w:rPr>
          <w:rFonts w:hint="eastAsia" w:ascii="Times New Roman" w:hAnsi="Times New Roman" w:eastAsia="方正小标宋_GBK" w:cs="Times New Roman"/>
          <w:color w:val="000000"/>
          <w:kern w:val="0"/>
          <w:sz w:val="36"/>
          <w:szCs w:val="36"/>
        </w:rPr>
      </w:pPr>
    </w:p>
    <w:p w14:paraId="4C5BE0DD">
      <w:pPr>
        <w:widowControl/>
        <w:jc w:val="center"/>
        <w:rPr>
          <w:rFonts w:hint="eastAsia" w:ascii="Times New Roman" w:hAnsi="Times New Roman" w:eastAsia="方正小标宋_GBK" w:cs="Times New Roman"/>
          <w:color w:val="000000"/>
          <w:kern w:val="0"/>
          <w:sz w:val="36"/>
          <w:szCs w:val="36"/>
        </w:rPr>
      </w:pPr>
    </w:p>
    <w:p w14:paraId="44FC468C">
      <w:pPr>
        <w:widowControl/>
        <w:jc w:val="center"/>
        <w:rPr>
          <w:rFonts w:hint="eastAsia" w:ascii="Times New Roman" w:hAnsi="Times New Roman" w:eastAsia="方正小标宋_GBK" w:cs="Times New Roman"/>
          <w:color w:val="000000"/>
          <w:kern w:val="0"/>
          <w:sz w:val="36"/>
          <w:szCs w:val="36"/>
        </w:rPr>
      </w:pPr>
    </w:p>
    <w:p w14:paraId="27B29040">
      <w:pPr>
        <w:widowControl/>
        <w:jc w:val="center"/>
        <w:rPr>
          <w:rFonts w:hint="eastAsia" w:ascii="Times New Roman" w:hAnsi="Times New Roman" w:eastAsia="方正小标宋_GBK" w:cs="Times New Roman"/>
          <w:color w:val="000000"/>
          <w:kern w:val="0"/>
          <w:sz w:val="36"/>
          <w:szCs w:val="36"/>
        </w:rPr>
      </w:pPr>
    </w:p>
    <w:p w14:paraId="0D39BDA3">
      <w:pPr>
        <w:widowControl/>
        <w:jc w:val="center"/>
        <w:rPr>
          <w:rFonts w:hint="eastAsia" w:ascii="Times New Roman" w:hAnsi="Times New Roman" w:eastAsia="方正小标宋_GBK" w:cs="Times New Roman"/>
          <w:color w:val="000000"/>
          <w:kern w:val="0"/>
          <w:sz w:val="36"/>
          <w:szCs w:val="36"/>
        </w:rPr>
      </w:pPr>
    </w:p>
    <w:p w14:paraId="505CEF57">
      <w:pPr>
        <w:widowControl/>
        <w:jc w:val="center"/>
        <w:rPr>
          <w:rFonts w:hint="eastAsia" w:ascii="Times New Roman" w:hAnsi="Times New Roman" w:eastAsia="方正小标宋_GBK" w:cs="Times New Roman"/>
          <w:color w:val="000000"/>
          <w:kern w:val="0"/>
          <w:sz w:val="36"/>
          <w:szCs w:val="36"/>
        </w:rPr>
      </w:pPr>
    </w:p>
    <w:p w14:paraId="1C924B4C">
      <w:pPr>
        <w:widowControl/>
        <w:jc w:val="center"/>
        <w:rPr>
          <w:rFonts w:hint="eastAsia" w:ascii="Times New Roman" w:hAnsi="Times New Roman" w:eastAsia="方正小标宋_GBK" w:cs="Times New Roman"/>
          <w:color w:val="000000"/>
          <w:kern w:val="0"/>
          <w:sz w:val="36"/>
          <w:szCs w:val="36"/>
        </w:rPr>
      </w:pPr>
    </w:p>
    <w:p w14:paraId="661B0072">
      <w:pPr>
        <w:widowControl/>
        <w:jc w:val="center"/>
        <w:rPr>
          <w:rFonts w:hint="eastAsia" w:ascii="Times New Roman" w:hAnsi="Times New Roman" w:eastAsia="方正小标宋_GBK" w:cs="Times New Roman"/>
          <w:color w:val="000000"/>
          <w:kern w:val="0"/>
          <w:sz w:val="36"/>
          <w:szCs w:val="36"/>
        </w:rPr>
      </w:pPr>
    </w:p>
    <w:p w14:paraId="21FC48A1">
      <w:pPr>
        <w:widowControl/>
        <w:jc w:val="center"/>
        <w:rPr>
          <w:rFonts w:hint="eastAsia" w:ascii="Times New Roman" w:hAnsi="Times New Roman" w:eastAsia="方正小标宋_GBK" w:cs="Times New Roman"/>
          <w:color w:val="000000"/>
          <w:kern w:val="0"/>
          <w:sz w:val="36"/>
          <w:szCs w:val="36"/>
        </w:rPr>
      </w:pPr>
    </w:p>
    <w:tbl>
      <w:tblPr>
        <w:tblStyle w:val="9"/>
        <w:tblW w:w="153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6"/>
        <w:gridCol w:w="236"/>
        <w:gridCol w:w="236"/>
        <w:gridCol w:w="3927"/>
        <w:gridCol w:w="1153"/>
        <w:gridCol w:w="1370"/>
        <w:gridCol w:w="978"/>
        <w:gridCol w:w="1003"/>
        <w:gridCol w:w="1016"/>
        <w:gridCol w:w="1269"/>
        <w:gridCol w:w="1650"/>
      </w:tblGrid>
      <w:tr w14:paraId="74C56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5364" w:type="dxa"/>
            <w:gridSpan w:val="11"/>
            <w:tcBorders>
              <w:top w:val="nil"/>
              <w:left w:val="nil"/>
              <w:bottom w:val="nil"/>
              <w:right w:val="nil"/>
            </w:tcBorders>
            <w:shd w:val="clear" w:color="auto" w:fill="auto"/>
            <w:noWrap/>
            <w:vAlign w:val="center"/>
          </w:tcPr>
          <w:p w14:paraId="6F36F1E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37AA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26" w:type="dxa"/>
            <w:tcBorders>
              <w:top w:val="nil"/>
              <w:left w:val="nil"/>
              <w:bottom w:val="nil"/>
              <w:right w:val="nil"/>
            </w:tcBorders>
            <w:shd w:val="clear" w:color="auto" w:fill="auto"/>
            <w:noWrap/>
            <w:vAlign w:val="center"/>
          </w:tcPr>
          <w:p w14:paraId="049536E3">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142B5C4A">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4C233250">
            <w:pPr>
              <w:rPr>
                <w:rFonts w:hint="eastAsia" w:ascii="宋体" w:hAnsi="宋体" w:eastAsia="宋体" w:cs="宋体"/>
                <w:i w:val="0"/>
                <w:iCs w:val="0"/>
                <w:color w:val="000000"/>
                <w:sz w:val="22"/>
                <w:szCs w:val="22"/>
                <w:u w:val="none"/>
              </w:rPr>
            </w:pPr>
          </w:p>
        </w:tc>
        <w:tc>
          <w:tcPr>
            <w:tcW w:w="3927" w:type="dxa"/>
            <w:tcBorders>
              <w:top w:val="nil"/>
              <w:left w:val="nil"/>
              <w:bottom w:val="nil"/>
              <w:right w:val="nil"/>
            </w:tcBorders>
            <w:shd w:val="clear" w:color="auto" w:fill="auto"/>
            <w:noWrap/>
            <w:vAlign w:val="center"/>
          </w:tcPr>
          <w:p w14:paraId="6DF17926">
            <w:pPr>
              <w:rPr>
                <w:rFonts w:hint="eastAsia" w:ascii="宋体" w:hAnsi="宋体" w:eastAsia="宋体" w:cs="宋体"/>
                <w:i w:val="0"/>
                <w:iCs w:val="0"/>
                <w:color w:val="000000"/>
                <w:sz w:val="22"/>
                <w:szCs w:val="22"/>
                <w:u w:val="none"/>
              </w:rPr>
            </w:pPr>
          </w:p>
        </w:tc>
        <w:tc>
          <w:tcPr>
            <w:tcW w:w="1153" w:type="dxa"/>
            <w:tcBorders>
              <w:top w:val="nil"/>
              <w:left w:val="nil"/>
              <w:bottom w:val="nil"/>
              <w:right w:val="nil"/>
            </w:tcBorders>
            <w:shd w:val="clear" w:color="auto" w:fill="auto"/>
            <w:noWrap/>
            <w:vAlign w:val="center"/>
          </w:tcPr>
          <w:p w14:paraId="4749854B">
            <w:pPr>
              <w:rPr>
                <w:rFonts w:hint="eastAsia" w:ascii="宋体" w:hAnsi="宋体" w:eastAsia="宋体" w:cs="宋体"/>
                <w:i w:val="0"/>
                <w:iCs w:val="0"/>
                <w:color w:val="000000"/>
                <w:sz w:val="22"/>
                <w:szCs w:val="22"/>
                <w:u w:val="none"/>
              </w:rPr>
            </w:pPr>
          </w:p>
        </w:tc>
        <w:tc>
          <w:tcPr>
            <w:tcW w:w="1370" w:type="dxa"/>
            <w:tcBorders>
              <w:top w:val="nil"/>
              <w:left w:val="nil"/>
              <w:bottom w:val="nil"/>
              <w:right w:val="nil"/>
            </w:tcBorders>
            <w:shd w:val="clear" w:color="auto" w:fill="auto"/>
            <w:noWrap/>
            <w:vAlign w:val="center"/>
          </w:tcPr>
          <w:p w14:paraId="469A3E2D">
            <w:pPr>
              <w:rPr>
                <w:rFonts w:hint="eastAsia" w:ascii="宋体" w:hAnsi="宋体" w:eastAsia="宋体" w:cs="宋体"/>
                <w:i w:val="0"/>
                <w:iCs w:val="0"/>
                <w:color w:val="000000"/>
                <w:sz w:val="22"/>
                <w:szCs w:val="22"/>
                <w:u w:val="none"/>
              </w:rPr>
            </w:pPr>
          </w:p>
        </w:tc>
        <w:tc>
          <w:tcPr>
            <w:tcW w:w="978" w:type="dxa"/>
            <w:tcBorders>
              <w:top w:val="nil"/>
              <w:left w:val="nil"/>
              <w:bottom w:val="nil"/>
              <w:right w:val="nil"/>
            </w:tcBorders>
            <w:shd w:val="clear" w:color="auto" w:fill="auto"/>
            <w:noWrap/>
            <w:vAlign w:val="center"/>
          </w:tcPr>
          <w:p w14:paraId="7AE788BE">
            <w:pPr>
              <w:rPr>
                <w:rFonts w:hint="eastAsia" w:ascii="宋体" w:hAnsi="宋体" w:eastAsia="宋体" w:cs="宋体"/>
                <w:i w:val="0"/>
                <w:iCs w:val="0"/>
                <w:color w:val="000000"/>
                <w:sz w:val="22"/>
                <w:szCs w:val="22"/>
                <w:u w:val="none"/>
              </w:rPr>
            </w:pPr>
          </w:p>
        </w:tc>
        <w:tc>
          <w:tcPr>
            <w:tcW w:w="1003" w:type="dxa"/>
            <w:tcBorders>
              <w:top w:val="nil"/>
              <w:left w:val="nil"/>
              <w:bottom w:val="nil"/>
              <w:right w:val="nil"/>
            </w:tcBorders>
            <w:shd w:val="clear" w:color="auto" w:fill="auto"/>
            <w:noWrap/>
            <w:vAlign w:val="center"/>
          </w:tcPr>
          <w:p w14:paraId="01B2643A">
            <w:pPr>
              <w:rPr>
                <w:rFonts w:hint="eastAsia" w:ascii="宋体" w:hAnsi="宋体" w:eastAsia="宋体" w:cs="宋体"/>
                <w:i w:val="0"/>
                <w:iCs w:val="0"/>
                <w:color w:val="000000"/>
                <w:sz w:val="22"/>
                <w:szCs w:val="22"/>
                <w:u w:val="none"/>
              </w:rPr>
            </w:pPr>
          </w:p>
        </w:tc>
        <w:tc>
          <w:tcPr>
            <w:tcW w:w="1016" w:type="dxa"/>
            <w:tcBorders>
              <w:top w:val="nil"/>
              <w:left w:val="nil"/>
              <w:bottom w:val="nil"/>
              <w:right w:val="nil"/>
            </w:tcBorders>
            <w:shd w:val="clear" w:color="auto" w:fill="auto"/>
            <w:noWrap/>
            <w:vAlign w:val="center"/>
          </w:tcPr>
          <w:p w14:paraId="04421C62">
            <w:pPr>
              <w:rPr>
                <w:rFonts w:hint="eastAsia" w:ascii="宋体" w:hAnsi="宋体" w:eastAsia="宋体" w:cs="宋体"/>
                <w:i w:val="0"/>
                <w:iCs w:val="0"/>
                <w:color w:val="000000"/>
                <w:sz w:val="22"/>
                <w:szCs w:val="22"/>
                <w:u w:val="none"/>
              </w:rPr>
            </w:pPr>
          </w:p>
        </w:tc>
        <w:tc>
          <w:tcPr>
            <w:tcW w:w="1269" w:type="dxa"/>
            <w:tcBorders>
              <w:top w:val="nil"/>
              <w:left w:val="nil"/>
              <w:bottom w:val="nil"/>
              <w:right w:val="nil"/>
            </w:tcBorders>
            <w:shd w:val="clear" w:color="auto" w:fill="auto"/>
            <w:noWrap/>
            <w:vAlign w:val="center"/>
          </w:tcPr>
          <w:p w14:paraId="546C0C06">
            <w:pPr>
              <w:rPr>
                <w:rFonts w:hint="eastAsia" w:ascii="宋体" w:hAnsi="宋体" w:eastAsia="宋体" w:cs="宋体"/>
                <w:i w:val="0"/>
                <w:iCs w:val="0"/>
                <w:color w:val="000000"/>
                <w:sz w:val="22"/>
                <w:szCs w:val="22"/>
                <w:u w:val="none"/>
              </w:rPr>
            </w:pPr>
          </w:p>
        </w:tc>
        <w:tc>
          <w:tcPr>
            <w:tcW w:w="1650" w:type="dxa"/>
            <w:tcBorders>
              <w:top w:val="nil"/>
              <w:left w:val="nil"/>
              <w:bottom w:val="nil"/>
              <w:right w:val="nil"/>
            </w:tcBorders>
            <w:shd w:val="clear" w:color="auto" w:fill="auto"/>
            <w:noWrap/>
            <w:vAlign w:val="bottom"/>
          </w:tcPr>
          <w:p w14:paraId="2099AD4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7935C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98" w:type="dxa"/>
            <w:gridSpan w:val="3"/>
            <w:tcBorders>
              <w:top w:val="nil"/>
              <w:left w:val="nil"/>
              <w:bottom w:val="nil"/>
              <w:right w:val="nil"/>
            </w:tcBorders>
            <w:shd w:val="clear" w:color="auto" w:fill="auto"/>
            <w:noWrap/>
            <w:vAlign w:val="bottom"/>
          </w:tcPr>
          <w:p w14:paraId="369E815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部门：溆浦县均坪镇人民政府</w:t>
            </w:r>
          </w:p>
        </w:tc>
        <w:tc>
          <w:tcPr>
            <w:tcW w:w="3927" w:type="dxa"/>
            <w:tcBorders>
              <w:top w:val="nil"/>
              <w:left w:val="nil"/>
              <w:bottom w:val="nil"/>
              <w:right w:val="nil"/>
            </w:tcBorders>
            <w:shd w:val="clear" w:color="auto" w:fill="auto"/>
            <w:noWrap/>
            <w:vAlign w:val="center"/>
          </w:tcPr>
          <w:p w14:paraId="48631C53">
            <w:pPr>
              <w:rPr>
                <w:rFonts w:hint="eastAsia" w:ascii="宋体" w:hAnsi="宋体" w:eastAsia="宋体" w:cs="宋体"/>
                <w:i w:val="0"/>
                <w:iCs w:val="0"/>
                <w:color w:val="000000"/>
                <w:sz w:val="22"/>
                <w:szCs w:val="22"/>
                <w:u w:val="none"/>
              </w:rPr>
            </w:pPr>
          </w:p>
        </w:tc>
        <w:tc>
          <w:tcPr>
            <w:tcW w:w="1153" w:type="dxa"/>
            <w:tcBorders>
              <w:top w:val="nil"/>
              <w:left w:val="nil"/>
              <w:bottom w:val="nil"/>
              <w:right w:val="nil"/>
            </w:tcBorders>
            <w:shd w:val="clear" w:color="auto" w:fill="auto"/>
            <w:noWrap/>
            <w:vAlign w:val="center"/>
          </w:tcPr>
          <w:p w14:paraId="4A152961">
            <w:pPr>
              <w:rPr>
                <w:rFonts w:hint="eastAsia" w:ascii="宋体" w:hAnsi="宋体" w:eastAsia="宋体" w:cs="宋体"/>
                <w:i w:val="0"/>
                <w:iCs w:val="0"/>
                <w:color w:val="000000"/>
                <w:sz w:val="22"/>
                <w:szCs w:val="22"/>
                <w:u w:val="none"/>
              </w:rPr>
            </w:pPr>
          </w:p>
        </w:tc>
        <w:tc>
          <w:tcPr>
            <w:tcW w:w="1370" w:type="dxa"/>
            <w:tcBorders>
              <w:top w:val="nil"/>
              <w:left w:val="nil"/>
              <w:bottom w:val="nil"/>
              <w:right w:val="nil"/>
            </w:tcBorders>
            <w:shd w:val="clear" w:color="auto" w:fill="auto"/>
            <w:noWrap/>
            <w:vAlign w:val="center"/>
          </w:tcPr>
          <w:p w14:paraId="058A49ED">
            <w:pPr>
              <w:rPr>
                <w:rFonts w:hint="eastAsia" w:ascii="宋体" w:hAnsi="宋体" w:eastAsia="宋体" w:cs="宋体"/>
                <w:i w:val="0"/>
                <w:iCs w:val="0"/>
                <w:color w:val="000000"/>
                <w:sz w:val="22"/>
                <w:szCs w:val="22"/>
                <w:u w:val="none"/>
              </w:rPr>
            </w:pPr>
          </w:p>
        </w:tc>
        <w:tc>
          <w:tcPr>
            <w:tcW w:w="978" w:type="dxa"/>
            <w:tcBorders>
              <w:top w:val="nil"/>
              <w:left w:val="nil"/>
              <w:bottom w:val="nil"/>
              <w:right w:val="nil"/>
            </w:tcBorders>
            <w:shd w:val="clear" w:color="auto" w:fill="auto"/>
            <w:noWrap/>
            <w:vAlign w:val="center"/>
          </w:tcPr>
          <w:p w14:paraId="499DCE12">
            <w:pPr>
              <w:rPr>
                <w:rFonts w:hint="eastAsia" w:ascii="宋体" w:hAnsi="宋体" w:eastAsia="宋体" w:cs="宋体"/>
                <w:i w:val="0"/>
                <w:iCs w:val="0"/>
                <w:color w:val="000000"/>
                <w:sz w:val="22"/>
                <w:szCs w:val="22"/>
                <w:u w:val="none"/>
              </w:rPr>
            </w:pPr>
          </w:p>
        </w:tc>
        <w:tc>
          <w:tcPr>
            <w:tcW w:w="1003" w:type="dxa"/>
            <w:tcBorders>
              <w:top w:val="nil"/>
              <w:left w:val="nil"/>
              <w:bottom w:val="nil"/>
              <w:right w:val="nil"/>
            </w:tcBorders>
            <w:shd w:val="clear" w:color="auto" w:fill="auto"/>
            <w:noWrap/>
            <w:vAlign w:val="center"/>
          </w:tcPr>
          <w:p w14:paraId="3D6BD154">
            <w:pPr>
              <w:rPr>
                <w:rFonts w:hint="eastAsia" w:ascii="宋体" w:hAnsi="宋体" w:eastAsia="宋体" w:cs="宋体"/>
                <w:i w:val="0"/>
                <w:iCs w:val="0"/>
                <w:color w:val="000000"/>
                <w:sz w:val="22"/>
                <w:szCs w:val="22"/>
                <w:u w:val="none"/>
              </w:rPr>
            </w:pPr>
          </w:p>
        </w:tc>
        <w:tc>
          <w:tcPr>
            <w:tcW w:w="1016" w:type="dxa"/>
            <w:tcBorders>
              <w:top w:val="nil"/>
              <w:left w:val="nil"/>
              <w:bottom w:val="nil"/>
              <w:right w:val="nil"/>
            </w:tcBorders>
            <w:shd w:val="clear" w:color="auto" w:fill="auto"/>
            <w:noWrap/>
            <w:vAlign w:val="center"/>
          </w:tcPr>
          <w:p w14:paraId="1CE16594">
            <w:pPr>
              <w:rPr>
                <w:rFonts w:hint="eastAsia" w:ascii="宋体" w:hAnsi="宋体" w:eastAsia="宋体" w:cs="宋体"/>
                <w:i w:val="0"/>
                <w:iCs w:val="0"/>
                <w:color w:val="000000"/>
                <w:sz w:val="22"/>
                <w:szCs w:val="22"/>
                <w:u w:val="none"/>
              </w:rPr>
            </w:pPr>
          </w:p>
        </w:tc>
        <w:tc>
          <w:tcPr>
            <w:tcW w:w="1269" w:type="dxa"/>
            <w:tcBorders>
              <w:top w:val="nil"/>
              <w:left w:val="nil"/>
              <w:bottom w:val="nil"/>
              <w:right w:val="nil"/>
            </w:tcBorders>
            <w:shd w:val="clear" w:color="auto" w:fill="auto"/>
            <w:noWrap/>
            <w:vAlign w:val="center"/>
          </w:tcPr>
          <w:p w14:paraId="0F9DA664">
            <w:pPr>
              <w:rPr>
                <w:rFonts w:hint="eastAsia" w:ascii="宋体" w:hAnsi="宋体" w:eastAsia="宋体" w:cs="宋体"/>
                <w:i w:val="0"/>
                <w:iCs w:val="0"/>
                <w:color w:val="000000"/>
                <w:sz w:val="22"/>
                <w:szCs w:val="22"/>
                <w:u w:val="none"/>
              </w:rPr>
            </w:pPr>
          </w:p>
        </w:tc>
        <w:tc>
          <w:tcPr>
            <w:tcW w:w="1650" w:type="dxa"/>
            <w:tcBorders>
              <w:top w:val="nil"/>
              <w:left w:val="nil"/>
              <w:bottom w:val="nil"/>
              <w:right w:val="nil"/>
            </w:tcBorders>
            <w:shd w:val="clear" w:color="auto" w:fill="auto"/>
            <w:noWrap/>
            <w:vAlign w:val="bottom"/>
          </w:tcPr>
          <w:p w14:paraId="5FF07B5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436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1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05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99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81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1F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E6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62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FC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3DE9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9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4C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2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31EB0">
            <w:pPr>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AE240">
            <w:pPr>
              <w:jc w:val="center"/>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F5A1D">
            <w:pPr>
              <w:jc w:val="center"/>
              <w:rPr>
                <w:rFonts w:hint="eastAsia" w:ascii="宋体" w:hAnsi="宋体" w:eastAsia="宋体" w:cs="宋体"/>
                <w:i w:val="0"/>
                <w:iCs w:val="0"/>
                <w:color w:val="000000"/>
                <w:sz w:val="22"/>
                <w:szCs w:val="22"/>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09A17">
            <w:pPr>
              <w:jc w:val="center"/>
              <w:rPr>
                <w:rFonts w:hint="eastAsia" w:ascii="宋体" w:hAnsi="宋体" w:eastAsia="宋体" w:cs="宋体"/>
                <w:i w:val="0"/>
                <w:iCs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5D6B0">
            <w:pPr>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F9836">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1653C">
            <w:pPr>
              <w:jc w:val="center"/>
              <w:rPr>
                <w:rFonts w:hint="eastAsia" w:ascii="宋体" w:hAnsi="宋体" w:eastAsia="宋体" w:cs="宋体"/>
                <w:i w:val="0"/>
                <w:iCs w:val="0"/>
                <w:color w:val="000000"/>
                <w:sz w:val="22"/>
                <w:szCs w:val="22"/>
                <w:u w:val="none"/>
              </w:rPr>
            </w:pPr>
          </w:p>
        </w:tc>
      </w:tr>
      <w:tr w14:paraId="6AA2B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2FBC7">
            <w:pPr>
              <w:jc w:val="center"/>
              <w:rPr>
                <w:rFonts w:hint="eastAsia" w:ascii="宋体" w:hAnsi="宋体" w:eastAsia="宋体" w:cs="宋体"/>
                <w:i w:val="0"/>
                <w:iCs w:val="0"/>
                <w:color w:val="000000"/>
                <w:sz w:val="22"/>
                <w:szCs w:val="22"/>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5472">
            <w:pPr>
              <w:jc w:val="center"/>
              <w:rPr>
                <w:rFonts w:hint="eastAsia" w:ascii="宋体" w:hAnsi="宋体" w:eastAsia="宋体" w:cs="宋体"/>
                <w:i w:val="0"/>
                <w:iCs w:val="0"/>
                <w:color w:val="000000"/>
                <w:sz w:val="22"/>
                <w:szCs w:val="22"/>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1051D">
            <w:pPr>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D6EB1">
            <w:pPr>
              <w:jc w:val="center"/>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B7FCA">
            <w:pPr>
              <w:jc w:val="center"/>
              <w:rPr>
                <w:rFonts w:hint="eastAsia" w:ascii="宋体" w:hAnsi="宋体" w:eastAsia="宋体" w:cs="宋体"/>
                <w:i w:val="0"/>
                <w:iCs w:val="0"/>
                <w:color w:val="000000"/>
                <w:sz w:val="22"/>
                <w:szCs w:val="22"/>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4B9CD">
            <w:pPr>
              <w:jc w:val="center"/>
              <w:rPr>
                <w:rFonts w:hint="eastAsia" w:ascii="宋体" w:hAnsi="宋体" w:eastAsia="宋体" w:cs="宋体"/>
                <w:i w:val="0"/>
                <w:iCs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7D2C6">
            <w:pPr>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D7CE7">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B36AF">
            <w:pPr>
              <w:jc w:val="center"/>
              <w:rPr>
                <w:rFonts w:hint="eastAsia" w:ascii="宋体" w:hAnsi="宋体" w:eastAsia="宋体" w:cs="宋体"/>
                <w:i w:val="0"/>
                <w:iCs w:val="0"/>
                <w:color w:val="000000"/>
                <w:sz w:val="22"/>
                <w:szCs w:val="22"/>
                <w:u w:val="none"/>
              </w:rPr>
            </w:pPr>
          </w:p>
        </w:tc>
      </w:tr>
      <w:tr w14:paraId="4AED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2BD96">
            <w:pPr>
              <w:jc w:val="center"/>
              <w:rPr>
                <w:rFonts w:hint="eastAsia" w:ascii="宋体" w:hAnsi="宋体" w:eastAsia="宋体" w:cs="宋体"/>
                <w:i w:val="0"/>
                <w:iCs w:val="0"/>
                <w:color w:val="000000"/>
                <w:sz w:val="22"/>
                <w:szCs w:val="22"/>
                <w:u w:val="none"/>
              </w:rPr>
            </w:pPr>
          </w:p>
        </w:tc>
        <w:tc>
          <w:tcPr>
            <w:tcW w:w="39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5DAD">
            <w:pPr>
              <w:jc w:val="center"/>
              <w:rPr>
                <w:rFonts w:hint="eastAsia" w:ascii="宋体" w:hAnsi="宋体" w:eastAsia="宋体" w:cs="宋体"/>
                <w:i w:val="0"/>
                <w:iCs w:val="0"/>
                <w:color w:val="000000"/>
                <w:sz w:val="22"/>
                <w:szCs w:val="22"/>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B6323">
            <w:pPr>
              <w:jc w:val="center"/>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3E618">
            <w:pPr>
              <w:jc w:val="center"/>
              <w:rPr>
                <w:rFonts w:hint="eastAsia" w:ascii="宋体" w:hAnsi="宋体" w:eastAsia="宋体" w:cs="宋体"/>
                <w:i w:val="0"/>
                <w:iCs w:val="0"/>
                <w:color w:val="000000"/>
                <w:sz w:val="22"/>
                <w:szCs w:val="2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801A4">
            <w:pPr>
              <w:jc w:val="center"/>
              <w:rPr>
                <w:rFonts w:hint="eastAsia" w:ascii="宋体" w:hAnsi="宋体" w:eastAsia="宋体" w:cs="宋体"/>
                <w:i w:val="0"/>
                <w:iCs w:val="0"/>
                <w:color w:val="000000"/>
                <w:sz w:val="22"/>
                <w:szCs w:val="22"/>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9DF7F">
            <w:pPr>
              <w:jc w:val="center"/>
              <w:rPr>
                <w:rFonts w:hint="eastAsia" w:ascii="宋体" w:hAnsi="宋体" w:eastAsia="宋体" w:cs="宋体"/>
                <w:i w:val="0"/>
                <w:iCs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C4AA9">
            <w:pPr>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8F4C3">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3A6EC">
            <w:pPr>
              <w:jc w:val="center"/>
              <w:rPr>
                <w:rFonts w:hint="eastAsia" w:ascii="宋体" w:hAnsi="宋体" w:eastAsia="宋体" w:cs="宋体"/>
                <w:i w:val="0"/>
                <w:iCs w:val="0"/>
                <w:color w:val="000000"/>
                <w:sz w:val="22"/>
                <w:szCs w:val="22"/>
                <w:u w:val="none"/>
              </w:rPr>
            </w:pPr>
          </w:p>
        </w:tc>
      </w:tr>
      <w:tr w14:paraId="5230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9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5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3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E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1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C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F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F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7CB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C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5C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1,812.05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92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1,812.05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2F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53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5A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B0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7B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980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F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4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AC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666.14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2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666.14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5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67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92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07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77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C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D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58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AD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B3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9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0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8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64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C8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9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C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6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D8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46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A1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2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A0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9A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3D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4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F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13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621.51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A3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621.51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C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85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CD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93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B7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30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4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E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B3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576.46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3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71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B1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AA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C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06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0E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2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3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C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37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FF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6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50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9E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0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D7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E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B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DB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94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8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2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9F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7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5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4F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FF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5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6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7A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E5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8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1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6F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B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C90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9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7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3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D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F0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98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0E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61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63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8C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1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D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69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9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1D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B0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9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7D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2E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CE8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B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D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C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50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1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1E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8A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12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EC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2A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A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4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D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16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37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32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BA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0A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7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61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F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19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24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95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4C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75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06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20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C3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3B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DB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1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A3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B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FA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E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E1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1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D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CE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9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6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8A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A4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A8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79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1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D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6A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B3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1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8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C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CE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93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81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E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E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2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09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E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0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83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94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C1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7B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97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BA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8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73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F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7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8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A6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5C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4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E5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0D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BE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95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6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4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3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59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4D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9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1D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07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E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D9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3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2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84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5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3E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16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63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7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08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78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9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F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41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0D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40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09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2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5B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5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C26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F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F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D9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12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4D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2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4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17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1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EE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B6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2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A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24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5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B8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C9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23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47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7E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8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A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4C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62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45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15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3A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51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9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DD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F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8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86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B0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30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FB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10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0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FC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E9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5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5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BE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102.99</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5D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BD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6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BD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08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21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F7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3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68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7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B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A2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E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C1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6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7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7A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8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F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E3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CD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E6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B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3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74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5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94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62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6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76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F9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0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C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2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2D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9A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A0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2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9E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95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9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3F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3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5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C9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F2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8F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1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D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E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8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76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B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B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33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3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B1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F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5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9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69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4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5F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98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24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E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34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C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F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D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26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D9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0C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A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BB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22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48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5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C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EA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D1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F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DC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B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5E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7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E78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4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4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8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23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97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A9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E7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F4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3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07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1D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C0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A0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E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7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41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85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0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4E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C1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4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B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FF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8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E8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6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6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2D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B8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79A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E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C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精神卫生机构</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D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04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70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81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0F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46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42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207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9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F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E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A6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4C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C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A3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53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56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B6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B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B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6E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7F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D0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D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D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B4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03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8B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A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5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F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DC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D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2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F1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FC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3A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FB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C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9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92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94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18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95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3B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C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8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8C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B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B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E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E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D6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B6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8B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FD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C2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FF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9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0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4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37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F3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40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A4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30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06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CE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6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E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86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FE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0B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8C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D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72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4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53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7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F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13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B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2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53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D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35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3E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A1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B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D1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C4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2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09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22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A1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4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98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FA6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2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1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DD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3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A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A5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E0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ED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34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FF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D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F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55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81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8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D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3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6E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70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FB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1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9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16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43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60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B3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B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06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A3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71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D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B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3B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7C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F6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30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C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3C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3A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7D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3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D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1D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4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36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E7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7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24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89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3F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C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9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1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5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AC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B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B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A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A8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42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7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8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BE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572.68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20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572.68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7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10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B6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1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7D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361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2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D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7A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6A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EA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D2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33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A8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A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18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B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8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9B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2C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6B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E6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B6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DD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B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E9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D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6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7E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68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29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D0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06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7A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F9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84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E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A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67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CA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DB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E8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D1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A1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3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B39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2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9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B8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113.77</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60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E6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F3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9B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E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9B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A5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99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91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B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3E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A8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0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83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5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F7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581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1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A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6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F3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79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2B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4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54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9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E0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51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B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0A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8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61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86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5A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6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1D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21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5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7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33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8C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76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AF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0D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44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4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75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C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F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BE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93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5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A3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50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AB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0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2C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8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4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10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1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6E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60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40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0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97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C9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4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B4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1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C8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88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42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AC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BD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B3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0A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2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3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07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0C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91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5B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4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6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31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37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7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4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FD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8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01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C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5C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B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4F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6B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3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F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E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4B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79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E2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9B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72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6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53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9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9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5A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CF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CC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5B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71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8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AA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E32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5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6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88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9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51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73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39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F3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D2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FA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8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1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B4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2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1C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63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09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C4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2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09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E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2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资源勘探开发</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E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0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C6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E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41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35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6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0F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A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B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其他资源勘探业支出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DF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9E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1D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C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B8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CF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F8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C2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5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5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A1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25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64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36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D3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51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B4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A9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0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0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C4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91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92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EA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5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7B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F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87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1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C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3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1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75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0B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A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51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7F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92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C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F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2E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2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F8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9B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80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A2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5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AE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04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A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8C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78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B8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8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26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9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B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D7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6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C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5F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64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2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62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8C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56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D1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42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A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8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F1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E4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6A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70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A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2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13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32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9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1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2A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40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0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AE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0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5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02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19E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0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1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DB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91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2D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7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0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15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D6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5B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8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A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3D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14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7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93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98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29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99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05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2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99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8E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E7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A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EA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FC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A1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4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7E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8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6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13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0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05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93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1D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9A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61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51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F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4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0D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4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55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8E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48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44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2C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FC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8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4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E6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B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7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4D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99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B0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A5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81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5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D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55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5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24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20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0D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C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2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67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A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D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自然灾害救灾补助</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1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4A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03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02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9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DA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4E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64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0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2240704</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8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自然灾害灾后重建补助</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36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76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3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C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04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12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E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C4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8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2240799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6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其他自然灾害救灾及恢复重建支出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2F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67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8C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0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7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5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C4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E8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A2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D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23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0B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DF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9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25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5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6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05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6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7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B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B5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E1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24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B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09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6E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23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3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bookmarkStart w:id="0" w:name="OLE_LINK1"/>
            <w:r>
              <w:rPr>
                <w:rFonts w:hint="eastAsia" w:ascii="宋体" w:hAnsi="宋体" w:eastAsia="宋体" w:cs="宋体"/>
                <w:i w:val="0"/>
                <w:iCs w:val="0"/>
                <w:color w:val="000000"/>
                <w:kern w:val="0"/>
                <w:sz w:val="22"/>
                <w:szCs w:val="22"/>
                <w:u w:val="none"/>
                <w:lang w:val="en-US" w:eastAsia="zh-CN" w:bidi="ar"/>
              </w:rPr>
              <w:t>2296002</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2F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2F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C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FA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6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41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54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C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74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64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3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5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53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26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1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BF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CB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1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74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bookmarkEnd w:id="0"/>
      <w:tr w14:paraId="75B0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5364" w:type="dxa"/>
            <w:gridSpan w:val="11"/>
            <w:tcBorders>
              <w:top w:val="nil"/>
              <w:left w:val="nil"/>
              <w:bottom w:val="nil"/>
              <w:right w:val="nil"/>
            </w:tcBorders>
            <w:shd w:val="clear" w:color="auto" w:fill="auto"/>
            <w:noWrap/>
            <w:vAlign w:val="center"/>
          </w:tcPr>
          <w:p w14:paraId="0F262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5B58A9DA">
      <w:pPr>
        <w:widowControl/>
        <w:jc w:val="center"/>
        <w:rPr>
          <w:rFonts w:hint="eastAsia" w:ascii="Times New Roman" w:hAnsi="Times New Roman" w:eastAsia="方正小标宋_GBK" w:cs="Times New Roman"/>
          <w:color w:val="000000"/>
          <w:kern w:val="0"/>
          <w:sz w:val="36"/>
          <w:szCs w:val="36"/>
        </w:rPr>
      </w:pPr>
    </w:p>
    <w:p w14:paraId="0D8AC5F5">
      <w:pPr>
        <w:widowControl/>
        <w:jc w:val="center"/>
        <w:rPr>
          <w:rFonts w:hint="eastAsia" w:ascii="Times New Roman" w:hAnsi="Times New Roman" w:eastAsia="方正小标宋_GBK" w:cs="Times New Roman"/>
          <w:color w:val="000000"/>
          <w:kern w:val="0"/>
          <w:sz w:val="36"/>
          <w:szCs w:val="36"/>
        </w:rPr>
      </w:pPr>
    </w:p>
    <w:p w14:paraId="09DD5038">
      <w:pPr>
        <w:widowControl/>
        <w:jc w:val="center"/>
        <w:rPr>
          <w:rFonts w:hint="eastAsia" w:ascii="Times New Roman" w:hAnsi="Times New Roman" w:eastAsia="方正小标宋_GBK" w:cs="Times New Roman"/>
          <w:color w:val="000000"/>
          <w:kern w:val="0"/>
          <w:sz w:val="36"/>
          <w:szCs w:val="36"/>
        </w:rPr>
      </w:pPr>
    </w:p>
    <w:p w14:paraId="1BDB7534">
      <w:pPr>
        <w:widowControl/>
        <w:jc w:val="center"/>
        <w:rPr>
          <w:rFonts w:hint="eastAsia" w:ascii="Times New Roman" w:hAnsi="Times New Roman" w:eastAsia="方正小标宋_GBK" w:cs="Times New Roman"/>
          <w:color w:val="000000"/>
          <w:kern w:val="0"/>
          <w:sz w:val="36"/>
          <w:szCs w:val="36"/>
        </w:rPr>
      </w:pPr>
    </w:p>
    <w:p w14:paraId="2ED88BAB">
      <w:pPr>
        <w:widowControl/>
        <w:jc w:val="center"/>
        <w:rPr>
          <w:rFonts w:hint="eastAsia" w:ascii="Times New Roman" w:hAnsi="Times New Roman" w:eastAsia="方正小标宋_GBK" w:cs="Times New Roman"/>
          <w:color w:val="000000"/>
          <w:kern w:val="0"/>
          <w:sz w:val="36"/>
          <w:szCs w:val="36"/>
        </w:rPr>
      </w:pPr>
    </w:p>
    <w:p w14:paraId="2911FDDA">
      <w:pPr>
        <w:widowControl/>
        <w:jc w:val="center"/>
        <w:rPr>
          <w:rFonts w:hint="eastAsia" w:ascii="Times New Roman" w:hAnsi="Times New Roman" w:eastAsia="方正小标宋_GBK" w:cs="Times New Roman"/>
          <w:color w:val="000000"/>
          <w:kern w:val="0"/>
          <w:sz w:val="36"/>
          <w:szCs w:val="36"/>
        </w:rPr>
      </w:pPr>
    </w:p>
    <w:p w14:paraId="15B84549">
      <w:pPr>
        <w:widowControl/>
        <w:jc w:val="center"/>
        <w:rPr>
          <w:rFonts w:hint="eastAsia" w:ascii="Times New Roman" w:hAnsi="Times New Roman" w:eastAsia="方正小标宋_GBK" w:cs="Times New Roman"/>
          <w:color w:val="000000"/>
          <w:kern w:val="0"/>
          <w:sz w:val="36"/>
          <w:szCs w:val="36"/>
        </w:rPr>
      </w:pPr>
    </w:p>
    <w:p w14:paraId="332153CC">
      <w:pPr>
        <w:widowControl/>
        <w:jc w:val="center"/>
        <w:rPr>
          <w:rFonts w:hint="eastAsia" w:ascii="Times New Roman" w:hAnsi="Times New Roman" w:eastAsia="方正小标宋_GBK" w:cs="Times New Roman"/>
          <w:color w:val="000000"/>
          <w:kern w:val="0"/>
          <w:sz w:val="36"/>
          <w:szCs w:val="36"/>
        </w:rPr>
      </w:pPr>
    </w:p>
    <w:p w14:paraId="0FBFBCA3">
      <w:pPr>
        <w:widowControl/>
        <w:jc w:val="center"/>
        <w:rPr>
          <w:rFonts w:hint="eastAsia" w:ascii="Times New Roman" w:hAnsi="Times New Roman" w:eastAsia="方正小标宋_GBK" w:cs="Times New Roman"/>
          <w:color w:val="000000"/>
          <w:kern w:val="0"/>
          <w:sz w:val="36"/>
          <w:szCs w:val="36"/>
        </w:rPr>
      </w:pPr>
    </w:p>
    <w:tbl>
      <w:tblPr>
        <w:tblStyle w:val="9"/>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396"/>
        <w:gridCol w:w="1560"/>
        <w:gridCol w:w="1304"/>
        <w:gridCol w:w="1304"/>
        <w:gridCol w:w="1048"/>
        <w:gridCol w:w="1048"/>
        <w:gridCol w:w="1800"/>
      </w:tblGrid>
      <w:tr w14:paraId="3572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center"/>
          </w:tcPr>
          <w:p w14:paraId="5037A469">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672F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78E3FC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D436B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6E330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77F22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91D03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2F93D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C37E8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F7E3D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8742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4D6E1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20DED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42D9466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部门：溆浦县均坪镇人民政府</w:t>
            </w:r>
          </w:p>
        </w:tc>
        <w:tc>
          <w:tcPr>
            <w:tcW w:w="0" w:type="auto"/>
            <w:tcBorders>
              <w:top w:val="nil"/>
              <w:left w:val="nil"/>
              <w:bottom w:val="nil"/>
              <w:right w:val="nil"/>
            </w:tcBorders>
            <w:shd w:val="clear" w:color="auto" w:fill="auto"/>
            <w:noWrap/>
            <w:vAlign w:val="center"/>
          </w:tcPr>
          <w:p w14:paraId="0CE307C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541AD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89E2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B04EE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4256F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347D0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0C8F9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C46A9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AD365F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473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F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C1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BD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D3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C7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7E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E5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573A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AF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3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67BF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74F0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CC9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B607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F270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CE068">
            <w:pPr>
              <w:jc w:val="center"/>
              <w:rPr>
                <w:rFonts w:hint="eastAsia" w:ascii="宋体" w:hAnsi="宋体" w:eastAsia="宋体" w:cs="宋体"/>
                <w:i w:val="0"/>
                <w:iCs w:val="0"/>
                <w:color w:val="000000"/>
                <w:sz w:val="22"/>
                <w:szCs w:val="22"/>
                <w:u w:val="none"/>
              </w:rPr>
            </w:pPr>
          </w:p>
        </w:tc>
      </w:tr>
      <w:tr w14:paraId="1BE1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D75E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D37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B5AC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8C0D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968B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8F6B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FFB7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95A40">
            <w:pPr>
              <w:jc w:val="center"/>
              <w:rPr>
                <w:rFonts w:hint="eastAsia" w:ascii="宋体" w:hAnsi="宋体" w:eastAsia="宋体" w:cs="宋体"/>
                <w:i w:val="0"/>
                <w:iCs w:val="0"/>
                <w:color w:val="000000"/>
                <w:sz w:val="22"/>
                <w:szCs w:val="22"/>
                <w:u w:val="none"/>
              </w:rPr>
            </w:pPr>
          </w:p>
        </w:tc>
      </w:tr>
      <w:tr w14:paraId="04D0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2977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F87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8F0B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282D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49ED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CB2F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D527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5AED6">
            <w:pPr>
              <w:jc w:val="center"/>
              <w:rPr>
                <w:rFonts w:hint="eastAsia" w:ascii="宋体" w:hAnsi="宋体" w:eastAsia="宋体" w:cs="宋体"/>
                <w:i w:val="0"/>
                <w:iCs w:val="0"/>
                <w:color w:val="000000"/>
                <w:sz w:val="22"/>
                <w:szCs w:val="22"/>
                <w:u w:val="none"/>
              </w:rPr>
            </w:pPr>
          </w:p>
        </w:tc>
      </w:tr>
      <w:tr w14:paraId="3A7A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B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3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D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8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0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3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F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FF2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4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DF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F0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69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978.82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37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C4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49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235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5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2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0A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17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0E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E6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F4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54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04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9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3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EA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7B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7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7E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7B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D0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6BD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E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1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41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2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9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D6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2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AD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01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0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9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03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17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D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78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C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BC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CE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1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5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CC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5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B0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AB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2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B0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E3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0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5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6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9B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70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3D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E8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1A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DB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5E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4E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12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A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A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B2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86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7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01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59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0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F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A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8E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D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41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B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FD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6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1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2B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2F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87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0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D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20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A8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2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7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6A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9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5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52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4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7D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59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D3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E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B7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6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EC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C4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3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24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7D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4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9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3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F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8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E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6C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0A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7C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F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0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7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62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B9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D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2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F4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12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1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F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36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9A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BD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F5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C9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AB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C5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0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3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86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DA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7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DB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7B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A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59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8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E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93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D6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B2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2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51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50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71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0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5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E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FC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3D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4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96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CB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67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5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1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85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7A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C0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F8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00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46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6D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6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81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F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5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3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93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B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B0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7EC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E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1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19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31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2E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5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29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42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00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E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5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C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CF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A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44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A1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2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16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C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7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77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D1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B6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90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AF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B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63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0A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8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7A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2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03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AC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0C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3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6A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8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1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F9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DB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21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D8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B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24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CE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9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12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07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2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78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56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33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5A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26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5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3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6B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F9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51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57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D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46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3E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B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3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2D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23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B5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0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84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8A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68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9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D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39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4E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3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C0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14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7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33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D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3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8E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A6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51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5D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D1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A2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B2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D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9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E4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3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7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47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D2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48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3E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C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C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4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88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E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54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C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0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EBA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F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7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36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F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2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9C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5E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9B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E0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7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4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D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00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27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8C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3A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C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18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5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5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DE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6D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0A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0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3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BE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66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C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6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19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7E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0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1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7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F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61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4F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6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97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7C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E2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59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EC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0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3C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8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1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0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D0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2B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4E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71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0D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C24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7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F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6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3A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03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C9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88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D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B1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13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2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62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CB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C8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9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C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ED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24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50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9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96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5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AD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80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6C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9A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D9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66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0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6F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78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67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4D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B9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B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EA8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F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2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B7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D0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D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43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53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A5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29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3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F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3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61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75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3F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75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15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7E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A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7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1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0A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1F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33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3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C6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B7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3C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1A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0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C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A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DF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3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4F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16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8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8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2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44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C1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89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66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03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45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DB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7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12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04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84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E4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3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5B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8D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3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6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C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B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7D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D4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6E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47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F1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6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BF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33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25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43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E4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3D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C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4F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D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B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85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FF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2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D8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93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4B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CC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7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6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C9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B6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42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B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C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C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66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9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8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5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A2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92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B5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CE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1F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2B4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4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4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25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3C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F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7B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C9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91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6D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3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1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D0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E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6A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4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61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9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C7E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2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D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5C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4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E5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CC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0F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D6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74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4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8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08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25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4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80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4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0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09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C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B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5A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B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CB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1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8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F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00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F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C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2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6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64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EB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7E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EB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22A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6C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E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A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59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6F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AF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65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8E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EC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6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9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E8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4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B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53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F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A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8E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B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4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EE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01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4B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47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2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2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F5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E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7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98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13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38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4D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5E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9C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22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F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A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52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8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C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F9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F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EB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C0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8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1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FA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AE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86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AB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5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71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8D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98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7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3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C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8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F9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59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8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49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2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8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F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D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9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89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E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B9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AA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5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6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6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A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9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7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99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7D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25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7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3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44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B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4E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9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F5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8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63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E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3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23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7D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C5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CF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F9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9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83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B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8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37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1E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DB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F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A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58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DD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3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0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48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61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F8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0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EA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99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0C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D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A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41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68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27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9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E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01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AC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A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1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B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AB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D3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65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E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4F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66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F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6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50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06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6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41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2D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F4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07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8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B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4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3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51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26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76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91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9E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4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A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A6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1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6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0C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4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85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F7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9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DE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7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0A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7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4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ED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FA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A9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D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A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C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7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2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79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6A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D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F0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6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3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14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C1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6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7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A8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46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59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6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8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B3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29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D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2E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9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10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34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C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3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B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60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E4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0B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D5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67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01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A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6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65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79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6E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E3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84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FA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FF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A8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D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10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F5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0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2A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D7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E2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CE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F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F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12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F0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6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C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8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AF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F7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39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5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CA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A2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2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8A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E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7B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245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0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9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DE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9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15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B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A0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D9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6E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0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2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1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50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18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E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C9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A7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92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8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5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5A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4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93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71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85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9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BF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1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2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3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F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F9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29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5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5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CC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F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9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80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56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1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B2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C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6A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97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8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C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自然灾害灾后重建补助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8E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5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4E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61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08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D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241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1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3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B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BC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FB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E0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A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74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2D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7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0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F3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C9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58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F8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3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0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10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A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E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EA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8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3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DB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1B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BD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D3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5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3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18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D1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1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98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30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4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72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6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7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8E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30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41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B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70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E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AA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228D1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214FB122">
      <w:pPr>
        <w:widowControl/>
        <w:jc w:val="center"/>
        <w:rPr>
          <w:rFonts w:hint="eastAsia" w:ascii="Times New Roman" w:hAnsi="Times New Roman" w:eastAsia="方正小标宋_GBK" w:cs="Times New Roman"/>
          <w:color w:val="000000"/>
          <w:kern w:val="0"/>
          <w:sz w:val="36"/>
          <w:szCs w:val="36"/>
        </w:rPr>
      </w:pPr>
    </w:p>
    <w:p w14:paraId="74660F6F">
      <w:pPr>
        <w:widowControl/>
        <w:jc w:val="center"/>
        <w:rPr>
          <w:rFonts w:hint="eastAsia" w:ascii="Times New Roman" w:hAnsi="Times New Roman" w:eastAsia="方正小标宋_GBK" w:cs="Times New Roman"/>
          <w:color w:val="000000"/>
          <w:kern w:val="0"/>
          <w:sz w:val="36"/>
          <w:szCs w:val="36"/>
        </w:rPr>
      </w:pPr>
    </w:p>
    <w:p w14:paraId="4D254DE2">
      <w:pPr>
        <w:widowControl/>
        <w:jc w:val="center"/>
        <w:rPr>
          <w:rFonts w:hint="eastAsia" w:ascii="Times New Roman" w:hAnsi="Times New Roman" w:eastAsia="方正小标宋_GBK" w:cs="Times New Roman"/>
          <w:color w:val="000000"/>
          <w:kern w:val="0"/>
          <w:sz w:val="36"/>
          <w:szCs w:val="36"/>
        </w:rPr>
      </w:pPr>
    </w:p>
    <w:p w14:paraId="24D4146A">
      <w:pPr>
        <w:widowControl/>
        <w:jc w:val="center"/>
        <w:rPr>
          <w:rFonts w:hint="eastAsia" w:ascii="Times New Roman" w:hAnsi="Times New Roman" w:eastAsia="方正小标宋_GBK" w:cs="Times New Roman"/>
          <w:color w:val="000000"/>
          <w:kern w:val="0"/>
          <w:sz w:val="36"/>
          <w:szCs w:val="36"/>
        </w:rPr>
      </w:pPr>
    </w:p>
    <w:p w14:paraId="05F95EEB">
      <w:pPr>
        <w:widowControl/>
        <w:jc w:val="center"/>
        <w:rPr>
          <w:rFonts w:hint="eastAsia" w:ascii="Times New Roman" w:hAnsi="Times New Roman" w:eastAsia="方正小标宋_GBK" w:cs="Times New Roman"/>
          <w:color w:val="000000"/>
          <w:kern w:val="0"/>
          <w:sz w:val="36"/>
          <w:szCs w:val="36"/>
        </w:rPr>
      </w:pPr>
    </w:p>
    <w:p w14:paraId="0ECF6742">
      <w:pPr>
        <w:widowControl/>
        <w:jc w:val="center"/>
        <w:rPr>
          <w:rFonts w:hint="eastAsia" w:ascii="Times New Roman" w:hAnsi="Times New Roman" w:eastAsia="方正小标宋_GBK" w:cs="Times New Roman"/>
          <w:color w:val="000000"/>
          <w:kern w:val="0"/>
          <w:sz w:val="36"/>
          <w:szCs w:val="36"/>
        </w:rPr>
      </w:pPr>
    </w:p>
    <w:p w14:paraId="43C21547">
      <w:pPr>
        <w:widowControl/>
        <w:jc w:val="center"/>
        <w:rPr>
          <w:rFonts w:hint="eastAsia" w:ascii="Times New Roman" w:hAnsi="Times New Roman" w:eastAsia="方正小标宋_GBK" w:cs="Times New Roman"/>
          <w:color w:val="000000"/>
          <w:kern w:val="0"/>
          <w:sz w:val="36"/>
          <w:szCs w:val="36"/>
        </w:rPr>
      </w:pPr>
    </w:p>
    <w:p w14:paraId="02FDD83F">
      <w:pPr>
        <w:widowControl/>
        <w:jc w:val="center"/>
        <w:rPr>
          <w:rFonts w:hint="eastAsia" w:ascii="Times New Roman" w:hAnsi="Times New Roman" w:eastAsia="方正小标宋_GBK" w:cs="Times New Roman"/>
          <w:color w:val="000000"/>
          <w:kern w:val="0"/>
          <w:sz w:val="36"/>
          <w:szCs w:val="36"/>
        </w:rPr>
      </w:pPr>
    </w:p>
    <w:p w14:paraId="7B9317E0">
      <w:pPr>
        <w:widowControl/>
        <w:jc w:val="center"/>
        <w:rPr>
          <w:rFonts w:hint="eastAsia" w:ascii="Times New Roman" w:hAnsi="Times New Roman" w:eastAsia="方正小标宋_GBK" w:cs="Times New Roman"/>
          <w:color w:val="000000"/>
          <w:kern w:val="0"/>
          <w:sz w:val="36"/>
          <w:szCs w:val="36"/>
        </w:rPr>
      </w:pPr>
    </w:p>
    <w:p w14:paraId="34891D96">
      <w:pPr>
        <w:widowControl/>
        <w:jc w:val="center"/>
        <w:rPr>
          <w:rFonts w:hint="eastAsia" w:ascii="Times New Roman" w:hAnsi="Times New Roman" w:eastAsia="方正小标宋_GBK" w:cs="Times New Roman"/>
          <w:color w:val="000000"/>
          <w:kern w:val="0"/>
          <w:sz w:val="36"/>
          <w:szCs w:val="36"/>
        </w:rPr>
      </w:pPr>
    </w:p>
    <w:p w14:paraId="1997CAE1">
      <w:pPr>
        <w:widowControl/>
        <w:jc w:val="center"/>
        <w:rPr>
          <w:rFonts w:hint="eastAsia" w:ascii="Times New Roman" w:hAnsi="Times New Roman" w:eastAsia="方正小标宋_GBK" w:cs="Times New Roman"/>
          <w:color w:val="000000"/>
          <w:kern w:val="0"/>
          <w:sz w:val="36"/>
          <w:szCs w:val="36"/>
        </w:rPr>
      </w:pPr>
    </w:p>
    <w:tbl>
      <w:tblPr>
        <w:tblStyle w:val="9"/>
        <w:tblW w:w="15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27"/>
        <w:gridCol w:w="532"/>
        <w:gridCol w:w="1410"/>
        <w:gridCol w:w="4018"/>
        <w:gridCol w:w="532"/>
        <w:gridCol w:w="1193"/>
        <w:gridCol w:w="1410"/>
        <w:gridCol w:w="1134"/>
        <w:gridCol w:w="1884"/>
      </w:tblGrid>
      <w:tr w14:paraId="709F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15840" w:type="dxa"/>
            <w:gridSpan w:val="9"/>
            <w:tcBorders>
              <w:top w:val="nil"/>
              <w:left w:val="nil"/>
              <w:bottom w:val="nil"/>
              <w:right w:val="nil"/>
            </w:tcBorders>
            <w:shd w:val="clear" w:color="auto" w:fill="auto"/>
            <w:noWrap/>
            <w:vAlign w:val="center"/>
          </w:tcPr>
          <w:p w14:paraId="6CAABC7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3C96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0" w:type="auto"/>
            <w:tcBorders>
              <w:top w:val="nil"/>
              <w:left w:val="nil"/>
              <w:bottom w:val="nil"/>
              <w:right w:val="nil"/>
            </w:tcBorders>
            <w:shd w:val="clear" w:color="auto" w:fill="auto"/>
            <w:noWrap/>
            <w:vAlign w:val="center"/>
          </w:tcPr>
          <w:p w14:paraId="771AC1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0C876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05ED4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3EC6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375E1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9D05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F2B16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CF52E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16B2C1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0C93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0" w:type="auto"/>
            <w:tcBorders>
              <w:top w:val="nil"/>
              <w:left w:val="nil"/>
              <w:bottom w:val="nil"/>
              <w:right w:val="nil"/>
            </w:tcBorders>
            <w:shd w:val="clear" w:color="auto" w:fill="auto"/>
            <w:noWrap/>
            <w:vAlign w:val="bottom"/>
          </w:tcPr>
          <w:p w14:paraId="003E64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部门：溆浦县均坪镇人民政府</w:t>
            </w:r>
          </w:p>
        </w:tc>
        <w:tc>
          <w:tcPr>
            <w:tcW w:w="0" w:type="auto"/>
            <w:tcBorders>
              <w:top w:val="nil"/>
              <w:left w:val="nil"/>
              <w:bottom w:val="nil"/>
              <w:right w:val="nil"/>
            </w:tcBorders>
            <w:shd w:val="clear" w:color="auto" w:fill="auto"/>
            <w:noWrap/>
            <w:vAlign w:val="center"/>
          </w:tcPr>
          <w:p w14:paraId="373CF3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A152D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979FB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1E1E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3FF5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A3B68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BE434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FA4D9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9A0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3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0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11B5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F3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89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61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B1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64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1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A9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9B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D1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14B8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3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55CC9">
            <w:pPr>
              <w:jc w:val="center"/>
              <w:rPr>
                <w:rFonts w:hint="eastAsia" w:ascii="宋体" w:hAnsi="宋体" w:eastAsia="宋体" w:cs="宋体"/>
                <w:i w:val="0"/>
                <w:iCs w:val="0"/>
                <w:color w:val="000000"/>
                <w:sz w:val="22"/>
                <w:szCs w:val="22"/>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91DA9">
            <w:pPr>
              <w:jc w:val="center"/>
              <w:rPr>
                <w:rFonts w:hint="eastAsia" w:ascii="宋体" w:hAnsi="宋体" w:eastAsia="宋体" w:cs="宋体"/>
                <w:i w:val="0"/>
                <w:iCs w:val="0"/>
                <w:color w:val="000000"/>
                <w:sz w:val="22"/>
                <w:szCs w:val="2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913A">
            <w:pPr>
              <w:jc w:val="center"/>
              <w:rPr>
                <w:rFonts w:hint="eastAsia" w:ascii="宋体" w:hAnsi="宋体" w:eastAsia="宋体" w:cs="宋体"/>
                <w:i w:val="0"/>
                <w:iCs w:val="0"/>
                <w:color w:val="000000"/>
                <w:sz w:val="22"/>
                <w:szCs w:val="22"/>
                <w:u w:val="none"/>
              </w:rPr>
            </w:pPr>
          </w:p>
        </w:tc>
        <w:tc>
          <w:tcPr>
            <w:tcW w:w="3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845E6">
            <w:pPr>
              <w:jc w:val="center"/>
              <w:rPr>
                <w:rFonts w:hint="eastAsia" w:ascii="宋体" w:hAnsi="宋体" w:eastAsia="宋体" w:cs="宋体"/>
                <w:i w:val="0"/>
                <w:iCs w:val="0"/>
                <w:color w:val="000000"/>
                <w:sz w:val="22"/>
                <w:szCs w:val="22"/>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5CFA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4BE1">
            <w:pPr>
              <w:jc w:val="center"/>
              <w:rPr>
                <w:rFonts w:hint="eastAsia" w:ascii="宋体" w:hAnsi="宋体" w:eastAsia="宋体" w:cs="宋体"/>
                <w:i w:val="0"/>
                <w:iCs w:val="0"/>
                <w:color w:val="000000"/>
                <w:sz w:val="22"/>
                <w:szCs w:val="2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12F42">
            <w:pPr>
              <w:jc w:val="center"/>
              <w:rPr>
                <w:rFonts w:hint="eastAsia" w:ascii="宋体" w:hAnsi="宋体" w:eastAsia="宋体" w:cs="宋体"/>
                <w:i w:val="0"/>
                <w:iCs w:val="0"/>
                <w:color w:val="000000"/>
                <w:sz w:val="22"/>
                <w:szCs w:val="22"/>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B497D">
            <w:pPr>
              <w:jc w:val="center"/>
              <w:rPr>
                <w:rFonts w:hint="eastAsia" w:ascii="宋体" w:hAnsi="宋体" w:eastAsia="宋体" w:cs="宋体"/>
                <w:i w:val="0"/>
                <w:iCs w:val="0"/>
                <w:color w:val="000000"/>
                <w:sz w:val="22"/>
                <w:szCs w:val="22"/>
                <w:u w:val="none"/>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0D37D">
            <w:pPr>
              <w:jc w:val="center"/>
              <w:rPr>
                <w:rFonts w:hint="eastAsia" w:ascii="宋体" w:hAnsi="宋体" w:eastAsia="宋体" w:cs="宋体"/>
                <w:i w:val="0"/>
                <w:iCs w:val="0"/>
                <w:color w:val="000000"/>
                <w:sz w:val="22"/>
                <w:szCs w:val="22"/>
                <w:u w:val="none"/>
              </w:rPr>
            </w:pPr>
          </w:p>
        </w:tc>
      </w:tr>
      <w:tr w14:paraId="0C1B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5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C6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E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C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E2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5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F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F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4AC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6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A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98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0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9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87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6E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0B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7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F08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60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3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06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0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8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1C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58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B9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A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40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E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D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25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2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9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0D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42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8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0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EA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169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E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DA6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35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3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D8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E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0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F3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651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2F9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1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DCA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81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4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71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2A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70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99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F1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01E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4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EAE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B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1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A2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91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4E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8E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088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E38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D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382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E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E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AC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03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DF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47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AA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17F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1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D62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7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9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4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EC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3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0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EA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D0D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8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17E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7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3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A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33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12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81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0B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0AD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8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25B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4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D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9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B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CA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56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B4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DA8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A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EF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99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8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7D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8D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B4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EC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4A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2C7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6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3C6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0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6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CB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E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52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92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4B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64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F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410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C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B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02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0D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89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02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76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410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9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43B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D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D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CD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28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32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BB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16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4D2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A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8E6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1E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B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D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E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5B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4E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F7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A7B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B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EF6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3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4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17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CA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C7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0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7F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54C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9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403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8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6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31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44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63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CC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D3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924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5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F64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E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8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BC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DD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01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1D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6C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31E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6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800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E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4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F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9A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FA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1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E7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EB4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1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3DE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9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C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33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0F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4A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1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F4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DD2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2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19B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2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8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3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DA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5F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D7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10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322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8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395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C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3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8B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8B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6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3A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5B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A61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4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5D8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F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8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1D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DE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3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51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9E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EAC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8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D5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F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B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6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CE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DC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6F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C0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601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F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B68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9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8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09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6F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9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EF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D5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6A0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0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3D6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8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7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AB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9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29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9B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ED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70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F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83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09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8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F0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0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DD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DE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1A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D0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7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35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84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7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A6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E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8F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4A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7D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9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9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CA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E8B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A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91C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74B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5FC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D94C">
            <w:pPr>
              <w:jc w:val="right"/>
              <w:rPr>
                <w:rFonts w:hint="eastAsia" w:ascii="宋体" w:hAnsi="宋体" w:eastAsia="宋体" w:cs="宋体"/>
                <w:i w:val="0"/>
                <w:iCs w:val="0"/>
                <w:color w:val="000000"/>
                <w:sz w:val="22"/>
                <w:szCs w:val="22"/>
                <w:u w:val="none"/>
              </w:rPr>
            </w:pPr>
          </w:p>
        </w:tc>
      </w:tr>
      <w:tr w14:paraId="6852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4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F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2A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DCF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1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09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0A5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3B6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E4AC">
            <w:pPr>
              <w:jc w:val="right"/>
              <w:rPr>
                <w:rFonts w:hint="eastAsia" w:ascii="宋体" w:hAnsi="宋体" w:eastAsia="宋体" w:cs="宋体"/>
                <w:i w:val="0"/>
                <w:iCs w:val="0"/>
                <w:color w:val="000000"/>
                <w:sz w:val="22"/>
                <w:szCs w:val="22"/>
                <w:u w:val="none"/>
              </w:rPr>
            </w:pPr>
          </w:p>
        </w:tc>
      </w:tr>
      <w:tr w14:paraId="2220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0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A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7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A00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5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189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04C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0A6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E4CE">
            <w:pPr>
              <w:jc w:val="right"/>
              <w:rPr>
                <w:rFonts w:hint="eastAsia" w:ascii="宋体" w:hAnsi="宋体" w:eastAsia="宋体" w:cs="宋体"/>
                <w:i w:val="0"/>
                <w:iCs w:val="0"/>
                <w:color w:val="000000"/>
                <w:sz w:val="22"/>
                <w:szCs w:val="22"/>
                <w:u w:val="none"/>
              </w:rPr>
            </w:pPr>
          </w:p>
        </w:tc>
      </w:tr>
      <w:tr w14:paraId="2DBD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21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E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6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FE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8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D2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3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4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5F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62D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gridSpan w:val="8"/>
            <w:tcBorders>
              <w:top w:val="nil"/>
              <w:left w:val="nil"/>
              <w:bottom w:val="nil"/>
              <w:right w:val="nil"/>
            </w:tcBorders>
            <w:shd w:val="clear" w:color="auto" w:fill="auto"/>
            <w:noWrap/>
            <w:vAlign w:val="center"/>
          </w:tcPr>
          <w:p w14:paraId="1383E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196A2BA5">
            <w:pPr>
              <w:jc w:val="left"/>
              <w:rPr>
                <w:rFonts w:hint="eastAsia" w:ascii="宋体" w:hAnsi="宋体" w:eastAsia="宋体" w:cs="宋体"/>
                <w:i w:val="0"/>
                <w:iCs w:val="0"/>
                <w:color w:val="000000"/>
                <w:sz w:val="20"/>
                <w:szCs w:val="20"/>
                <w:u w:val="none"/>
              </w:rPr>
            </w:pPr>
          </w:p>
        </w:tc>
      </w:tr>
    </w:tbl>
    <w:p w14:paraId="7920964D">
      <w:pPr>
        <w:widowControl/>
        <w:jc w:val="center"/>
        <w:rPr>
          <w:rFonts w:hint="eastAsia" w:ascii="Times New Roman" w:hAnsi="Times New Roman" w:eastAsia="方正小标宋_GBK" w:cs="Times New Roman"/>
          <w:color w:val="000000"/>
          <w:kern w:val="0"/>
          <w:sz w:val="36"/>
          <w:szCs w:val="36"/>
        </w:rPr>
      </w:pPr>
    </w:p>
    <w:p w14:paraId="42750A53">
      <w:pPr>
        <w:widowControl/>
        <w:jc w:val="center"/>
        <w:rPr>
          <w:rFonts w:hint="eastAsia" w:ascii="Times New Roman" w:hAnsi="Times New Roman" w:eastAsia="方正小标宋_GBK" w:cs="Times New Roman"/>
          <w:color w:val="000000"/>
          <w:kern w:val="0"/>
          <w:sz w:val="36"/>
          <w:szCs w:val="36"/>
        </w:rPr>
      </w:pPr>
    </w:p>
    <w:p w14:paraId="5E9F317F">
      <w:pPr>
        <w:widowControl/>
        <w:jc w:val="center"/>
        <w:rPr>
          <w:rFonts w:hint="eastAsia" w:ascii="Times New Roman" w:hAnsi="Times New Roman" w:eastAsia="方正小标宋_GBK" w:cs="Times New Roman"/>
          <w:color w:val="000000"/>
          <w:kern w:val="0"/>
          <w:sz w:val="36"/>
          <w:szCs w:val="36"/>
        </w:rPr>
      </w:pPr>
    </w:p>
    <w:p w14:paraId="11770847">
      <w:pPr>
        <w:widowControl/>
        <w:jc w:val="center"/>
        <w:rPr>
          <w:rFonts w:hint="eastAsia" w:ascii="Times New Roman" w:hAnsi="Times New Roman" w:eastAsia="方正小标宋_GBK" w:cs="Times New Roman"/>
          <w:color w:val="000000"/>
          <w:kern w:val="0"/>
          <w:sz w:val="36"/>
          <w:szCs w:val="36"/>
        </w:rPr>
      </w:pPr>
    </w:p>
    <w:p w14:paraId="1784C4A4">
      <w:pPr>
        <w:widowControl/>
        <w:jc w:val="center"/>
        <w:rPr>
          <w:rFonts w:hint="eastAsia" w:ascii="Times New Roman" w:hAnsi="Times New Roman" w:eastAsia="方正小标宋_GBK" w:cs="Times New Roman"/>
          <w:color w:val="000000"/>
          <w:kern w:val="0"/>
          <w:sz w:val="36"/>
          <w:szCs w:val="36"/>
        </w:rPr>
      </w:pPr>
    </w:p>
    <w:p w14:paraId="76CD1C58">
      <w:pPr>
        <w:widowControl/>
        <w:jc w:val="center"/>
        <w:rPr>
          <w:rFonts w:hint="eastAsia" w:ascii="Times New Roman" w:hAnsi="Times New Roman" w:eastAsia="方正小标宋_GBK" w:cs="Times New Roman"/>
          <w:color w:val="000000"/>
          <w:kern w:val="0"/>
          <w:sz w:val="36"/>
          <w:szCs w:val="36"/>
        </w:rPr>
      </w:pPr>
    </w:p>
    <w:p w14:paraId="500DDBAD">
      <w:pPr>
        <w:widowControl/>
        <w:jc w:val="center"/>
        <w:rPr>
          <w:rFonts w:hint="eastAsia" w:ascii="Times New Roman" w:hAnsi="Times New Roman" w:eastAsia="方正小标宋_GBK" w:cs="Times New Roman"/>
          <w:color w:val="000000"/>
          <w:kern w:val="0"/>
          <w:sz w:val="36"/>
          <w:szCs w:val="36"/>
        </w:rPr>
      </w:pPr>
    </w:p>
    <w:p w14:paraId="13FB3261">
      <w:pPr>
        <w:widowControl/>
        <w:jc w:val="center"/>
        <w:rPr>
          <w:rFonts w:hint="eastAsia" w:ascii="Times New Roman" w:hAnsi="Times New Roman" w:eastAsia="方正小标宋_GBK" w:cs="Times New Roman"/>
          <w:color w:val="000000"/>
          <w:kern w:val="0"/>
          <w:sz w:val="36"/>
          <w:szCs w:val="36"/>
        </w:rPr>
      </w:pPr>
    </w:p>
    <w:p w14:paraId="7A268EF9">
      <w:pPr>
        <w:widowControl/>
        <w:jc w:val="center"/>
        <w:rPr>
          <w:rFonts w:hint="eastAsia" w:ascii="Times New Roman" w:hAnsi="Times New Roman" w:eastAsia="方正小标宋_GBK" w:cs="Times New Roman"/>
          <w:color w:val="000000"/>
          <w:kern w:val="0"/>
          <w:sz w:val="36"/>
          <w:szCs w:val="36"/>
        </w:rPr>
      </w:pPr>
    </w:p>
    <w:p w14:paraId="0D099E94">
      <w:pPr>
        <w:widowControl/>
        <w:jc w:val="center"/>
        <w:rPr>
          <w:rFonts w:hint="eastAsia" w:ascii="Times New Roman" w:hAnsi="Times New Roman" w:eastAsia="方正小标宋_GBK" w:cs="Times New Roman"/>
          <w:color w:val="000000"/>
          <w:kern w:val="0"/>
          <w:sz w:val="36"/>
          <w:szCs w:val="36"/>
        </w:rPr>
      </w:pPr>
    </w:p>
    <w:p w14:paraId="46091490">
      <w:pPr>
        <w:widowControl/>
        <w:jc w:val="center"/>
        <w:rPr>
          <w:rFonts w:hint="eastAsia" w:ascii="Times New Roman" w:hAnsi="Times New Roman" w:eastAsia="方正小标宋_GBK" w:cs="Times New Roman"/>
          <w:color w:val="000000"/>
          <w:kern w:val="0"/>
          <w:sz w:val="36"/>
          <w:szCs w:val="36"/>
        </w:rPr>
      </w:pPr>
    </w:p>
    <w:p w14:paraId="2EFF1E35">
      <w:pPr>
        <w:widowControl/>
        <w:jc w:val="center"/>
        <w:rPr>
          <w:rFonts w:hint="eastAsia" w:ascii="Times New Roman" w:hAnsi="Times New Roman" w:eastAsia="方正小标宋_GBK" w:cs="Times New Roman"/>
          <w:color w:val="000000"/>
          <w:kern w:val="0"/>
          <w:sz w:val="36"/>
          <w:szCs w:val="36"/>
        </w:rPr>
      </w:pPr>
    </w:p>
    <w:tbl>
      <w:tblPr>
        <w:tblStyle w:val="9"/>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396"/>
        <w:gridCol w:w="1237"/>
        <w:gridCol w:w="1007"/>
        <w:gridCol w:w="1770"/>
      </w:tblGrid>
      <w:tr w14:paraId="6E4C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center"/>
          </w:tcPr>
          <w:p w14:paraId="1499E77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7153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276B2C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C4BAC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7621D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4E96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5A2B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72856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9B9CC7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1999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BD340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部门：溆浦县均坪镇人民政府</w:t>
            </w:r>
          </w:p>
        </w:tc>
        <w:tc>
          <w:tcPr>
            <w:tcW w:w="0" w:type="auto"/>
            <w:tcBorders>
              <w:top w:val="nil"/>
              <w:left w:val="nil"/>
              <w:bottom w:val="nil"/>
              <w:right w:val="nil"/>
            </w:tcBorders>
            <w:shd w:val="clear" w:color="auto" w:fill="auto"/>
            <w:noWrap/>
            <w:vAlign w:val="center"/>
          </w:tcPr>
          <w:p w14:paraId="154E72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BDE2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D43FB0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09BF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823E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CB543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C08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E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BF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EF6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38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E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2C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67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3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6CE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F2F2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E335">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162B5">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96AEC">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E097C">
            <w:pPr>
              <w:jc w:val="center"/>
              <w:rPr>
                <w:rFonts w:hint="eastAsia" w:ascii="宋体" w:hAnsi="宋体" w:eastAsia="宋体" w:cs="宋体"/>
                <w:i w:val="0"/>
                <w:iCs w:val="0"/>
                <w:color w:val="000000"/>
                <w:sz w:val="22"/>
                <w:szCs w:val="22"/>
                <w:u w:val="none"/>
              </w:rPr>
            </w:pPr>
          </w:p>
        </w:tc>
      </w:tr>
      <w:tr w14:paraId="10D5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2234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FF51">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70762">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53D0A">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C20AD">
            <w:pPr>
              <w:jc w:val="center"/>
              <w:rPr>
                <w:rFonts w:hint="eastAsia" w:ascii="宋体" w:hAnsi="宋体" w:eastAsia="宋体" w:cs="宋体"/>
                <w:i w:val="0"/>
                <w:iCs w:val="0"/>
                <w:color w:val="000000"/>
                <w:sz w:val="22"/>
                <w:szCs w:val="22"/>
                <w:u w:val="none"/>
              </w:rPr>
            </w:pPr>
          </w:p>
        </w:tc>
      </w:tr>
      <w:tr w14:paraId="31FA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A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3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A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A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DB3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4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82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C7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08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947.84</w:t>
            </w:r>
          </w:p>
        </w:tc>
      </w:tr>
      <w:tr w14:paraId="467F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0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8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5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83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53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43.06</w:t>
            </w:r>
          </w:p>
        </w:tc>
      </w:tr>
      <w:tr w14:paraId="5E6B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5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1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0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9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AB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73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C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49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4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D7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A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AB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5D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5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F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9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BC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r>
      <w:tr w14:paraId="7B5D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4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5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11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4C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6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91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DE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EA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48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BF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0F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r>
      <w:tr w14:paraId="6282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A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E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C5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BB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59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41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6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1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16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2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3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2E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7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D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66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FD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C2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3C101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F2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D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A3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7B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25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95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3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EA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26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4B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70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2658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E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4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AA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39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9E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6167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E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0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9C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ED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7C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2529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2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E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2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38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F6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5FF5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A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5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F5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D8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27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0C0E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A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3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6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3B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CB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C82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3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A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3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9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61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E8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6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7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1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3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9B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r>
      <w:tr w14:paraId="6B2B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D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D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CB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7F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EF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r>
      <w:tr w14:paraId="6ECF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3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E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8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BE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90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r>
      <w:tr w14:paraId="76AA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3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E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BE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89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8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A2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2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1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9F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60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5A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70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90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3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F9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02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E1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C7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1F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2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82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1B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44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3A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9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B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C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1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F6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3C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5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4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B1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71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5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63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B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9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A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1D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52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BB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7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4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8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4E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08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96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6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0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C3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B4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18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2BC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3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C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7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F0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BD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EC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3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8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36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9F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3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79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0C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1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C0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8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7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88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18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C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21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8D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5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ED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F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6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76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D0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E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A4D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4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D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0C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27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4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3D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0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D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2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DA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85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64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3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9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FB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3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8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E9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3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A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10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3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AF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65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8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2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4B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9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8D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3A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9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3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95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FA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04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8B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2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5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93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EF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0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B4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1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3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C8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5F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8B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E9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7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9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7C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C9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C5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30EB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D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B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A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BE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C1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F2A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B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7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F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0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9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7749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1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3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C9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C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5F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r>
      <w:tr w14:paraId="5C74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3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C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0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68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84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r>
      <w:tr w14:paraId="013D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6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36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5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A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C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14:paraId="1F2C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8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1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BF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A0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9A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0B28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D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1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7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EE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2F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14:paraId="0E11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1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CF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5F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24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27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14:paraId="1C73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9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A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9F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FC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65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572.68</w:t>
            </w:r>
          </w:p>
        </w:tc>
      </w:tr>
      <w:tr w14:paraId="59F0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D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1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ED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00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6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r>
      <w:tr w14:paraId="1849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C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8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3A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8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D8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4FE89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C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F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F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6A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4D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r>
      <w:tr w14:paraId="660B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9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F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66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1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14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0323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3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A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AF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7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B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113.77</w:t>
            </w:r>
          </w:p>
        </w:tc>
      </w:tr>
      <w:tr w14:paraId="2FC9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CD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1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9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B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35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91.00</w:t>
            </w:r>
          </w:p>
        </w:tc>
      </w:tr>
      <w:tr w14:paraId="3BAD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8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C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8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86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70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r>
      <w:tr w14:paraId="3B2F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6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9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BA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BE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1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4D20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1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1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7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3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E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r>
      <w:tr w14:paraId="3394D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B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5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81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1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9D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111.46</w:t>
            </w:r>
          </w:p>
        </w:tc>
      </w:tr>
      <w:tr w14:paraId="62BC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4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8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90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4F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EB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71.00</w:t>
            </w:r>
          </w:p>
        </w:tc>
      </w:tr>
      <w:tr w14:paraId="6729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7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3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4E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2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F1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31.16</w:t>
            </w:r>
          </w:p>
        </w:tc>
      </w:tr>
      <w:tr w14:paraId="4D44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1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7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56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DD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45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r>
      <w:tr w14:paraId="4A3E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E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B9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F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0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F7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309.54</w:t>
            </w:r>
          </w:p>
        </w:tc>
      </w:tr>
      <w:tr w14:paraId="1B40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8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1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9A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9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67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309.54</w:t>
            </w:r>
          </w:p>
        </w:tc>
      </w:tr>
      <w:tr w14:paraId="722D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1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9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E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1D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0D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D65E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D1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7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46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A6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A2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A7F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2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9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35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A9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33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r>
      <w:tr w14:paraId="1D0C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E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2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AF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8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4C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r>
      <w:tr w14:paraId="0D15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D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3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5A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A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6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r>
      <w:tr w14:paraId="1EDA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C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2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E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6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9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591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3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3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30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36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37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2FE43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8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2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FD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BC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E8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A88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FF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D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F1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F6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C4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FB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4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0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B8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74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0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9F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7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17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E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9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04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D4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0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3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51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0A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68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225D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A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7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78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65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6D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FC4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37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9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E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AF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AD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7240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C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1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A1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FE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D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202.58</w:t>
            </w:r>
          </w:p>
        </w:tc>
      </w:tr>
      <w:tr w14:paraId="5D96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6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A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6B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8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FC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36C4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5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E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C8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9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3F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7895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BE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8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FF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79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A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r>
      <w:tr w14:paraId="51D53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D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5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ED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86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D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r>
      <w:tr w14:paraId="3878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9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1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F4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2D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1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w:t>
            </w:r>
          </w:p>
        </w:tc>
      </w:tr>
      <w:tr w14:paraId="348A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1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F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8C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2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1C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6ECCE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9A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04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自然灾害灾后重建补助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30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9F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A4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r>
      <w:tr w14:paraId="433F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A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66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20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81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47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172C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7C04E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2B417FEC">
      <w:pPr>
        <w:widowControl/>
        <w:jc w:val="center"/>
        <w:rPr>
          <w:rFonts w:hint="eastAsia" w:ascii="Times New Roman" w:hAnsi="Times New Roman" w:eastAsia="方正小标宋_GBK" w:cs="Times New Roman"/>
          <w:color w:val="000000"/>
          <w:kern w:val="0"/>
          <w:sz w:val="36"/>
          <w:szCs w:val="36"/>
        </w:rPr>
      </w:pPr>
    </w:p>
    <w:p w14:paraId="0BFC8332">
      <w:pPr>
        <w:widowControl/>
        <w:jc w:val="center"/>
        <w:rPr>
          <w:rFonts w:hint="eastAsia" w:ascii="Times New Roman" w:hAnsi="Times New Roman" w:eastAsia="方正小标宋_GBK" w:cs="Times New Roman"/>
          <w:color w:val="000000"/>
          <w:kern w:val="0"/>
          <w:sz w:val="36"/>
          <w:szCs w:val="36"/>
        </w:rPr>
      </w:pPr>
    </w:p>
    <w:p w14:paraId="316D9DA5">
      <w:pPr>
        <w:widowControl/>
        <w:jc w:val="center"/>
        <w:rPr>
          <w:rFonts w:hint="eastAsia" w:ascii="Times New Roman" w:hAnsi="Times New Roman" w:eastAsia="方正小标宋_GBK" w:cs="Times New Roman"/>
          <w:color w:val="000000"/>
          <w:kern w:val="0"/>
          <w:sz w:val="36"/>
          <w:szCs w:val="36"/>
        </w:rPr>
      </w:pPr>
    </w:p>
    <w:p w14:paraId="05363676">
      <w:pPr>
        <w:widowControl/>
        <w:jc w:val="center"/>
        <w:rPr>
          <w:rFonts w:hint="eastAsia" w:ascii="Times New Roman" w:hAnsi="Times New Roman" w:eastAsia="方正小标宋_GBK" w:cs="Times New Roman"/>
          <w:color w:val="000000"/>
          <w:kern w:val="0"/>
          <w:sz w:val="36"/>
          <w:szCs w:val="36"/>
        </w:rPr>
      </w:pPr>
    </w:p>
    <w:p w14:paraId="6C1949D8">
      <w:pPr>
        <w:widowControl/>
        <w:jc w:val="center"/>
        <w:rPr>
          <w:rFonts w:hint="eastAsia" w:ascii="Times New Roman" w:hAnsi="Times New Roman" w:eastAsia="方正小标宋_GBK" w:cs="Times New Roman"/>
          <w:color w:val="000000"/>
          <w:kern w:val="0"/>
          <w:sz w:val="36"/>
          <w:szCs w:val="36"/>
        </w:rPr>
      </w:pPr>
    </w:p>
    <w:p w14:paraId="1FF93581">
      <w:pPr>
        <w:widowControl/>
        <w:jc w:val="center"/>
        <w:rPr>
          <w:rFonts w:hint="eastAsia" w:ascii="Times New Roman" w:hAnsi="Times New Roman" w:eastAsia="方正小标宋_GBK" w:cs="Times New Roman"/>
          <w:color w:val="000000"/>
          <w:kern w:val="0"/>
          <w:sz w:val="36"/>
          <w:szCs w:val="36"/>
        </w:rPr>
      </w:pPr>
    </w:p>
    <w:p w14:paraId="4859535F">
      <w:pPr>
        <w:widowControl/>
        <w:jc w:val="center"/>
        <w:rPr>
          <w:rFonts w:hint="eastAsia" w:ascii="Times New Roman" w:hAnsi="Times New Roman" w:eastAsia="方正小标宋_GBK" w:cs="Times New Roman"/>
          <w:color w:val="000000"/>
          <w:kern w:val="0"/>
          <w:sz w:val="36"/>
          <w:szCs w:val="36"/>
        </w:rPr>
      </w:pPr>
    </w:p>
    <w:p w14:paraId="66301CCB">
      <w:pPr>
        <w:widowControl/>
        <w:jc w:val="center"/>
        <w:rPr>
          <w:rFonts w:hint="eastAsia" w:ascii="Times New Roman" w:hAnsi="Times New Roman" w:eastAsia="方正小标宋_GBK" w:cs="Times New Roman"/>
          <w:color w:val="000000"/>
          <w:kern w:val="0"/>
          <w:sz w:val="36"/>
          <w:szCs w:val="36"/>
        </w:rPr>
      </w:pPr>
    </w:p>
    <w:p w14:paraId="610E5887">
      <w:pPr>
        <w:widowControl/>
        <w:jc w:val="center"/>
        <w:rPr>
          <w:rFonts w:hint="eastAsia" w:ascii="Times New Roman" w:hAnsi="Times New Roman" w:eastAsia="方正小标宋_GBK" w:cs="Times New Roman"/>
          <w:color w:val="000000"/>
          <w:kern w:val="0"/>
          <w:sz w:val="36"/>
          <w:szCs w:val="36"/>
        </w:rPr>
      </w:pPr>
    </w:p>
    <w:p w14:paraId="09D46877">
      <w:pPr>
        <w:widowControl/>
        <w:jc w:val="center"/>
        <w:rPr>
          <w:rFonts w:hint="eastAsia" w:ascii="Times New Roman" w:hAnsi="Times New Roman" w:eastAsia="方正小标宋_GBK" w:cs="Times New Roman"/>
          <w:color w:val="000000"/>
          <w:kern w:val="0"/>
          <w:sz w:val="36"/>
          <w:szCs w:val="36"/>
        </w:rPr>
      </w:pPr>
    </w:p>
    <w:p w14:paraId="116A19E4">
      <w:pPr>
        <w:widowControl/>
        <w:jc w:val="center"/>
        <w:rPr>
          <w:rFonts w:hint="eastAsia" w:ascii="Times New Roman" w:hAnsi="Times New Roman" w:eastAsia="方正小标宋_GBK" w:cs="Times New Roman"/>
          <w:color w:val="000000"/>
          <w:kern w:val="0"/>
          <w:sz w:val="36"/>
          <w:szCs w:val="36"/>
        </w:rPr>
      </w:pPr>
    </w:p>
    <w:p w14:paraId="333A6C99">
      <w:pPr>
        <w:widowControl/>
        <w:jc w:val="center"/>
        <w:rPr>
          <w:rFonts w:hint="eastAsia" w:ascii="Times New Roman" w:hAnsi="Times New Roman" w:eastAsia="方正小标宋_GBK" w:cs="Times New Roman"/>
          <w:color w:val="000000"/>
          <w:kern w:val="0"/>
          <w:sz w:val="36"/>
          <w:szCs w:val="36"/>
        </w:rPr>
      </w:pPr>
    </w:p>
    <w:p w14:paraId="30C1A99B">
      <w:pPr>
        <w:widowControl/>
        <w:jc w:val="center"/>
        <w:rPr>
          <w:rFonts w:hint="eastAsia" w:ascii="Times New Roman" w:hAnsi="Times New Roman" w:eastAsia="方正小标宋_GBK" w:cs="Times New Roman"/>
          <w:color w:val="000000"/>
          <w:kern w:val="0"/>
          <w:sz w:val="36"/>
          <w:szCs w:val="36"/>
        </w:rPr>
      </w:pPr>
    </w:p>
    <w:p w14:paraId="38454EEA">
      <w:pPr>
        <w:widowControl/>
        <w:jc w:val="center"/>
        <w:rPr>
          <w:rFonts w:hint="eastAsia" w:ascii="Times New Roman" w:hAnsi="Times New Roman" w:eastAsia="方正小标宋_GBK" w:cs="Times New Roman"/>
          <w:color w:val="000000"/>
          <w:kern w:val="0"/>
          <w:sz w:val="36"/>
          <w:szCs w:val="36"/>
        </w:rPr>
      </w:pPr>
    </w:p>
    <w:tbl>
      <w:tblPr>
        <w:tblStyle w:val="9"/>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41"/>
        <w:gridCol w:w="3074"/>
        <w:gridCol w:w="982"/>
        <w:gridCol w:w="850"/>
        <w:gridCol w:w="1912"/>
        <w:gridCol w:w="1005"/>
        <w:gridCol w:w="917"/>
        <w:gridCol w:w="3233"/>
        <w:gridCol w:w="1307"/>
      </w:tblGrid>
      <w:tr w14:paraId="3156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15521" w:type="dxa"/>
            <w:gridSpan w:val="9"/>
            <w:tcBorders>
              <w:top w:val="nil"/>
              <w:left w:val="nil"/>
              <w:bottom w:val="nil"/>
              <w:right w:val="nil"/>
            </w:tcBorders>
            <w:shd w:val="clear" w:color="auto" w:fill="auto"/>
            <w:noWrap/>
            <w:vAlign w:val="center"/>
          </w:tcPr>
          <w:p w14:paraId="1DD54664">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1732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241" w:type="dxa"/>
            <w:tcBorders>
              <w:top w:val="nil"/>
              <w:left w:val="nil"/>
              <w:bottom w:val="nil"/>
              <w:right w:val="nil"/>
            </w:tcBorders>
            <w:shd w:val="clear" w:color="auto" w:fill="auto"/>
            <w:noWrap/>
            <w:vAlign w:val="center"/>
          </w:tcPr>
          <w:p w14:paraId="17D82A16">
            <w:pPr>
              <w:rPr>
                <w:rFonts w:hint="eastAsia" w:ascii="宋体" w:hAnsi="宋体" w:eastAsia="宋体" w:cs="宋体"/>
                <w:i w:val="0"/>
                <w:iCs w:val="0"/>
                <w:color w:val="000000"/>
                <w:sz w:val="22"/>
                <w:szCs w:val="22"/>
                <w:u w:val="none"/>
              </w:rPr>
            </w:pPr>
          </w:p>
        </w:tc>
        <w:tc>
          <w:tcPr>
            <w:tcW w:w="3074" w:type="dxa"/>
            <w:tcBorders>
              <w:top w:val="nil"/>
              <w:left w:val="nil"/>
              <w:bottom w:val="nil"/>
              <w:right w:val="nil"/>
            </w:tcBorders>
            <w:shd w:val="clear" w:color="auto" w:fill="auto"/>
            <w:noWrap/>
            <w:vAlign w:val="center"/>
          </w:tcPr>
          <w:p w14:paraId="3BBFBBF5">
            <w:pPr>
              <w:rPr>
                <w:rFonts w:hint="eastAsia" w:ascii="宋体" w:hAnsi="宋体" w:eastAsia="宋体" w:cs="宋体"/>
                <w:i w:val="0"/>
                <w:iCs w:val="0"/>
                <w:color w:val="000000"/>
                <w:sz w:val="22"/>
                <w:szCs w:val="22"/>
                <w:u w:val="none"/>
              </w:rPr>
            </w:pPr>
          </w:p>
        </w:tc>
        <w:tc>
          <w:tcPr>
            <w:tcW w:w="982" w:type="dxa"/>
            <w:tcBorders>
              <w:top w:val="nil"/>
              <w:left w:val="nil"/>
              <w:bottom w:val="nil"/>
              <w:right w:val="nil"/>
            </w:tcBorders>
            <w:shd w:val="clear" w:color="auto" w:fill="auto"/>
            <w:noWrap/>
            <w:vAlign w:val="center"/>
          </w:tcPr>
          <w:p w14:paraId="72DCD383">
            <w:pPr>
              <w:rPr>
                <w:rFonts w:hint="eastAsia" w:ascii="宋体" w:hAnsi="宋体" w:eastAsia="宋体" w:cs="宋体"/>
                <w:i w:val="0"/>
                <w:iCs w:val="0"/>
                <w:color w:val="000000"/>
                <w:sz w:val="22"/>
                <w:szCs w:val="22"/>
                <w:u w:val="none"/>
              </w:rPr>
            </w:pPr>
          </w:p>
        </w:tc>
        <w:tc>
          <w:tcPr>
            <w:tcW w:w="850" w:type="dxa"/>
            <w:tcBorders>
              <w:top w:val="nil"/>
              <w:left w:val="nil"/>
              <w:bottom w:val="nil"/>
              <w:right w:val="nil"/>
            </w:tcBorders>
            <w:shd w:val="clear" w:color="auto" w:fill="auto"/>
            <w:noWrap/>
            <w:vAlign w:val="center"/>
          </w:tcPr>
          <w:p w14:paraId="1606AF23">
            <w:pPr>
              <w:rPr>
                <w:rFonts w:hint="eastAsia" w:ascii="宋体" w:hAnsi="宋体" w:eastAsia="宋体" w:cs="宋体"/>
                <w:i w:val="0"/>
                <w:iCs w:val="0"/>
                <w:color w:val="000000"/>
                <w:sz w:val="22"/>
                <w:szCs w:val="22"/>
                <w:u w:val="none"/>
              </w:rPr>
            </w:pPr>
          </w:p>
        </w:tc>
        <w:tc>
          <w:tcPr>
            <w:tcW w:w="1912" w:type="dxa"/>
            <w:tcBorders>
              <w:top w:val="nil"/>
              <w:left w:val="nil"/>
              <w:bottom w:val="nil"/>
              <w:right w:val="nil"/>
            </w:tcBorders>
            <w:shd w:val="clear" w:color="auto" w:fill="auto"/>
            <w:noWrap/>
            <w:vAlign w:val="center"/>
          </w:tcPr>
          <w:p w14:paraId="694EA2A0">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noWrap/>
            <w:vAlign w:val="center"/>
          </w:tcPr>
          <w:p w14:paraId="373C1A22">
            <w:pPr>
              <w:rPr>
                <w:rFonts w:hint="eastAsia" w:ascii="宋体" w:hAnsi="宋体" w:eastAsia="宋体" w:cs="宋体"/>
                <w:i w:val="0"/>
                <w:iCs w:val="0"/>
                <w:color w:val="000000"/>
                <w:sz w:val="22"/>
                <w:szCs w:val="22"/>
                <w:u w:val="none"/>
              </w:rPr>
            </w:pPr>
          </w:p>
        </w:tc>
        <w:tc>
          <w:tcPr>
            <w:tcW w:w="917" w:type="dxa"/>
            <w:tcBorders>
              <w:top w:val="nil"/>
              <w:left w:val="nil"/>
              <w:bottom w:val="nil"/>
              <w:right w:val="nil"/>
            </w:tcBorders>
            <w:shd w:val="clear" w:color="auto" w:fill="auto"/>
            <w:noWrap/>
            <w:vAlign w:val="center"/>
          </w:tcPr>
          <w:p w14:paraId="05E2733A">
            <w:pPr>
              <w:rPr>
                <w:rFonts w:hint="eastAsia" w:ascii="宋体" w:hAnsi="宋体" w:eastAsia="宋体" w:cs="宋体"/>
                <w:i w:val="0"/>
                <w:iCs w:val="0"/>
                <w:color w:val="000000"/>
                <w:sz w:val="22"/>
                <w:szCs w:val="22"/>
                <w:u w:val="none"/>
              </w:rPr>
            </w:pPr>
          </w:p>
        </w:tc>
        <w:tc>
          <w:tcPr>
            <w:tcW w:w="3233" w:type="dxa"/>
            <w:tcBorders>
              <w:top w:val="nil"/>
              <w:left w:val="nil"/>
              <w:bottom w:val="nil"/>
              <w:right w:val="nil"/>
            </w:tcBorders>
            <w:shd w:val="clear" w:color="auto" w:fill="auto"/>
            <w:noWrap/>
            <w:vAlign w:val="center"/>
          </w:tcPr>
          <w:p w14:paraId="24C68812">
            <w:pPr>
              <w:rPr>
                <w:rFonts w:hint="eastAsia" w:ascii="宋体" w:hAnsi="宋体" w:eastAsia="宋体" w:cs="宋体"/>
                <w:i w:val="0"/>
                <w:iCs w:val="0"/>
                <w:color w:val="000000"/>
                <w:sz w:val="22"/>
                <w:szCs w:val="22"/>
                <w:u w:val="none"/>
              </w:rPr>
            </w:pPr>
          </w:p>
        </w:tc>
        <w:tc>
          <w:tcPr>
            <w:tcW w:w="1307" w:type="dxa"/>
            <w:tcBorders>
              <w:top w:val="nil"/>
              <w:left w:val="nil"/>
              <w:bottom w:val="nil"/>
              <w:right w:val="nil"/>
            </w:tcBorders>
            <w:shd w:val="clear" w:color="auto" w:fill="auto"/>
            <w:noWrap/>
            <w:vAlign w:val="bottom"/>
          </w:tcPr>
          <w:p w14:paraId="542B3E4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31DF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15" w:type="dxa"/>
            <w:gridSpan w:val="2"/>
            <w:tcBorders>
              <w:top w:val="nil"/>
              <w:left w:val="nil"/>
              <w:bottom w:val="nil"/>
              <w:right w:val="nil"/>
            </w:tcBorders>
            <w:shd w:val="clear" w:color="auto" w:fill="auto"/>
            <w:noWrap/>
            <w:vAlign w:val="bottom"/>
          </w:tcPr>
          <w:p w14:paraId="59FEBE01">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部门：溆浦县均坪镇人民政府</w:t>
            </w:r>
          </w:p>
        </w:tc>
        <w:tc>
          <w:tcPr>
            <w:tcW w:w="982" w:type="dxa"/>
            <w:tcBorders>
              <w:top w:val="nil"/>
              <w:left w:val="nil"/>
              <w:bottom w:val="nil"/>
              <w:right w:val="nil"/>
            </w:tcBorders>
            <w:shd w:val="clear" w:color="auto" w:fill="auto"/>
            <w:noWrap/>
            <w:vAlign w:val="center"/>
          </w:tcPr>
          <w:p w14:paraId="22AE3775">
            <w:pPr>
              <w:rPr>
                <w:rFonts w:hint="eastAsia" w:ascii="宋体" w:hAnsi="宋体" w:eastAsia="宋体" w:cs="宋体"/>
                <w:i w:val="0"/>
                <w:iCs w:val="0"/>
                <w:color w:val="000000"/>
                <w:sz w:val="22"/>
                <w:szCs w:val="22"/>
                <w:u w:val="none"/>
              </w:rPr>
            </w:pPr>
          </w:p>
        </w:tc>
        <w:tc>
          <w:tcPr>
            <w:tcW w:w="850" w:type="dxa"/>
            <w:tcBorders>
              <w:top w:val="nil"/>
              <w:left w:val="nil"/>
              <w:bottom w:val="nil"/>
              <w:right w:val="nil"/>
            </w:tcBorders>
            <w:shd w:val="clear" w:color="auto" w:fill="auto"/>
            <w:noWrap/>
            <w:vAlign w:val="center"/>
          </w:tcPr>
          <w:p w14:paraId="7F4B80A8">
            <w:pPr>
              <w:rPr>
                <w:rFonts w:hint="eastAsia" w:ascii="宋体" w:hAnsi="宋体" w:eastAsia="宋体" w:cs="宋体"/>
                <w:i w:val="0"/>
                <w:iCs w:val="0"/>
                <w:color w:val="000000"/>
                <w:sz w:val="22"/>
                <w:szCs w:val="22"/>
                <w:u w:val="none"/>
              </w:rPr>
            </w:pPr>
          </w:p>
        </w:tc>
        <w:tc>
          <w:tcPr>
            <w:tcW w:w="1912" w:type="dxa"/>
            <w:tcBorders>
              <w:top w:val="nil"/>
              <w:left w:val="nil"/>
              <w:bottom w:val="nil"/>
              <w:right w:val="nil"/>
            </w:tcBorders>
            <w:shd w:val="clear" w:color="auto" w:fill="auto"/>
            <w:noWrap/>
            <w:vAlign w:val="center"/>
          </w:tcPr>
          <w:p w14:paraId="1CB18AAB">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noWrap/>
            <w:vAlign w:val="center"/>
          </w:tcPr>
          <w:p w14:paraId="7E54C86E">
            <w:pPr>
              <w:rPr>
                <w:rFonts w:hint="eastAsia" w:ascii="宋体" w:hAnsi="宋体" w:eastAsia="宋体" w:cs="宋体"/>
                <w:i w:val="0"/>
                <w:iCs w:val="0"/>
                <w:color w:val="000000"/>
                <w:sz w:val="22"/>
                <w:szCs w:val="22"/>
                <w:u w:val="none"/>
              </w:rPr>
            </w:pPr>
          </w:p>
        </w:tc>
        <w:tc>
          <w:tcPr>
            <w:tcW w:w="917" w:type="dxa"/>
            <w:tcBorders>
              <w:top w:val="nil"/>
              <w:left w:val="nil"/>
              <w:bottom w:val="nil"/>
              <w:right w:val="nil"/>
            </w:tcBorders>
            <w:shd w:val="clear" w:color="auto" w:fill="auto"/>
            <w:noWrap/>
            <w:vAlign w:val="center"/>
          </w:tcPr>
          <w:p w14:paraId="595F2B43">
            <w:pPr>
              <w:rPr>
                <w:rFonts w:hint="eastAsia" w:ascii="宋体" w:hAnsi="宋体" w:eastAsia="宋体" w:cs="宋体"/>
                <w:i w:val="0"/>
                <w:iCs w:val="0"/>
                <w:color w:val="000000"/>
                <w:sz w:val="22"/>
                <w:szCs w:val="22"/>
                <w:u w:val="none"/>
              </w:rPr>
            </w:pPr>
          </w:p>
        </w:tc>
        <w:tc>
          <w:tcPr>
            <w:tcW w:w="4540" w:type="dxa"/>
            <w:gridSpan w:val="2"/>
            <w:tcBorders>
              <w:top w:val="nil"/>
              <w:left w:val="nil"/>
              <w:bottom w:val="nil"/>
              <w:right w:val="nil"/>
            </w:tcBorders>
            <w:shd w:val="clear" w:color="auto" w:fill="auto"/>
            <w:noWrap/>
            <w:vAlign w:val="center"/>
          </w:tcPr>
          <w:p w14:paraId="5518B25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7DEC9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62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0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22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0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6EDD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21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5A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8E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6F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3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DB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90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E3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75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2CC5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FA9FA">
            <w:pPr>
              <w:jc w:val="center"/>
              <w:rPr>
                <w:rFonts w:hint="eastAsia" w:ascii="宋体" w:hAnsi="宋体" w:eastAsia="宋体" w:cs="宋体"/>
                <w:i w:val="0"/>
                <w:iCs w:val="0"/>
                <w:color w:val="000000"/>
                <w:sz w:val="22"/>
                <w:szCs w:val="22"/>
                <w:u w:val="none"/>
              </w:rPr>
            </w:pPr>
          </w:p>
        </w:tc>
        <w:tc>
          <w:tcPr>
            <w:tcW w:w="3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9DB4F">
            <w:pPr>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BCCA6">
            <w:pPr>
              <w:jc w:val="center"/>
              <w:rPr>
                <w:rFonts w:hint="eastAsia" w:ascii="宋体" w:hAnsi="宋体" w:eastAsia="宋体" w:cs="宋体"/>
                <w:i w:val="0"/>
                <w:iCs w:val="0"/>
                <w:color w:val="000000"/>
                <w:sz w:val="22"/>
                <w:szCs w:val="22"/>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2A872">
            <w:pPr>
              <w:jc w:val="center"/>
              <w:rPr>
                <w:rFonts w:hint="eastAsia" w:ascii="宋体" w:hAnsi="宋体" w:eastAsia="宋体" w:cs="宋体"/>
                <w:i w:val="0"/>
                <w:iCs w:val="0"/>
                <w:color w:val="000000"/>
                <w:sz w:val="22"/>
                <w:szCs w:val="22"/>
                <w:u w:val="none"/>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9D123">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B254C">
            <w:pPr>
              <w:jc w:val="center"/>
              <w:rPr>
                <w:rFonts w:hint="eastAsia" w:ascii="宋体" w:hAnsi="宋体" w:eastAsia="宋体" w:cs="宋体"/>
                <w:i w:val="0"/>
                <w:iCs w:val="0"/>
                <w:color w:val="000000"/>
                <w:sz w:val="22"/>
                <w:szCs w:val="22"/>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B8D6E">
            <w:pPr>
              <w:jc w:val="center"/>
              <w:rPr>
                <w:rFonts w:hint="eastAsia" w:ascii="宋体" w:hAnsi="宋体" w:eastAsia="宋体" w:cs="宋体"/>
                <w:i w:val="0"/>
                <w:iCs w:val="0"/>
                <w:color w:val="000000"/>
                <w:sz w:val="22"/>
                <w:szCs w:val="22"/>
                <w:u w:val="none"/>
              </w:rPr>
            </w:pPr>
          </w:p>
        </w:tc>
        <w:tc>
          <w:tcPr>
            <w:tcW w:w="3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E7E5C">
            <w:pPr>
              <w:jc w:val="center"/>
              <w:rPr>
                <w:rFonts w:hint="eastAsia" w:ascii="宋体" w:hAnsi="宋体" w:eastAsia="宋体" w:cs="宋体"/>
                <w:i w:val="0"/>
                <w:iCs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E8457">
            <w:pPr>
              <w:jc w:val="center"/>
              <w:rPr>
                <w:rFonts w:hint="eastAsia" w:ascii="宋体" w:hAnsi="宋体" w:eastAsia="宋体" w:cs="宋体"/>
                <w:i w:val="0"/>
                <w:iCs w:val="0"/>
                <w:color w:val="000000"/>
                <w:sz w:val="22"/>
                <w:szCs w:val="22"/>
                <w:u w:val="none"/>
              </w:rPr>
            </w:pPr>
          </w:p>
        </w:tc>
      </w:tr>
      <w:tr w14:paraId="6DFD2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3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5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EA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678.68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E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3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79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D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80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2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86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DD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2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09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7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9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47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9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E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D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61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8C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3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F4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F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62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7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B0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8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0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FB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1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E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B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1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83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8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9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A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4C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E0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6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F0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7E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3C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8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E9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D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3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0B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83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A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7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6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CB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3F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7A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4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E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88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ED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79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E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CA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F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B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0F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E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62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EC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19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8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2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4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3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B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C2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E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5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79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CA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F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C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7B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4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9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C7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3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D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58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5A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7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E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FA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2F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6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1E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6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6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E4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79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C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2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6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3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9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E3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F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2F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D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5F2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F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6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E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E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3F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40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7F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E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B7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14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F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2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8E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C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D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E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9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D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7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3C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9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2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8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9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9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59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2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5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71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A0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3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0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0E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0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1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19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8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6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5C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BD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1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22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6D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4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B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A8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D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7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69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5F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1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7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39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2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D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B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4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5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35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FE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8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D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75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C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7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81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13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0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FF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89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A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B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F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6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D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0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B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2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1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06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8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18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4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6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B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2C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F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8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7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9D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19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F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3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E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B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2E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B8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C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6C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73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A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0E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64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6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6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53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8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1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03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49A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A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E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3F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3E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4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4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4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C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AD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6D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6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2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2C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B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FB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3B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E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9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2A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8F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67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3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A5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35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4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51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5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A3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8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04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BF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7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69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0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B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0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6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46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B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82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DB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C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E8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3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D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3F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5551">
            <w:pPr>
              <w:jc w:val="left"/>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7A10">
            <w:pPr>
              <w:jc w:val="left"/>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B613">
            <w:pPr>
              <w:jc w:val="right"/>
              <w:rPr>
                <w:rFonts w:hint="eastAsia" w:ascii="宋体" w:hAnsi="宋体" w:eastAsia="宋体" w:cs="宋体"/>
                <w:i w:val="0"/>
                <w:iCs w:val="0"/>
                <w:color w:val="000000"/>
                <w:sz w:val="22"/>
                <w:szCs w:val="22"/>
                <w:u w:val="none"/>
              </w:rPr>
            </w:pPr>
          </w:p>
        </w:tc>
      </w:tr>
      <w:tr w14:paraId="3612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EA87">
            <w:pPr>
              <w:jc w:val="left"/>
              <w:rPr>
                <w:rFonts w:hint="eastAsia" w:ascii="宋体" w:hAnsi="宋体" w:eastAsia="宋体" w:cs="宋体"/>
                <w:i w:val="0"/>
                <w:iCs w:val="0"/>
                <w:color w:val="000000"/>
                <w:sz w:val="22"/>
                <w:szCs w:val="22"/>
                <w:u w:val="none"/>
              </w:rPr>
            </w:pP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DB85">
            <w:pPr>
              <w:jc w:val="left"/>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2C9D">
            <w:pPr>
              <w:jc w:val="right"/>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3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B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A1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F7F2">
            <w:pPr>
              <w:jc w:val="left"/>
              <w:rPr>
                <w:rFonts w:hint="eastAsia" w:ascii="宋体" w:hAnsi="宋体" w:eastAsia="宋体" w:cs="宋体"/>
                <w:i w:val="0"/>
                <w:iCs w:val="0"/>
                <w:color w:val="000000"/>
                <w:sz w:val="22"/>
                <w:szCs w:val="22"/>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441B">
            <w:pPr>
              <w:jc w:val="left"/>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2327">
            <w:pPr>
              <w:jc w:val="right"/>
              <w:rPr>
                <w:rFonts w:hint="eastAsia" w:ascii="宋体" w:hAnsi="宋体" w:eastAsia="宋体" w:cs="宋体"/>
                <w:i w:val="0"/>
                <w:iCs w:val="0"/>
                <w:color w:val="000000"/>
                <w:sz w:val="22"/>
                <w:szCs w:val="22"/>
                <w:u w:val="none"/>
              </w:rPr>
            </w:pPr>
          </w:p>
        </w:tc>
      </w:tr>
      <w:tr w14:paraId="6C2F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2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4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726.71</w:t>
            </w:r>
          </w:p>
        </w:tc>
        <w:tc>
          <w:tcPr>
            <w:tcW w:w="79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A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0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106.51</w:t>
            </w:r>
          </w:p>
        </w:tc>
      </w:tr>
      <w:tr w14:paraId="35D6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5521" w:type="dxa"/>
            <w:gridSpan w:val="9"/>
            <w:tcBorders>
              <w:top w:val="nil"/>
              <w:left w:val="nil"/>
              <w:bottom w:val="nil"/>
              <w:right w:val="nil"/>
            </w:tcBorders>
            <w:shd w:val="clear" w:color="auto" w:fill="auto"/>
            <w:noWrap/>
            <w:vAlign w:val="center"/>
          </w:tcPr>
          <w:p w14:paraId="6A378D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791B3033">
      <w:pPr>
        <w:widowControl/>
        <w:jc w:val="center"/>
        <w:rPr>
          <w:rFonts w:hint="eastAsia" w:ascii="Times New Roman" w:hAnsi="Times New Roman" w:eastAsia="方正小标宋_GBK" w:cs="Times New Roman"/>
          <w:color w:val="000000"/>
          <w:kern w:val="0"/>
          <w:sz w:val="36"/>
          <w:szCs w:val="36"/>
        </w:rPr>
      </w:pPr>
    </w:p>
    <w:p w14:paraId="1B638E22">
      <w:pPr>
        <w:widowControl/>
        <w:jc w:val="center"/>
        <w:rPr>
          <w:rFonts w:hint="eastAsia" w:ascii="Times New Roman" w:hAnsi="Times New Roman" w:eastAsia="方正小标宋_GBK" w:cs="Times New Roman"/>
          <w:color w:val="000000"/>
          <w:kern w:val="0"/>
          <w:sz w:val="36"/>
          <w:szCs w:val="36"/>
        </w:rPr>
      </w:pPr>
    </w:p>
    <w:p w14:paraId="28E37575">
      <w:pPr>
        <w:widowControl/>
        <w:jc w:val="center"/>
        <w:rPr>
          <w:rFonts w:hint="eastAsia" w:ascii="Times New Roman" w:hAnsi="Times New Roman" w:eastAsia="方正小标宋_GBK" w:cs="Times New Roman"/>
          <w:color w:val="000000"/>
          <w:kern w:val="0"/>
          <w:sz w:val="36"/>
          <w:szCs w:val="36"/>
        </w:rPr>
      </w:pPr>
    </w:p>
    <w:p w14:paraId="25DAD5E2">
      <w:pPr>
        <w:widowControl/>
        <w:jc w:val="center"/>
        <w:rPr>
          <w:rFonts w:hint="eastAsia" w:ascii="Times New Roman" w:hAnsi="Times New Roman" w:eastAsia="方正小标宋_GBK" w:cs="Times New Roman"/>
          <w:color w:val="000000"/>
          <w:kern w:val="0"/>
          <w:sz w:val="36"/>
          <w:szCs w:val="36"/>
        </w:rPr>
      </w:pPr>
    </w:p>
    <w:p w14:paraId="7B8766A6">
      <w:pPr>
        <w:widowControl/>
        <w:jc w:val="center"/>
        <w:rPr>
          <w:rFonts w:hint="eastAsia" w:ascii="Times New Roman" w:hAnsi="Times New Roman" w:eastAsia="方正小标宋_GBK" w:cs="Times New Roman"/>
          <w:color w:val="000000"/>
          <w:kern w:val="0"/>
          <w:sz w:val="36"/>
          <w:szCs w:val="36"/>
        </w:rPr>
      </w:pPr>
    </w:p>
    <w:p w14:paraId="3106E082">
      <w:pPr>
        <w:widowControl/>
        <w:jc w:val="center"/>
        <w:rPr>
          <w:rFonts w:hint="eastAsia" w:ascii="Times New Roman" w:hAnsi="Times New Roman" w:eastAsia="方正小标宋_GBK" w:cs="Times New Roman"/>
          <w:color w:val="000000"/>
          <w:kern w:val="0"/>
          <w:sz w:val="36"/>
          <w:szCs w:val="36"/>
        </w:rPr>
      </w:pPr>
    </w:p>
    <w:p w14:paraId="527428C2">
      <w:pPr>
        <w:widowControl/>
        <w:jc w:val="center"/>
        <w:rPr>
          <w:rFonts w:hint="eastAsia" w:ascii="Times New Roman" w:hAnsi="Times New Roman" w:eastAsia="方正小标宋_GBK" w:cs="Times New Roman"/>
          <w:color w:val="000000"/>
          <w:kern w:val="0"/>
          <w:sz w:val="36"/>
          <w:szCs w:val="36"/>
        </w:rPr>
      </w:pPr>
    </w:p>
    <w:p w14:paraId="243D1581">
      <w:pPr>
        <w:widowControl/>
        <w:jc w:val="center"/>
        <w:rPr>
          <w:rFonts w:hint="eastAsia" w:ascii="Times New Roman" w:hAnsi="Times New Roman" w:eastAsia="方正小标宋_GBK" w:cs="Times New Roman"/>
          <w:color w:val="000000"/>
          <w:kern w:val="0"/>
          <w:sz w:val="36"/>
          <w:szCs w:val="36"/>
        </w:rPr>
      </w:pPr>
    </w:p>
    <w:p w14:paraId="1A924CB9">
      <w:pPr>
        <w:widowControl/>
        <w:jc w:val="center"/>
        <w:rPr>
          <w:rFonts w:hint="eastAsia" w:ascii="Times New Roman" w:hAnsi="Times New Roman" w:eastAsia="方正小标宋_GBK" w:cs="Times New Roman"/>
          <w:color w:val="000000"/>
          <w:kern w:val="0"/>
          <w:sz w:val="36"/>
          <w:szCs w:val="36"/>
        </w:rPr>
      </w:pPr>
    </w:p>
    <w:p w14:paraId="26C22106">
      <w:pPr>
        <w:widowControl/>
        <w:jc w:val="center"/>
        <w:rPr>
          <w:rFonts w:hint="eastAsia" w:ascii="Times New Roman" w:hAnsi="Times New Roman" w:eastAsia="方正小标宋_GBK" w:cs="Times New Roman"/>
          <w:color w:val="000000"/>
          <w:kern w:val="0"/>
          <w:sz w:val="36"/>
          <w:szCs w:val="36"/>
        </w:rPr>
      </w:pPr>
    </w:p>
    <w:p w14:paraId="5736F63B">
      <w:pPr>
        <w:widowControl/>
        <w:jc w:val="center"/>
        <w:rPr>
          <w:rFonts w:hint="eastAsia" w:ascii="Times New Roman" w:hAnsi="Times New Roman" w:eastAsia="方正小标宋_GBK" w:cs="Times New Roman"/>
          <w:color w:val="000000"/>
          <w:kern w:val="0"/>
          <w:sz w:val="36"/>
          <w:szCs w:val="36"/>
        </w:rPr>
      </w:pPr>
    </w:p>
    <w:tbl>
      <w:tblPr>
        <w:tblStyle w:val="9"/>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3736"/>
        <w:gridCol w:w="1183"/>
        <w:gridCol w:w="1320"/>
        <w:gridCol w:w="1320"/>
        <w:gridCol w:w="1183"/>
        <w:gridCol w:w="1320"/>
        <w:gridCol w:w="1680"/>
      </w:tblGrid>
      <w:tr w14:paraId="07169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center"/>
          </w:tcPr>
          <w:p w14:paraId="663720D0">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4D4B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32A689E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8BC6B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ACD2C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E065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19D78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3E51A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3787B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A8E25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04801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16E00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296E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0A24797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部门：溆浦县均坪镇人民政府</w:t>
            </w:r>
          </w:p>
        </w:tc>
        <w:tc>
          <w:tcPr>
            <w:tcW w:w="0" w:type="auto"/>
            <w:tcBorders>
              <w:top w:val="nil"/>
              <w:left w:val="nil"/>
              <w:bottom w:val="nil"/>
              <w:right w:val="nil"/>
            </w:tcBorders>
            <w:shd w:val="clear" w:color="auto" w:fill="auto"/>
            <w:noWrap/>
            <w:vAlign w:val="center"/>
          </w:tcPr>
          <w:p w14:paraId="0A89F65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541BF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AACFD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B8C8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F2DC0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F8FFC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D13AC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E751E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CCD5A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F73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B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CE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D3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54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B2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03F0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85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D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A1B15">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06AF6">
            <w:pPr>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40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7C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82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7EC43">
            <w:pPr>
              <w:jc w:val="center"/>
              <w:rPr>
                <w:rFonts w:hint="eastAsia" w:ascii="宋体" w:hAnsi="宋体" w:eastAsia="宋体" w:cs="宋体"/>
                <w:i w:val="0"/>
                <w:iCs w:val="0"/>
                <w:color w:val="000000"/>
                <w:sz w:val="22"/>
                <w:szCs w:val="22"/>
                <w:u w:val="none"/>
              </w:rPr>
            </w:pPr>
          </w:p>
        </w:tc>
      </w:tr>
      <w:tr w14:paraId="1E25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56B2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F252">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1C3BC">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A88DD">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195CD">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7C8E3">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A9ADF">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F1B9F">
            <w:pPr>
              <w:jc w:val="center"/>
              <w:rPr>
                <w:rFonts w:hint="eastAsia" w:ascii="宋体" w:hAnsi="宋体" w:eastAsia="宋体" w:cs="宋体"/>
                <w:i w:val="0"/>
                <w:iCs w:val="0"/>
                <w:color w:val="000000"/>
                <w:sz w:val="22"/>
                <w:szCs w:val="22"/>
                <w:u w:val="none"/>
              </w:rPr>
            </w:pPr>
          </w:p>
        </w:tc>
      </w:tr>
      <w:tr w14:paraId="6621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248B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A5F0">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C4098">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084B9">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7792C">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08B1">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AF43D">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2CE81">
            <w:pPr>
              <w:jc w:val="center"/>
              <w:rPr>
                <w:rFonts w:hint="eastAsia" w:ascii="宋体" w:hAnsi="宋体" w:eastAsia="宋体" w:cs="宋体"/>
                <w:i w:val="0"/>
                <w:iCs w:val="0"/>
                <w:color w:val="000000"/>
                <w:sz w:val="22"/>
                <w:szCs w:val="22"/>
                <w:u w:val="none"/>
              </w:rPr>
            </w:pPr>
          </w:p>
        </w:tc>
      </w:tr>
      <w:tr w14:paraId="388C7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3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0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D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8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C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E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D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D94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C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D8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59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69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65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6A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01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3F2E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E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9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0A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E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A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9F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5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A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D3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7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B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3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2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B7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EF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D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7E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5F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3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5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A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AE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A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B0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0C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E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D2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3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D4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4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8A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B9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B1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9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C4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76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CA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E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1E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A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22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83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D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F7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8F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5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1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D5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6D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1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EF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DE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36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CB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1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5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A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B5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3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EC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F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96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22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3C219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58643FCD">
      <w:pPr>
        <w:widowControl/>
        <w:jc w:val="center"/>
        <w:rPr>
          <w:rFonts w:hint="eastAsia" w:ascii="Times New Roman" w:hAnsi="Times New Roman" w:eastAsia="方正小标宋_GBK" w:cs="Times New Roman"/>
          <w:color w:val="000000"/>
          <w:kern w:val="0"/>
          <w:sz w:val="36"/>
          <w:szCs w:val="36"/>
        </w:rPr>
      </w:pPr>
    </w:p>
    <w:p w14:paraId="3FF696D3">
      <w:pPr>
        <w:widowControl/>
        <w:jc w:val="center"/>
        <w:rPr>
          <w:rFonts w:hint="eastAsia" w:ascii="Times New Roman" w:hAnsi="Times New Roman" w:eastAsia="方正小标宋_GBK" w:cs="Times New Roman"/>
          <w:color w:val="000000"/>
          <w:kern w:val="0"/>
          <w:sz w:val="36"/>
          <w:szCs w:val="36"/>
        </w:rPr>
      </w:pPr>
    </w:p>
    <w:p w14:paraId="0A69924B">
      <w:pPr>
        <w:widowControl/>
        <w:jc w:val="center"/>
        <w:rPr>
          <w:rFonts w:hint="eastAsia" w:ascii="Times New Roman" w:hAnsi="Times New Roman" w:eastAsia="方正小标宋_GBK" w:cs="Times New Roman"/>
          <w:color w:val="000000"/>
          <w:kern w:val="0"/>
          <w:sz w:val="36"/>
          <w:szCs w:val="36"/>
        </w:rPr>
      </w:pPr>
    </w:p>
    <w:p w14:paraId="76CB0849">
      <w:pPr>
        <w:widowControl/>
        <w:jc w:val="center"/>
        <w:rPr>
          <w:rFonts w:hint="eastAsia" w:ascii="Times New Roman" w:hAnsi="Times New Roman" w:eastAsia="方正小标宋_GBK" w:cs="Times New Roman"/>
          <w:color w:val="000000"/>
          <w:kern w:val="0"/>
          <w:sz w:val="36"/>
          <w:szCs w:val="36"/>
        </w:rPr>
      </w:pPr>
    </w:p>
    <w:p w14:paraId="03468850">
      <w:pPr>
        <w:widowControl/>
        <w:jc w:val="center"/>
        <w:rPr>
          <w:rFonts w:hint="eastAsia" w:ascii="Times New Roman" w:hAnsi="Times New Roman" w:eastAsia="方正小标宋_GBK" w:cs="Times New Roman"/>
          <w:color w:val="000000"/>
          <w:kern w:val="0"/>
          <w:sz w:val="36"/>
          <w:szCs w:val="36"/>
        </w:rPr>
      </w:pPr>
    </w:p>
    <w:p w14:paraId="655D32B2">
      <w:pPr>
        <w:widowControl/>
        <w:jc w:val="center"/>
        <w:rPr>
          <w:rFonts w:hint="eastAsia" w:ascii="Times New Roman" w:hAnsi="Times New Roman" w:eastAsia="方正小标宋_GBK" w:cs="Times New Roman"/>
          <w:color w:val="000000"/>
          <w:kern w:val="0"/>
          <w:sz w:val="36"/>
          <w:szCs w:val="36"/>
        </w:rPr>
      </w:pPr>
    </w:p>
    <w:p w14:paraId="0D22CAC7">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2E4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4F58B60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42E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4469DD1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auto"/>
            <w:vAlign w:val="center"/>
          </w:tcPr>
          <w:p w14:paraId="58FE2841">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auto"/>
            <w:vAlign w:val="center"/>
          </w:tcPr>
          <w:p w14:paraId="35956AF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6C97B19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5175414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345586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EA0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auto"/>
            <w:noWrap/>
            <w:vAlign w:val="center"/>
          </w:tcPr>
          <w:p w14:paraId="2B550302">
            <w:pPr>
              <w:numPr>
                <w:ilvl w:val="0"/>
                <w:numId w:val="0"/>
              </w:numPr>
              <w:ind w:left="0" w:leftChars="0"/>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部门：溆浦县均坪镇人民政府</w:t>
            </w:r>
          </w:p>
        </w:tc>
        <w:tc>
          <w:tcPr>
            <w:tcW w:w="3315" w:type="dxa"/>
            <w:tcBorders>
              <w:top w:val="nil"/>
              <w:left w:val="nil"/>
              <w:bottom w:val="nil"/>
              <w:right w:val="nil"/>
            </w:tcBorders>
            <w:shd w:val="clear" w:color="auto" w:fill="auto"/>
            <w:vAlign w:val="center"/>
          </w:tcPr>
          <w:p w14:paraId="6B849D96">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2283232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1B296C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2AF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17C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857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6AF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5B4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EF2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564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775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A97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1CF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B9BE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0DAC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2634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A576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F85C7">
            <w:pPr>
              <w:jc w:val="center"/>
              <w:rPr>
                <w:rFonts w:hint="eastAsia" w:ascii="宋体" w:hAnsi="宋体" w:eastAsia="宋体" w:cs="宋体"/>
                <w:i w:val="0"/>
                <w:color w:val="000000"/>
                <w:sz w:val="24"/>
                <w:szCs w:val="24"/>
                <w:u w:val="none"/>
              </w:rPr>
            </w:pPr>
          </w:p>
        </w:tc>
      </w:tr>
      <w:tr w14:paraId="70DF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9FD6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376B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907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2885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20A09">
            <w:pPr>
              <w:jc w:val="center"/>
              <w:rPr>
                <w:rFonts w:hint="eastAsia" w:ascii="宋体" w:hAnsi="宋体" w:eastAsia="宋体" w:cs="宋体"/>
                <w:i w:val="0"/>
                <w:color w:val="000000"/>
                <w:sz w:val="24"/>
                <w:szCs w:val="24"/>
                <w:u w:val="none"/>
              </w:rPr>
            </w:pPr>
          </w:p>
        </w:tc>
      </w:tr>
      <w:tr w14:paraId="3FDD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B66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E9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60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0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0E5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AA9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5C67">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48EA">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4DD7">
            <w:pPr>
              <w:jc w:val="center"/>
              <w:rPr>
                <w:rFonts w:hint="eastAsia" w:ascii="宋体" w:hAnsi="宋体" w:eastAsia="宋体" w:cs="宋体"/>
                <w:i w:val="0"/>
                <w:color w:val="000000"/>
                <w:sz w:val="24"/>
                <w:szCs w:val="24"/>
                <w:u w:val="none"/>
              </w:rPr>
            </w:pPr>
          </w:p>
        </w:tc>
      </w:tr>
      <w:tr w14:paraId="2B3F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701B2C">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68BA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405A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341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AB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2F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50CC">
            <w:pPr>
              <w:rPr>
                <w:rFonts w:hint="eastAsia" w:ascii="宋体" w:hAnsi="宋体" w:eastAsia="宋体" w:cs="宋体"/>
                <w:i w:val="0"/>
                <w:color w:val="000000"/>
                <w:sz w:val="24"/>
                <w:szCs w:val="24"/>
                <w:u w:val="none"/>
              </w:rPr>
            </w:pPr>
          </w:p>
        </w:tc>
      </w:tr>
      <w:tr w14:paraId="3AE6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05AE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4AE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F90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15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E0B8">
            <w:pPr>
              <w:rPr>
                <w:rFonts w:hint="eastAsia" w:ascii="宋体" w:hAnsi="宋体" w:eastAsia="宋体" w:cs="宋体"/>
                <w:i w:val="0"/>
                <w:color w:val="000000"/>
                <w:sz w:val="24"/>
                <w:szCs w:val="24"/>
                <w:u w:val="none"/>
              </w:rPr>
            </w:pPr>
          </w:p>
        </w:tc>
      </w:tr>
      <w:tr w14:paraId="597B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E14A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155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BF7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446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0E6F">
            <w:pPr>
              <w:rPr>
                <w:rFonts w:hint="eastAsia" w:ascii="宋体" w:hAnsi="宋体" w:eastAsia="宋体" w:cs="宋体"/>
                <w:i w:val="0"/>
                <w:color w:val="000000"/>
                <w:sz w:val="24"/>
                <w:szCs w:val="24"/>
                <w:u w:val="none"/>
              </w:rPr>
            </w:pPr>
          </w:p>
        </w:tc>
      </w:tr>
      <w:tr w14:paraId="666D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3841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1BE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E1B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9BD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5CE0">
            <w:pPr>
              <w:rPr>
                <w:rFonts w:hint="eastAsia" w:ascii="宋体" w:hAnsi="宋体" w:eastAsia="宋体" w:cs="宋体"/>
                <w:i w:val="0"/>
                <w:color w:val="000000"/>
                <w:sz w:val="24"/>
                <w:szCs w:val="24"/>
                <w:u w:val="none"/>
              </w:rPr>
            </w:pPr>
          </w:p>
        </w:tc>
      </w:tr>
      <w:tr w14:paraId="0877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C3AD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C10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D4F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0E2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EAAC">
            <w:pPr>
              <w:rPr>
                <w:rFonts w:hint="eastAsia" w:ascii="宋体" w:hAnsi="宋体" w:eastAsia="宋体" w:cs="宋体"/>
                <w:i w:val="0"/>
                <w:color w:val="000000"/>
                <w:sz w:val="24"/>
                <w:szCs w:val="24"/>
                <w:u w:val="none"/>
              </w:rPr>
            </w:pPr>
          </w:p>
        </w:tc>
      </w:tr>
      <w:tr w14:paraId="51DC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A897BA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944967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477CA1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1" w:name="OLE_LINK2"/>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bookmarkEnd w:id="1"/>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688E1472">
      <w:pPr>
        <w:widowControl/>
        <w:jc w:val="center"/>
        <w:rPr>
          <w:rFonts w:hint="eastAsia" w:ascii="Times New Roman" w:hAnsi="Times New Roman" w:eastAsia="方正小标宋_GBK" w:cs="Times New Roman"/>
          <w:color w:val="000000"/>
          <w:kern w:val="0"/>
          <w:sz w:val="36"/>
          <w:szCs w:val="36"/>
        </w:rPr>
      </w:pPr>
    </w:p>
    <w:p w14:paraId="2C1ABF80">
      <w:pPr>
        <w:widowControl/>
        <w:jc w:val="center"/>
        <w:rPr>
          <w:rFonts w:hint="eastAsia" w:ascii="Times New Roman" w:hAnsi="Times New Roman" w:eastAsia="方正小标宋_GBK" w:cs="Times New Roman"/>
          <w:color w:val="000000"/>
          <w:kern w:val="0"/>
          <w:sz w:val="36"/>
          <w:szCs w:val="36"/>
        </w:rPr>
      </w:pPr>
    </w:p>
    <w:tbl>
      <w:tblPr>
        <w:tblStyle w:val="9"/>
        <w:tblW w:w="157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1293"/>
        <w:gridCol w:w="1105"/>
        <w:gridCol w:w="1105"/>
        <w:gridCol w:w="1105"/>
        <w:gridCol w:w="1105"/>
        <w:gridCol w:w="1105"/>
        <w:gridCol w:w="1293"/>
        <w:gridCol w:w="1105"/>
        <w:gridCol w:w="1105"/>
        <w:gridCol w:w="1106"/>
        <w:gridCol w:w="1616"/>
      </w:tblGrid>
      <w:tr w14:paraId="524A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4237" w:type="dxa"/>
            <w:gridSpan w:val="11"/>
            <w:tcBorders>
              <w:top w:val="nil"/>
              <w:left w:val="nil"/>
              <w:bottom w:val="nil"/>
              <w:right w:val="nil"/>
            </w:tcBorders>
            <w:shd w:val="clear" w:color="auto" w:fill="auto"/>
            <w:noWrap/>
            <w:vAlign w:val="center"/>
          </w:tcPr>
          <w:p w14:paraId="0CE51B17">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财政拨款“三公”经费支出决算表</w:t>
            </w:r>
          </w:p>
        </w:tc>
        <w:tc>
          <w:tcPr>
            <w:tcW w:w="1482" w:type="dxa"/>
            <w:tcBorders>
              <w:top w:val="nil"/>
              <w:left w:val="nil"/>
              <w:bottom w:val="nil"/>
              <w:right w:val="nil"/>
            </w:tcBorders>
            <w:shd w:val="clear" w:color="auto" w:fill="auto"/>
            <w:noWrap/>
            <w:vAlign w:val="center"/>
          </w:tcPr>
          <w:p w14:paraId="6D1432EF">
            <w:pPr>
              <w:rPr>
                <w:rFonts w:hint="eastAsia" w:ascii="宋体" w:hAnsi="宋体" w:eastAsia="宋体" w:cs="宋体"/>
                <w:i w:val="0"/>
                <w:iCs w:val="0"/>
                <w:color w:val="000000"/>
                <w:sz w:val="22"/>
                <w:szCs w:val="22"/>
                <w:u w:val="none"/>
              </w:rPr>
            </w:pPr>
          </w:p>
        </w:tc>
      </w:tr>
      <w:tr w14:paraId="46F5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tcBorders>
              <w:top w:val="nil"/>
              <w:left w:val="nil"/>
              <w:bottom w:val="nil"/>
              <w:right w:val="nil"/>
            </w:tcBorders>
            <w:shd w:val="clear" w:color="auto" w:fill="auto"/>
            <w:noWrap/>
            <w:vAlign w:val="center"/>
          </w:tcPr>
          <w:p w14:paraId="4327F5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9A182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8701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4CBF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04D1E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AF889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A47DE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C23CC5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06CDC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A368F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58E9F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9BD73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1858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tcBorders>
              <w:top w:val="nil"/>
              <w:left w:val="nil"/>
              <w:bottom w:val="nil"/>
              <w:right w:val="nil"/>
            </w:tcBorders>
            <w:shd w:val="clear" w:color="auto" w:fill="auto"/>
            <w:noWrap/>
            <w:vAlign w:val="bottom"/>
          </w:tcPr>
          <w:p w14:paraId="6894F76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部门：溆浦县均坪镇人民政府</w:t>
            </w:r>
          </w:p>
        </w:tc>
        <w:tc>
          <w:tcPr>
            <w:tcW w:w="0" w:type="auto"/>
            <w:tcBorders>
              <w:top w:val="nil"/>
              <w:left w:val="nil"/>
              <w:bottom w:val="nil"/>
              <w:right w:val="nil"/>
            </w:tcBorders>
            <w:shd w:val="clear" w:color="auto" w:fill="auto"/>
            <w:noWrap/>
            <w:vAlign w:val="center"/>
          </w:tcPr>
          <w:p w14:paraId="3D0A8F3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5A645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96863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128AF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C084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29BC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DCF19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54B3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B1BA2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8C7C4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977BA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339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8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B69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3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E9D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27CE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2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99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92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8F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5D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FF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FF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AF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11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6C667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2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0AA36">
            <w:pPr>
              <w:jc w:val="center"/>
              <w:rPr>
                <w:rFonts w:hint="eastAsia" w:ascii="宋体" w:hAnsi="宋体" w:eastAsia="宋体" w:cs="宋体"/>
                <w:i w:val="0"/>
                <w:iCs w:val="0"/>
                <w:color w:val="000000"/>
                <w:sz w:val="22"/>
                <w:szCs w:val="22"/>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A1BEE">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E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F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E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7B3AA">
            <w:pPr>
              <w:jc w:val="center"/>
              <w:rPr>
                <w:rFonts w:hint="eastAsia" w:ascii="宋体" w:hAnsi="宋体" w:eastAsia="宋体" w:cs="宋体"/>
                <w:i w:val="0"/>
                <w:iCs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B6D25">
            <w:pPr>
              <w:jc w:val="center"/>
              <w:rPr>
                <w:rFonts w:hint="eastAsia" w:ascii="宋体" w:hAnsi="宋体" w:eastAsia="宋体" w:cs="宋体"/>
                <w:i w:val="0"/>
                <w:iCs w:val="0"/>
                <w:color w:val="000000"/>
                <w:sz w:val="22"/>
                <w:szCs w:val="22"/>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4360A">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2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9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8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6F348">
            <w:pPr>
              <w:jc w:val="center"/>
              <w:rPr>
                <w:rFonts w:hint="eastAsia" w:ascii="宋体" w:hAnsi="宋体" w:eastAsia="宋体" w:cs="宋体"/>
                <w:i w:val="0"/>
                <w:iCs w:val="0"/>
                <w:color w:val="000000"/>
                <w:sz w:val="22"/>
                <w:szCs w:val="22"/>
                <w:u w:val="none"/>
              </w:rPr>
            </w:pPr>
          </w:p>
        </w:tc>
      </w:tr>
      <w:tr w14:paraId="22EE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C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F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3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C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4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5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3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E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D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2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B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2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5926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E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04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5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8F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17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69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CC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AE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4D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0E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E1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18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r>
      <w:tr w14:paraId="0AC8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5719" w:type="dxa"/>
            <w:gridSpan w:val="12"/>
            <w:tcBorders>
              <w:top w:val="nil"/>
              <w:left w:val="nil"/>
              <w:bottom w:val="nil"/>
              <w:right w:val="nil"/>
            </w:tcBorders>
            <w:shd w:val="clear" w:color="auto" w:fill="auto"/>
            <w:vAlign w:val="center"/>
          </w:tcPr>
          <w:p w14:paraId="50349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A869584">
      <w:pPr>
        <w:widowControl/>
        <w:jc w:val="center"/>
        <w:rPr>
          <w:rFonts w:hint="eastAsia" w:ascii="Times New Roman" w:hAnsi="Times New Roman" w:eastAsia="方正小标宋_GBK" w:cs="Times New Roman"/>
          <w:color w:val="000000"/>
          <w:kern w:val="0"/>
          <w:sz w:val="36"/>
          <w:szCs w:val="36"/>
        </w:rPr>
      </w:pPr>
    </w:p>
    <w:p w14:paraId="45500DD8">
      <w:pPr>
        <w:widowControl/>
        <w:jc w:val="center"/>
        <w:rPr>
          <w:rFonts w:hint="eastAsia" w:ascii="Times New Roman" w:hAnsi="Times New Roman" w:eastAsia="方正小标宋_GBK" w:cs="Times New Roman"/>
          <w:color w:val="000000"/>
          <w:kern w:val="0"/>
          <w:sz w:val="36"/>
          <w:szCs w:val="36"/>
        </w:rPr>
      </w:pPr>
    </w:p>
    <w:p w14:paraId="3FDAD050">
      <w:pPr>
        <w:widowControl/>
        <w:jc w:val="center"/>
        <w:rPr>
          <w:rFonts w:hint="eastAsia" w:ascii="Times New Roman" w:hAnsi="Times New Roman" w:eastAsia="方正小标宋_GBK" w:cs="Times New Roman"/>
          <w:color w:val="000000"/>
          <w:kern w:val="0"/>
          <w:sz w:val="36"/>
          <w:szCs w:val="36"/>
        </w:rPr>
      </w:pPr>
    </w:p>
    <w:p w14:paraId="2C4BB98D">
      <w:pPr>
        <w:widowControl/>
        <w:jc w:val="center"/>
        <w:rPr>
          <w:rFonts w:hint="eastAsia" w:ascii="Times New Roman" w:hAnsi="Times New Roman" w:eastAsia="方正小标宋_GBK" w:cs="Times New Roman"/>
          <w:color w:val="000000"/>
          <w:kern w:val="0"/>
          <w:sz w:val="36"/>
          <w:szCs w:val="36"/>
        </w:rPr>
      </w:pPr>
    </w:p>
    <w:p w14:paraId="53D83E76">
      <w:pPr>
        <w:widowControl/>
        <w:jc w:val="center"/>
        <w:rPr>
          <w:rFonts w:hint="eastAsia" w:ascii="Times New Roman" w:hAnsi="Times New Roman" w:eastAsia="方正小标宋_GBK" w:cs="Times New Roman"/>
          <w:color w:val="000000"/>
          <w:kern w:val="0"/>
          <w:sz w:val="36"/>
          <w:szCs w:val="36"/>
        </w:rPr>
      </w:pPr>
    </w:p>
    <w:p w14:paraId="246D4396">
      <w:pPr>
        <w:widowControl/>
        <w:jc w:val="center"/>
        <w:rPr>
          <w:rFonts w:hint="eastAsia" w:ascii="Times New Roman" w:hAnsi="Times New Roman" w:eastAsia="方正小标宋_GBK" w:cs="Times New Roman"/>
          <w:color w:val="000000"/>
          <w:kern w:val="0"/>
          <w:sz w:val="36"/>
          <w:szCs w:val="36"/>
        </w:rPr>
      </w:pPr>
    </w:p>
    <w:p w14:paraId="0BDD6A9A">
      <w:pPr>
        <w:widowControl/>
        <w:jc w:val="center"/>
        <w:rPr>
          <w:rFonts w:hint="eastAsia" w:ascii="Times New Roman" w:hAnsi="Times New Roman" w:eastAsia="方正小标宋_GBK" w:cs="Times New Roman"/>
          <w:color w:val="000000"/>
          <w:kern w:val="0"/>
          <w:sz w:val="36"/>
          <w:szCs w:val="36"/>
        </w:rPr>
      </w:pPr>
    </w:p>
    <w:p w14:paraId="30C2E6DE">
      <w:pPr>
        <w:widowControl/>
        <w:jc w:val="center"/>
        <w:rPr>
          <w:rFonts w:hint="eastAsia" w:ascii="Times New Roman" w:hAnsi="Times New Roman" w:eastAsia="方正小标宋_GBK" w:cs="Times New Roman"/>
          <w:color w:val="000000"/>
          <w:kern w:val="0"/>
          <w:sz w:val="36"/>
          <w:szCs w:val="36"/>
        </w:rPr>
      </w:pPr>
    </w:p>
    <w:p w14:paraId="14EB4C5F">
      <w:pPr>
        <w:widowControl/>
        <w:jc w:val="center"/>
        <w:rPr>
          <w:rFonts w:hint="eastAsia" w:ascii="Times New Roman" w:hAnsi="Times New Roman" w:eastAsia="方正小标宋_GBK" w:cs="Times New Roman"/>
          <w:color w:val="000000"/>
          <w:kern w:val="0"/>
          <w:sz w:val="36"/>
          <w:szCs w:val="36"/>
        </w:rPr>
      </w:pPr>
    </w:p>
    <w:p w14:paraId="313B677D">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6A7DB0D5">
      <w:pPr>
        <w:pStyle w:val="14"/>
        <w:rPr>
          <w:sz w:val="72"/>
          <w:szCs w:val="72"/>
        </w:rPr>
      </w:pPr>
    </w:p>
    <w:p w14:paraId="445A63F9">
      <w:pPr>
        <w:pStyle w:val="14"/>
        <w:rPr>
          <w:sz w:val="72"/>
          <w:szCs w:val="72"/>
        </w:rPr>
      </w:pPr>
    </w:p>
    <w:p w14:paraId="6A146E23">
      <w:pPr>
        <w:pStyle w:val="14"/>
        <w:rPr>
          <w:sz w:val="72"/>
          <w:szCs w:val="72"/>
        </w:rPr>
      </w:pPr>
    </w:p>
    <w:p w14:paraId="4B3B1749">
      <w:pPr>
        <w:pStyle w:val="14"/>
        <w:rPr>
          <w:sz w:val="72"/>
          <w:szCs w:val="72"/>
        </w:rPr>
      </w:pPr>
    </w:p>
    <w:p w14:paraId="6066C5AA">
      <w:pPr>
        <w:pStyle w:val="14"/>
        <w:jc w:val="center"/>
        <w:rPr>
          <w:sz w:val="72"/>
          <w:szCs w:val="72"/>
        </w:rPr>
      </w:pPr>
    </w:p>
    <w:p w14:paraId="6EABBDDE">
      <w:pPr>
        <w:pStyle w:val="14"/>
        <w:jc w:val="center"/>
        <w:rPr>
          <w:rFonts w:hint="eastAsia" w:ascii="方正小标宋_GBK" w:hAnsi="方正小标宋_GBK" w:eastAsia="方正小标宋_GBK" w:cs="方正小标宋_GBK"/>
          <w:sz w:val="72"/>
          <w:szCs w:val="72"/>
        </w:rPr>
      </w:pPr>
    </w:p>
    <w:p w14:paraId="10A252FB">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86A367A">
      <w:pPr>
        <w:pStyle w:val="14"/>
        <w:jc w:val="center"/>
        <w:rPr>
          <w:rFonts w:hint="eastAsia" w:ascii="方正小标宋_GBK" w:hAnsi="方正小标宋_GBK" w:eastAsia="方正小标宋_GBK" w:cs="方正小标宋_GBK"/>
          <w:sz w:val="70"/>
          <w:szCs w:val="70"/>
        </w:rPr>
      </w:pPr>
    </w:p>
    <w:p w14:paraId="3690F384">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227B8D50">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AA5D02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6F74EF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1812.05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48.26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2.74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w:t>
      </w:r>
      <w:r>
        <w:rPr>
          <w:rFonts w:hint="eastAsia" w:ascii="Times New Roman" w:hAnsi="Times New Roman" w:eastAsia="仿宋_GB2312"/>
          <w:sz w:val="32"/>
          <w:szCs w:val="32"/>
          <w:lang w:val="en-US" w:eastAsia="zh-CN"/>
        </w:rPr>
        <w:t>.</w:t>
      </w:r>
    </w:p>
    <w:p w14:paraId="20BA460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C5F67C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1812.05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1812.05</w:t>
      </w:r>
      <w:r>
        <w:rPr>
          <w:rFonts w:hint="eastAsia" w:ascii="Times New Roman" w:hAnsi="Times New Roman" w:eastAsia="仿宋_GB2312"/>
          <w:sz w:val="32"/>
          <w:szCs w:val="32"/>
        </w:rPr>
        <w:t>万元，占100%；上级补助收入0万元，占0%；事业收入0万元，占0%；经营收入0万元，占0%；附属单位上缴收入0万元，占0%；其他收入0万元，占0%。</w:t>
      </w:r>
    </w:p>
    <w:p w14:paraId="4A76966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CC08B2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1812.05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833.22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45.98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978.82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54.02</w:t>
      </w:r>
      <w:r>
        <w:rPr>
          <w:rFonts w:hint="eastAsia" w:ascii="Times New Roman" w:hAnsi="Times New Roman" w:eastAsia="仿宋_GB2312"/>
          <w:sz w:val="32"/>
          <w:szCs w:val="32"/>
        </w:rPr>
        <w:t>%；</w:t>
      </w:r>
      <w:r>
        <w:rPr>
          <w:rFonts w:hint="eastAsia" w:asciiTheme="minorEastAsia" w:hAnsiTheme="minorEastAsia" w:eastAsiaTheme="minorEastAsia"/>
          <w:color w:val="auto"/>
          <w:sz w:val="32"/>
          <w:szCs w:val="32"/>
        </w:rPr>
        <w:t>上缴上级支出0万元，占0%；经营支出0万元，占0%；对附属单位补助支出0万元，占0%。</w:t>
      </w:r>
    </w:p>
    <w:p w14:paraId="3D2DDC3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F069B7B">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1812.05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48.26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2.74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w:t>
      </w:r>
    </w:p>
    <w:p w14:paraId="00DFD57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DAF5D3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31A0447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1781.07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98.29</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22.52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1.28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w:t>
      </w:r>
      <w:r>
        <w:rPr>
          <w:rFonts w:hint="eastAsia" w:ascii="Times New Roman" w:hAnsi="Times New Roman" w:eastAsia="仿宋_GB2312"/>
          <w:sz w:val="32"/>
          <w:szCs w:val="32"/>
          <w:lang w:val="en-US" w:eastAsia="zh-CN"/>
        </w:rPr>
        <w:t>.</w:t>
      </w:r>
    </w:p>
    <w:p w14:paraId="6C137A92">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14:paraId="122D2C3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Theme="minorEastAsia"/>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1781.07</w:t>
      </w:r>
      <w:r>
        <w:rPr>
          <w:rFonts w:hint="eastAsia" w:ascii="Times New Roman" w:hAnsi="Times New Roman" w:eastAsia="仿宋_GB2312"/>
          <w:sz w:val="32"/>
          <w:szCs w:val="32"/>
        </w:rPr>
        <w:t>万元，主要用于以下方面：</w:t>
      </w:r>
      <w:r>
        <w:rPr>
          <w:rFonts w:hint="eastAsia" w:asciiTheme="minorEastAsia" w:hAnsiTheme="minorEastAsia" w:eastAsiaTheme="minorEastAsia"/>
          <w:sz w:val="32"/>
          <w:szCs w:val="32"/>
        </w:rPr>
        <w:t>一般公共服务（类）支出</w:t>
      </w:r>
      <w:r>
        <w:rPr>
          <w:rFonts w:hint="eastAsia" w:asciiTheme="minorEastAsia" w:hAnsiTheme="minorEastAsia" w:eastAsiaTheme="minorEastAsia"/>
          <w:sz w:val="32"/>
          <w:szCs w:val="32"/>
          <w:lang w:val="en-US" w:eastAsia="zh-CN"/>
        </w:rPr>
        <w:t>666.14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37.4</w:t>
      </w:r>
      <w:r>
        <w:rPr>
          <w:rFonts w:hint="eastAsia" w:asciiTheme="minorEastAsia" w:hAnsiTheme="minorEastAsia" w:eastAsiaTheme="minorEastAsia"/>
          <w:sz w:val="32"/>
          <w:szCs w:val="32"/>
        </w:rPr>
        <w:t>%；公共安全（类）支出</w:t>
      </w:r>
      <w:r>
        <w:rPr>
          <w:rFonts w:hint="eastAsia" w:asciiTheme="minorEastAsia" w:hAnsiTheme="minorEastAsia" w:eastAsiaTheme="minorEastAsia"/>
          <w:sz w:val="32"/>
          <w:szCs w:val="32"/>
          <w:lang w:val="en-US" w:eastAsia="zh-CN"/>
        </w:rPr>
        <w:t>19.2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%;文化旅游体育与传媒（类）支出</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%；社会保障和就业（类）支出</w:t>
      </w:r>
      <w:r>
        <w:rPr>
          <w:rFonts w:hint="eastAsia" w:asciiTheme="minorEastAsia" w:hAnsiTheme="minorEastAsia" w:eastAsiaTheme="minorEastAsia"/>
          <w:sz w:val="32"/>
          <w:szCs w:val="32"/>
          <w:lang w:val="en-US" w:eastAsia="zh-CN"/>
        </w:rPr>
        <w:t>102.99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5.78</w:t>
      </w:r>
      <w:r>
        <w:rPr>
          <w:rFonts w:hint="eastAsia" w:asciiTheme="minorEastAsia" w:hAnsiTheme="minorEastAsia" w:eastAsiaTheme="minorEastAsia"/>
          <w:sz w:val="32"/>
          <w:szCs w:val="32"/>
        </w:rPr>
        <w:t>%;卫生健康（类）支出</w:t>
      </w:r>
      <w:r>
        <w:rPr>
          <w:rFonts w:hint="eastAsia" w:asciiTheme="minorEastAsia" w:hAnsiTheme="minorEastAsia" w:eastAsiaTheme="minorEastAsia"/>
          <w:sz w:val="32"/>
          <w:szCs w:val="32"/>
          <w:lang w:val="en-US" w:eastAsia="zh-CN"/>
        </w:rPr>
        <w:t>53.7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3.02</w:t>
      </w:r>
      <w:r>
        <w:rPr>
          <w:rFonts w:hint="eastAsia" w:asciiTheme="minorEastAsia" w:hAnsiTheme="minorEastAsia" w:eastAsiaTheme="minorEastAsia"/>
          <w:sz w:val="32"/>
          <w:szCs w:val="32"/>
        </w:rPr>
        <w:t>%;节能环保支出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0.28</w:t>
      </w:r>
      <w:r>
        <w:rPr>
          <w:rFonts w:hint="eastAsia" w:asciiTheme="minorEastAsia" w:hAnsiTheme="minorEastAsia" w:eastAsiaTheme="minorEastAsia"/>
          <w:sz w:val="32"/>
          <w:szCs w:val="32"/>
        </w:rPr>
        <w:t>%；城乡社区（</w:t>
      </w:r>
      <w:bookmarkStart w:id="2" w:name="OLE_LINK3"/>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58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3.26</w:t>
      </w:r>
      <w:r>
        <w:rPr>
          <w:rFonts w:hint="eastAsia" w:asciiTheme="minorEastAsia" w:hAnsiTheme="minorEastAsia" w:eastAsiaTheme="minorEastAsia"/>
          <w:sz w:val="32"/>
          <w:szCs w:val="32"/>
        </w:rPr>
        <w:t>%；</w:t>
      </w:r>
      <w:bookmarkEnd w:id="2"/>
      <w:r>
        <w:rPr>
          <w:rFonts w:hint="eastAsia" w:asciiTheme="minorEastAsia" w:hAnsiTheme="minorEastAsia" w:eastAsiaTheme="minorEastAsia"/>
          <w:sz w:val="32"/>
          <w:szCs w:val="32"/>
        </w:rPr>
        <w:t>农林水（类）支出</w:t>
      </w:r>
      <w:r>
        <w:rPr>
          <w:rFonts w:hint="eastAsia" w:asciiTheme="minorEastAsia" w:hAnsiTheme="minorEastAsia" w:eastAsiaTheme="minorEastAsia"/>
          <w:sz w:val="32"/>
          <w:szCs w:val="32"/>
          <w:lang w:val="en-US" w:eastAsia="zh-CN"/>
        </w:rPr>
        <w:t>572.68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32.15</w:t>
      </w:r>
      <w:r>
        <w:rPr>
          <w:rFonts w:hint="eastAsia" w:asciiTheme="minorEastAsia" w:hAnsiTheme="minorEastAsia" w:eastAsiaTheme="minorEastAsia"/>
          <w:sz w:val="32"/>
          <w:szCs w:val="32"/>
        </w:rPr>
        <w:t>%;资源勘探工业信息等（类）支出</w:t>
      </w:r>
      <w:r>
        <w:rPr>
          <w:rFonts w:hint="eastAsia" w:asciiTheme="minorEastAsia" w:hAnsiTheme="minorEastAsia" w:eastAsiaTheme="minorEastAsia"/>
          <w:sz w:val="32"/>
          <w:szCs w:val="32"/>
          <w:lang w:val="en-US" w:eastAsia="zh-CN"/>
        </w:rPr>
        <w:t>39.32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2.21</w:t>
      </w:r>
      <w:r>
        <w:rPr>
          <w:rFonts w:hint="eastAsia" w:asciiTheme="minorEastAsia" w:hAnsiTheme="minorEastAsia" w:eastAsiaTheme="minorEastAsia"/>
          <w:sz w:val="32"/>
          <w:szCs w:val="32"/>
        </w:rPr>
        <w:t>%;住房保障（类）支出</w:t>
      </w:r>
      <w:r>
        <w:rPr>
          <w:rFonts w:hint="eastAsia" w:asciiTheme="minorEastAsia" w:hAnsiTheme="minorEastAsia" w:eastAsiaTheme="minorEastAsia"/>
          <w:sz w:val="32"/>
          <w:szCs w:val="32"/>
          <w:lang w:val="en-US" w:eastAsia="zh-CN"/>
        </w:rPr>
        <w:t>27.45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1.54</w:t>
      </w:r>
      <w:r>
        <w:rPr>
          <w:rFonts w:hint="eastAsia" w:asciiTheme="minorEastAsia" w:hAnsiTheme="minorEastAsia" w:eastAsiaTheme="minorEastAsia"/>
          <w:sz w:val="32"/>
          <w:szCs w:val="32"/>
        </w:rPr>
        <w:t>%;灾害防治（类）支出</w:t>
      </w:r>
      <w:r>
        <w:rPr>
          <w:rFonts w:hint="eastAsia" w:asciiTheme="minorEastAsia" w:hAnsiTheme="minorEastAsia" w:eastAsiaTheme="minorEastAsia"/>
          <w:sz w:val="32"/>
          <w:szCs w:val="32"/>
          <w:lang w:val="en-US" w:eastAsia="zh-CN"/>
        </w:rPr>
        <w:t>202.58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11.37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14:paraId="00E2AD8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14:paraId="285906EA">
      <w:pPr>
        <w:pStyle w:val="14"/>
        <w:ind w:firstLine="800" w:firstLineChars="250"/>
        <w:rPr>
          <w:rFonts w:asciiTheme="minorEastAsia" w:hAnsiTheme="minorEastAsia" w:eastAsiaTheme="minorEastAsia"/>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heme="minorEastAsia" w:hAnsiTheme="minorEastAsia" w:eastAsiaTheme="minorEastAsia"/>
          <w:sz w:val="32"/>
          <w:szCs w:val="32"/>
        </w:rPr>
        <w:t>财政拨款支出年初预算数为</w:t>
      </w:r>
      <w:r>
        <w:rPr>
          <w:rFonts w:hint="eastAsia" w:asciiTheme="minorEastAsia" w:hAnsiTheme="minorEastAsia" w:eastAsiaTheme="minorEastAsia"/>
          <w:sz w:val="32"/>
          <w:szCs w:val="32"/>
          <w:lang w:val="en-US" w:eastAsia="zh-CN"/>
        </w:rPr>
        <w:t>1781.07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1781.07</w:t>
      </w:r>
      <w:r>
        <w:rPr>
          <w:rFonts w:hint="eastAsia" w:asciiTheme="minorEastAsia" w:hAnsiTheme="minorEastAsia" w:eastAsiaTheme="minorEastAsia"/>
          <w:sz w:val="32"/>
          <w:szCs w:val="32"/>
        </w:rPr>
        <w:t>万元，完成年初预算的100%，其中：</w:t>
      </w:r>
    </w:p>
    <w:p w14:paraId="5EA11513">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w:t>
      </w:r>
      <w:r>
        <w:rPr>
          <w:rFonts w:hint="eastAsia" w:asciiTheme="minorEastAsia" w:hAnsiTheme="minorEastAsia" w:eastAsiaTheme="minorEastAsia"/>
          <w:color w:val="auto"/>
          <w:sz w:val="32"/>
          <w:szCs w:val="32"/>
          <w:highlight w:val="none"/>
          <w:lang w:eastAsia="zh-CN"/>
        </w:rPr>
        <w:t>、</w:t>
      </w:r>
      <w:bookmarkStart w:id="3" w:name="OLE_LINK4"/>
      <w:r>
        <w:rPr>
          <w:rFonts w:hint="eastAsia" w:asciiTheme="minorEastAsia" w:hAnsiTheme="minorEastAsia" w:eastAsiaTheme="minorEastAsia"/>
          <w:color w:val="auto"/>
          <w:sz w:val="32"/>
          <w:szCs w:val="32"/>
          <w:highlight w:val="none"/>
        </w:rPr>
        <w:t>一般公共服务</w:t>
      </w:r>
      <w:bookmarkEnd w:id="3"/>
      <w:r>
        <w:rPr>
          <w:rFonts w:hint="eastAsia" w:asciiTheme="minorEastAsia" w:hAnsiTheme="minorEastAsia" w:eastAsiaTheme="minorEastAsia"/>
          <w:color w:val="auto"/>
          <w:sz w:val="32"/>
          <w:szCs w:val="32"/>
          <w:highlight w:val="none"/>
        </w:rPr>
        <w:t>（类）人大事务（款）</w:t>
      </w:r>
      <w:bookmarkStart w:id="4" w:name="OLE_LINK6"/>
      <w:r>
        <w:rPr>
          <w:rFonts w:hint="eastAsia" w:asciiTheme="minorEastAsia" w:hAnsiTheme="minorEastAsia" w:eastAsiaTheme="minorEastAsia"/>
          <w:color w:val="auto"/>
          <w:sz w:val="32"/>
          <w:szCs w:val="32"/>
          <w:highlight w:val="none"/>
        </w:rPr>
        <w:t>行政运行</w:t>
      </w:r>
      <w:bookmarkEnd w:id="4"/>
      <w:r>
        <w:rPr>
          <w:rFonts w:hint="eastAsia" w:asciiTheme="minorEastAsia" w:hAnsiTheme="minorEastAsia" w:eastAsiaTheme="minorEastAsia"/>
          <w:color w:val="auto"/>
          <w:sz w:val="32"/>
          <w:szCs w:val="32"/>
          <w:highlight w:val="none"/>
        </w:rPr>
        <w:t>（项）。</w:t>
      </w:r>
    </w:p>
    <w:p w14:paraId="5731E53F">
      <w:pPr>
        <w:pStyle w:val="14"/>
        <w:ind w:firstLine="800" w:firstLineChars="250"/>
        <w:rPr>
          <w:rFonts w:hint="eastAsia"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年初预算为</w:t>
      </w:r>
      <w:r>
        <w:rPr>
          <w:rFonts w:hint="eastAsia" w:asciiTheme="minorEastAsia" w:hAnsiTheme="minorEastAsia" w:eastAsiaTheme="minorEastAsia"/>
          <w:color w:val="auto"/>
          <w:sz w:val="32"/>
          <w:szCs w:val="32"/>
          <w:highlight w:val="none"/>
          <w:lang w:val="en-US" w:eastAsia="zh-CN"/>
        </w:rPr>
        <w:t>1.42</w:t>
      </w:r>
      <w:r>
        <w:rPr>
          <w:rFonts w:hint="eastAsia" w:asciiTheme="minorEastAsia" w:hAnsiTheme="minorEastAsia" w:eastAsiaTheme="minorEastAsia"/>
          <w:color w:val="auto"/>
          <w:sz w:val="32"/>
          <w:szCs w:val="32"/>
          <w:highlight w:val="none"/>
        </w:rPr>
        <w:t>万元，支出决算为</w:t>
      </w:r>
      <w:r>
        <w:rPr>
          <w:rFonts w:hint="eastAsia" w:asciiTheme="minorEastAsia" w:hAnsiTheme="minorEastAsia" w:eastAsiaTheme="minorEastAsia"/>
          <w:color w:val="auto"/>
          <w:sz w:val="32"/>
          <w:szCs w:val="32"/>
          <w:highlight w:val="none"/>
          <w:lang w:val="en-US" w:eastAsia="zh-CN"/>
        </w:rPr>
        <w:t>1.42</w:t>
      </w:r>
      <w:r>
        <w:rPr>
          <w:rFonts w:hint="eastAsia" w:asciiTheme="minorEastAsia" w:hAnsiTheme="minorEastAsia" w:eastAsiaTheme="minorEastAsia"/>
          <w:color w:val="auto"/>
          <w:sz w:val="32"/>
          <w:szCs w:val="32"/>
          <w:highlight w:val="none"/>
        </w:rPr>
        <w:t>万元，完成年初预算的100%，决算数与年初预算数持平。</w:t>
      </w:r>
    </w:p>
    <w:p w14:paraId="5E80B675">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lang w:val="en-US" w:eastAsia="zh-CN"/>
        </w:rPr>
        <w:t>2、</w:t>
      </w:r>
      <w:bookmarkStart w:id="5" w:name="OLE_LINK7"/>
      <w:r>
        <w:rPr>
          <w:rFonts w:hint="eastAsia" w:asciiTheme="minorEastAsia" w:hAnsiTheme="minorEastAsia" w:eastAsiaTheme="minorEastAsia"/>
          <w:color w:val="auto"/>
          <w:sz w:val="32"/>
          <w:szCs w:val="32"/>
          <w:highlight w:val="none"/>
        </w:rPr>
        <w:t>一般公共服务（类）政府办公厅（室）及相关机构事务（款）行政运行（项）。</w:t>
      </w:r>
    </w:p>
    <w:p w14:paraId="6DE12E53">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w:t>
      </w:r>
      <w:bookmarkStart w:id="6" w:name="OLE_LINK5"/>
      <w:r>
        <w:rPr>
          <w:rFonts w:hint="eastAsia" w:asciiTheme="minorEastAsia" w:hAnsiTheme="minorEastAsia" w:eastAsiaTheme="minorEastAsia"/>
          <w:color w:val="auto"/>
          <w:sz w:val="32"/>
          <w:szCs w:val="32"/>
          <w:highlight w:val="none"/>
          <w:lang w:val="en-US" w:eastAsia="zh-CN"/>
        </w:rPr>
        <w:t>576.46</w:t>
      </w:r>
      <w:bookmarkEnd w:id="6"/>
      <w:r>
        <w:rPr>
          <w:rFonts w:hint="eastAsia" w:asciiTheme="minorEastAsia" w:hAnsiTheme="minorEastAsia" w:eastAsiaTheme="minorEastAsia"/>
          <w:color w:val="auto"/>
          <w:sz w:val="32"/>
          <w:szCs w:val="32"/>
          <w:highlight w:val="none"/>
        </w:rPr>
        <w:t>万元，支出决算为</w:t>
      </w:r>
      <w:r>
        <w:rPr>
          <w:rFonts w:hint="eastAsia" w:asciiTheme="minorEastAsia" w:hAnsiTheme="minorEastAsia" w:eastAsiaTheme="minorEastAsia"/>
          <w:color w:val="auto"/>
          <w:sz w:val="32"/>
          <w:szCs w:val="32"/>
          <w:highlight w:val="none"/>
          <w:lang w:val="en-US" w:eastAsia="zh-CN"/>
        </w:rPr>
        <w:t>576.46</w:t>
      </w:r>
      <w:r>
        <w:rPr>
          <w:rFonts w:hint="eastAsia" w:asciiTheme="minorEastAsia" w:hAnsiTheme="minorEastAsia" w:eastAsiaTheme="minorEastAsia"/>
          <w:color w:val="auto"/>
          <w:sz w:val="32"/>
          <w:szCs w:val="32"/>
          <w:highlight w:val="none"/>
        </w:rPr>
        <w:t>万元，完成年初预算的100%，决算数与年初预算数持平。</w:t>
      </w:r>
      <w:bookmarkEnd w:id="5"/>
    </w:p>
    <w:p w14:paraId="0099ED29">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lang w:val="en-US" w:eastAsia="zh-CN"/>
        </w:rPr>
        <w:t>3</w:t>
      </w:r>
      <w:r>
        <w:rPr>
          <w:rFonts w:hint="eastAsia" w:asciiTheme="minorEastAsia" w:hAnsiTheme="minorEastAsia" w:eastAsiaTheme="minorEastAsia"/>
          <w:color w:val="auto"/>
          <w:sz w:val="32"/>
          <w:szCs w:val="32"/>
          <w:highlight w:val="none"/>
        </w:rPr>
        <w:t>、</w:t>
      </w:r>
      <w:bookmarkStart w:id="7" w:name="OLE_LINK8"/>
      <w:r>
        <w:rPr>
          <w:rFonts w:hint="eastAsia" w:asciiTheme="minorEastAsia" w:hAnsiTheme="minorEastAsia" w:eastAsiaTheme="minorEastAsia"/>
          <w:color w:val="auto"/>
          <w:sz w:val="32"/>
          <w:szCs w:val="32"/>
          <w:highlight w:val="none"/>
        </w:rPr>
        <w:t>一般公共服务（类）政府办公厅（室）及相关机构事务（款）一般行政管理事务（项）。</w:t>
      </w:r>
    </w:p>
    <w:p w14:paraId="2C2DA8EC">
      <w:pPr>
        <w:pStyle w:val="14"/>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w:t>
      </w:r>
      <w:r>
        <w:rPr>
          <w:rFonts w:hint="eastAsia" w:asciiTheme="minorEastAsia" w:hAnsiTheme="minorEastAsia" w:eastAsiaTheme="minorEastAsia"/>
          <w:color w:val="auto"/>
          <w:sz w:val="32"/>
          <w:szCs w:val="32"/>
          <w:highlight w:val="none"/>
          <w:lang w:val="en-US" w:eastAsia="zh-CN"/>
        </w:rPr>
        <w:t>19.06</w:t>
      </w:r>
      <w:r>
        <w:rPr>
          <w:rFonts w:hint="eastAsia" w:asciiTheme="minorEastAsia" w:hAnsiTheme="minorEastAsia" w:eastAsiaTheme="minorEastAsia"/>
          <w:color w:val="auto"/>
          <w:sz w:val="32"/>
          <w:szCs w:val="32"/>
          <w:highlight w:val="none"/>
        </w:rPr>
        <w:t>万元，支出决算为</w:t>
      </w:r>
      <w:r>
        <w:rPr>
          <w:rFonts w:hint="eastAsia" w:asciiTheme="minorEastAsia" w:hAnsiTheme="minorEastAsia" w:eastAsiaTheme="minorEastAsia"/>
          <w:color w:val="auto"/>
          <w:sz w:val="32"/>
          <w:szCs w:val="32"/>
          <w:highlight w:val="none"/>
          <w:lang w:val="en-US" w:eastAsia="zh-CN"/>
        </w:rPr>
        <w:t>19.06</w:t>
      </w:r>
      <w:r>
        <w:rPr>
          <w:rFonts w:hint="eastAsia" w:asciiTheme="minorEastAsia" w:hAnsiTheme="minorEastAsia" w:eastAsiaTheme="minorEastAsia"/>
          <w:color w:val="auto"/>
          <w:sz w:val="32"/>
          <w:szCs w:val="32"/>
          <w:highlight w:val="none"/>
        </w:rPr>
        <w:t>万元，完成年初预算的100%，决算数与年初预算数持平。</w:t>
      </w:r>
      <w:bookmarkEnd w:id="7"/>
    </w:p>
    <w:p w14:paraId="77CD18AE">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sz w:val="32"/>
          <w:szCs w:val="32"/>
          <w:highlight w:val="none"/>
          <w:lang w:val="en-US" w:eastAsia="zh-CN"/>
        </w:rPr>
        <w:t>4、</w:t>
      </w:r>
      <w:bookmarkStart w:id="8" w:name="OLE_LINK9"/>
      <w:r>
        <w:rPr>
          <w:rFonts w:hint="eastAsia" w:asciiTheme="minorEastAsia" w:hAnsiTheme="minorEastAsia" w:eastAsiaTheme="minorEastAsia"/>
          <w:color w:val="auto"/>
          <w:sz w:val="32"/>
          <w:szCs w:val="32"/>
          <w:highlight w:val="none"/>
        </w:rPr>
        <w:t>一般公共服务（类）政府办公厅（室）及相关机构事务（款）信访事务（项）。</w:t>
      </w:r>
    </w:p>
    <w:p w14:paraId="07E9FA0D">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color w:val="auto"/>
          <w:sz w:val="32"/>
          <w:szCs w:val="32"/>
          <w:highlight w:val="none"/>
        </w:rPr>
        <w:t>年初预算为</w:t>
      </w:r>
      <w:r>
        <w:rPr>
          <w:rFonts w:hint="eastAsia" w:asciiTheme="minorEastAsia" w:hAnsiTheme="minorEastAsia" w:eastAsiaTheme="minorEastAsia"/>
          <w:color w:val="auto"/>
          <w:sz w:val="32"/>
          <w:szCs w:val="32"/>
          <w:highlight w:val="none"/>
          <w:lang w:val="en-US" w:eastAsia="zh-CN"/>
        </w:rPr>
        <w:t>2</w:t>
      </w:r>
      <w:r>
        <w:rPr>
          <w:rFonts w:hint="eastAsia" w:asciiTheme="minorEastAsia" w:hAnsiTheme="minorEastAsia" w:eastAsiaTheme="minorEastAsia"/>
          <w:color w:val="auto"/>
          <w:sz w:val="32"/>
          <w:szCs w:val="32"/>
          <w:highlight w:val="none"/>
        </w:rPr>
        <w:t>万元，支出决算为</w:t>
      </w:r>
      <w:r>
        <w:rPr>
          <w:rFonts w:hint="eastAsia" w:asciiTheme="minorEastAsia" w:hAnsiTheme="minorEastAsia" w:eastAsiaTheme="minorEastAsia"/>
          <w:color w:val="auto"/>
          <w:sz w:val="32"/>
          <w:szCs w:val="32"/>
          <w:highlight w:val="none"/>
          <w:lang w:val="en-US" w:eastAsia="zh-CN"/>
        </w:rPr>
        <w:t>2</w:t>
      </w:r>
      <w:r>
        <w:rPr>
          <w:rFonts w:hint="eastAsia" w:asciiTheme="minorEastAsia" w:hAnsiTheme="minorEastAsia" w:eastAsiaTheme="minorEastAsia"/>
          <w:color w:val="auto"/>
          <w:sz w:val="32"/>
          <w:szCs w:val="32"/>
          <w:highlight w:val="none"/>
        </w:rPr>
        <w:t>万元，完成年初预算的100%，决算数与年初预算数持平。</w:t>
      </w:r>
    </w:p>
    <w:bookmarkEnd w:id="8"/>
    <w:p w14:paraId="7B703799">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sz w:val="32"/>
          <w:szCs w:val="32"/>
          <w:highlight w:val="none"/>
          <w:lang w:val="en-US" w:eastAsia="zh-CN"/>
        </w:rPr>
        <w:t>5、</w:t>
      </w:r>
      <w:r>
        <w:rPr>
          <w:rFonts w:hint="eastAsia" w:asciiTheme="minorEastAsia" w:hAnsiTheme="minorEastAsia" w:eastAsiaTheme="minorEastAsia"/>
          <w:color w:val="auto"/>
          <w:sz w:val="32"/>
          <w:szCs w:val="32"/>
          <w:highlight w:val="none"/>
        </w:rPr>
        <w:t>一般公共服务（类）政府办公厅（室）及相关机构事务（款）其他政府办公厅（室）及相关机构事务支出（项）。</w:t>
      </w:r>
    </w:p>
    <w:p w14:paraId="670035E2">
      <w:pPr>
        <w:pStyle w:val="14"/>
        <w:ind w:firstLine="640" w:firstLineChars="200"/>
        <w:rPr>
          <w:rFonts w:asciiTheme="minorEastAsia" w:hAnsiTheme="minorEastAsia" w:eastAsiaTheme="minorEastAsia"/>
          <w:sz w:val="32"/>
          <w:szCs w:val="32"/>
          <w:highlight w:val="yellow"/>
        </w:rPr>
      </w:pPr>
      <w:r>
        <w:rPr>
          <w:rFonts w:hint="eastAsia" w:asciiTheme="minorEastAsia" w:hAnsiTheme="minorEastAsia" w:eastAsiaTheme="minorEastAsia"/>
          <w:color w:val="auto"/>
          <w:sz w:val="32"/>
          <w:szCs w:val="32"/>
          <w:highlight w:val="none"/>
        </w:rPr>
        <w:t>年初预算为</w:t>
      </w:r>
      <w:r>
        <w:rPr>
          <w:rFonts w:hint="eastAsia" w:asciiTheme="minorEastAsia" w:hAnsiTheme="minorEastAsia" w:eastAsiaTheme="minorEastAsia"/>
          <w:color w:val="auto"/>
          <w:sz w:val="32"/>
          <w:szCs w:val="32"/>
          <w:highlight w:val="none"/>
          <w:lang w:val="en-US" w:eastAsia="zh-CN"/>
        </w:rPr>
        <w:t>24</w:t>
      </w:r>
      <w:r>
        <w:rPr>
          <w:rFonts w:hint="eastAsia" w:asciiTheme="minorEastAsia" w:hAnsiTheme="minorEastAsia" w:eastAsiaTheme="minorEastAsia"/>
          <w:color w:val="auto"/>
          <w:sz w:val="32"/>
          <w:szCs w:val="32"/>
          <w:highlight w:val="none"/>
        </w:rPr>
        <w:t>万元，支出决算为</w:t>
      </w:r>
      <w:r>
        <w:rPr>
          <w:rFonts w:hint="eastAsia" w:asciiTheme="minorEastAsia" w:hAnsiTheme="minorEastAsia" w:eastAsiaTheme="minorEastAsia"/>
          <w:color w:val="auto"/>
          <w:sz w:val="32"/>
          <w:szCs w:val="32"/>
          <w:highlight w:val="none"/>
          <w:lang w:val="en-US" w:eastAsia="zh-CN"/>
        </w:rPr>
        <w:t>24</w:t>
      </w:r>
      <w:r>
        <w:rPr>
          <w:rFonts w:hint="eastAsia" w:asciiTheme="minorEastAsia" w:hAnsiTheme="minorEastAsia" w:eastAsiaTheme="minorEastAsia"/>
          <w:color w:val="auto"/>
          <w:sz w:val="32"/>
          <w:szCs w:val="32"/>
          <w:highlight w:val="none"/>
        </w:rPr>
        <w:t>万元，完成年初预算的100%，决算数与年初预算数持平。</w:t>
      </w:r>
    </w:p>
    <w:p w14:paraId="25339B7A">
      <w:pPr>
        <w:pStyle w:val="14"/>
        <w:ind w:firstLine="960" w:firstLineChars="300"/>
        <w:rPr>
          <w:rFonts w:asciiTheme="minorEastAsia" w:hAnsiTheme="minorEastAsia" w:eastAsiaTheme="minorEastAsia"/>
          <w:sz w:val="32"/>
          <w:szCs w:val="32"/>
          <w:highlight w:val="yellow"/>
        </w:rPr>
      </w:pPr>
    </w:p>
    <w:p w14:paraId="7D7F67C8">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6、</w:t>
      </w:r>
      <w:r>
        <w:rPr>
          <w:rFonts w:hint="eastAsia" w:asciiTheme="minorEastAsia" w:hAnsiTheme="minorEastAsia" w:eastAsiaTheme="minorEastAsia"/>
          <w:sz w:val="32"/>
          <w:szCs w:val="32"/>
          <w:highlight w:val="none"/>
        </w:rPr>
        <w:t>一般公共服务（类）财政事务（款）行政运行（项）。</w:t>
      </w:r>
    </w:p>
    <w:p w14:paraId="09CB5545">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17.21</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17.21</w:t>
      </w:r>
      <w:r>
        <w:rPr>
          <w:rFonts w:hint="eastAsia" w:asciiTheme="minorEastAsia" w:hAnsiTheme="minorEastAsia" w:eastAsiaTheme="minorEastAsia"/>
          <w:sz w:val="32"/>
          <w:szCs w:val="32"/>
          <w:highlight w:val="none"/>
        </w:rPr>
        <w:t>万元，完成年初预算的100%，决算数与年初预算数持平。</w:t>
      </w:r>
    </w:p>
    <w:p w14:paraId="69CC89D9">
      <w:pPr>
        <w:pStyle w:val="14"/>
        <w:numPr>
          <w:ilvl w:val="0"/>
          <w:numId w:val="0"/>
        </w:numPr>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7、</w:t>
      </w:r>
      <w:r>
        <w:rPr>
          <w:rFonts w:hint="eastAsia" w:asciiTheme="minorEastAsia" w:hAnsiTheme="minorEastAsia" w:eastAsiaTheme="minorEastAsia"/>
          <w:sz w:val="32"/>
          <w:szCs w:val="32"/>
          <w:highlight w:val="none"/>
        </w:rPr>
        <w:t>一般公共服务（类）财政事务（款）</w:t>
      </w:r>
      <w:bookmarkStart w:id="9" w:name="OLE_LINK10"/>
      <w:r>
        <w:rPr>
          <w:rFonts w:hint="eastAsia" w:asciiTheme="minorEastAsia" w:hAnsiTheme="minorEastAsia" w:eastAsiaTheme="minorEastAsia"/>
          <w:sz w:val="32"/>
          <w:szCs w:val="32"/>
          <w:highlight w:val="none"/>
        </w:rPr>
        <w:t>一般行政管理事务</w:t>
      </w:r>
      <w:bookmarkEnd w:id="9"/>
      <w:r>
        <w:rPr>
          <w:rFonts w:hint="eastAsia" w:asciiTheme="minorEastAsia" w:hAnsiTheme="minorEastAsia" w:eastAsiaTheme="minorEastAsia"/>
          <w:sz w:val="32"/>
          <w:szCs w:val="32"/>
          <w:highlight w:val="none"/>
        </w:rPr>
        <w:t>（项）。</w:t>
      </w:r>
    </w:p>
    <w:p w14:paraId="39AAA2F9">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8</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8</w:t>
      </w:r>
      <w:r>
        <w:rPr>
          <w:rFonts w:hint="eastAsia" w:asciiTheme="minorEastAsia" w:hAnsiTheme="minorEastAsia" w:eastAsiaTheme="minorEastAsia"/>
          <w:sz w:val="32"/>
          <w:szCs w:val="32"/>
          <w:highlight w:val="none"/>
        </w:rPr>
        <w:t>万元，完成年初预算的100%，决算数与年初预算数持平。</w:t>
      </w:r>
    </w:p>
    <w:p w14:paraId="5A6CE51A">
      <w:pPr>
        <w:pStyle w:val="14"/>
        <w:numPr>
          <w:ilvl w:val="0"/>
          <w:numId w:val="0"/>
        </w:numPr>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8、</w:t>
      </w:r>
      <w:r>
        <w:rPr>
          <w:rFonts w:hint="eastAsia" w:asciiTheme="minorEastAsia" w:hAnsiTheme="minorEastAsia" w:eastAsiaTheme="minorEastAsia"/>
          <w:sz w:val="32"/>
          <w:szCs w:val="32"/>
          <w:highlight w:val="none"/>
        </w:rPr>
        <w:t>一般公共服务（类）</w:t>
      </w:r>
      <w:r>
        <w:rPr>
          <w:rFonts w:hint="eastAsia" w:asciiTheme="minorEastAsia" w:hAnsiTheme="minorEastAsia" w:eastAsiaTheme="minorEastAsia"/>
          <w:sz w:val="32"/>
          <w:szCs w:val="32"/>
          <w:highlight w:val="none"/>
          <w:lang w:eastAsia="zh-CN"/>
        </w:rPr>
        <w:t>组织事务</w:t>
      </w:r>
      <w:r>
        <w:rPr>
          <w:rFonts w:hint="eastAsia" w:asciiTheme="minorEastAsia" w:hAnsiTheme="minorEastAsia" w:eastAsiaTheme="minorEastAsia"/>
          <w:sz w:val="32"/>
          <w:szCs w:val="32"/>
          <w:highlight w:val="none"/>
        </w:rPr>
        <w:t>（款）一般行政管理事务（项）。</w:t>
      </w:r>
    </w:p>
    <w:p w14:paraId="6A78BFC9">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8</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8</w:t>
      </w:r>
      <w:r>
        <w:rPr>
          <w:rFonts w:hint="eastAsia" w:asciiTheme="minorEastAsia" w:hAnsiTheme="minorEastAsia" w:eastAsiaTheme="minorEastAsia"/>
          <w:sz w:val="32"/>
          <w:szCs w:val="32"/>
          <w:highlight w:val="none"/>
        </w:rPr>
        <w:t>万元，完成年初预算的100%，决算数与年初预算数持平</w:t>
      </w:r>
    </w:p>
    <w:p w14:paraId="5825EC8E">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9、</w:t>
      </w:r>
      <w:r>
        <w:rPr>
          <w:rFonts w:hint="eastAsia" w:asciiTheme="minorEastAsia" w:hAnsiTheme="minorEastAsia" w:eastAsiaTheme="minorEastAsia"/>
          <w:sz w:val="32"/>
          <w:szCs w:val="32"/>
          <w:highlight w:val="none"/>
        </w:rPr>
        <w:t>一般公共服务（类）其他共产党事务支出（款）一般行政管理事务（项）。</w:t>
      </w:r>
    </w:p>
    <w:p w14:paraId="2E917CD8">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8</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8</w:t>
      </w:r>
      <w:r>
        <w:rPr>
          <w:rFonts w:hint="eastAsia" w:asciiTheme="minorEastAsia" w:hAnsiTheme="minorEastAsia" w:eastAsiaTheme="minorEastAsia"/>
          <w:sz w:val="32"/>
          <w:szCs w:val="32"/>
          <w:highlight w:val="none"/>
        </w:rPr>
        <w:t>万元，完成年初预算的100%，决算数与年初预算数持平。</w:t>
      </w:r>
    </w:p>
    <w:p w14:paraId="2A441414">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10、</w:t>
      </w:r>
      <w:r>
        <w:rPr>
          <w:rFonts w:hint="eastAsia" w:asciiTheme="minorEastAsia" w:hAnsiTheme="minorEastAsia" w:eastAsiaTheme="minorEastAsia"/>
          <w:sz w:val="32"/>
          <w:szCs w:val="32"/>
          <w:highlight w:val="none"/>
        </w:rPr>
        <w:t>一般公共服务（类）</w:t>
      </w:r>
      <w:bookmarkStart w:id="10" w:name="OLE_LINK11"/>
      <w:r>
        <w:rPr>
          <w:rFonts w:hint="eastAsia" w:asciiTheme="minorEastAsia" w:hAnsiTheme="minorEastAsia" w:eastAsiaTheme="minorEastAsia"/>
          <w:sz w:val="32"/>
          <w:szCs w:val="32"/>
          <w:highlight w:val="none"/>
        </w:rPr>
        <w:t>其他一般公共服务支出</w:t>
      </w:r>
      <w:bookmarkEnd w:id="10"/>
      <w:r>
        <w:rPr>
          <w:rFonts w:hint="eastAsia" w:asciiTheme="minorEastAsia" w:hAnsiTheme="minorEastAsia" w:eastAsiaTheme="minorEastAsia"/>
          <w:sz w:val="32"/>
          <w:szCs w:val="32"/>
          <w:highlight w:val="none"/>
        </w:rPr>
        <w:t>（款）其他一般公共服务支出（项）。</w:t>
      </w:r>
    </w:p>
    <w:p w14:paraId="0822158F">
      <w:pPr>
        <w:pStyle w:val="14"/>
        <w:numPr>
          <w:ilvl w:val="0"/>
          <w:numId w:val="0"/>
        </w:numPr>
        <w:ind w:left="0" w:leftChars="0"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2</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w:t>
      </w:r>
      <w:r>
        <w:rPr>
          <w:rFonts w:hint="eastAsia" w:asciiTheme="minorEastAsia" w:hAnsiTheme="minorEastAsia" w:eastAsiaTheme="minorEastAsia"/>
          <w:sz w:val="32"/>
          <w:szCs w:val="32"/>
          <w:highlight w:val="none"/>
        </w:rPr>
        <w:t>万元，完成年初预算的100%，决算数与年初预算数持平</w:t>
      </w:r>
    </w:p>
    <w:p w14:paraId="3983E49C">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11、</w:t>
      </w:r>
      <w:r>
        <w:rPr>
          <w:rFonts w:hint="eastAsia" w:asciiTheme="minorEastAsia" w:hAnsiTheme="minorEastAsia" w:eastAsiaTheme="minorEastAsia"/>
          <w:sz w:val="32"/>
          <w:szCs w:val="32"/>
          <w:highlight w:val="none"/>
        </w:rPr>
        <w:t>公共安全支出（类）公安（款）一般行政管理事务（项）。</w:t>
      </w:r>
    </w:p>
    <w:p w14:paraId="0E72E5D5">
      <w:pPr>
        <w:pStyle w:val="14"/>
        <w:numPr>
          <w:ilvl w:val="0"/>
          <w:numId w:val="0"/>
        </w:numPr>
        <w:ind w:left="0" w:leftChars="0"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bookmarkStart w:id="11" w:name="OLE_LINK12"/>
      <w:r>
        <w:rPr>
          <w:rFonts w:hint="eastAsia" w:asciiTheme="minorEastAsia" w:hAnsiTheme="minorEastAsia" w:eastAsiaTheme="minorEastAsia"/>
          <w:sz w:val="32"/>
          <w:szCs w:val="32"/>
          <w:highlight w:val="none"/>
          <w:lang w:val="en-US" w:eastAsia="zh-CN"/>
        </w:rPr>
        <w:t>19.2</w:t>
      </w:r>
      <w:bookmarkEnd w:id="11"/>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19.2</w:t>
      </w:r>
      <w:r>
        <w:rPr>
          <w:rFonts w:hint="eastAsia" w:asciiTheme="minorEastAsia" w:hAnsiTheme="minorEastAsia" w:eastAsiaTheme="minorEastAsia"/>
          <w:sz w:val="32"/>
          <w:szCs w:val="32"/>
          <w:highlight w:val="none"/>
        </w:rPr>
        <w:t>万元，完成年初预算的100%，决算数与年初预算数持平。</w:t>
      </w:r>
    </w:p>
    <w:p w14:paraId="55D96A5D">
      <w:pPr>
        <w:pStyle w:val="14"/>
        <w:numPr>
          <w:ilvl w:val="0"/>
          <w:numId w:val="0"/>
        </w:numPr>
        <w:ind w:left="420" w:leftChars="0" w:firstLine="320" w:firstLineChars="1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12、</w:t>
      </w:r>
      <w:r>
        <w:rPr>
          <w:rFonts w:hint="eastAsia" w:asciiTheme="minorEastAsia" w:hAnsiTheme="minorEastAsia" w:eastAsiaTheme="minorEastAsia"/>
          <w:sz w:val="32"/>
          <w:szCs w:val="32"/>
          <w:highlight w:val="none"/>
        </w:rPr>
        <w:t>文化旅游体育与传媒支出（类）文化和旅游（款）其他文化和旅游支出（项）。</w:t>
      </w:r>
    </w:p>
    <w:p w14:paraId="3EEB8367">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13</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13</w:t>
      </w:r>
      <w:r>
        <w:rPr>
          <w:rFonts w:hint="eastAsia" w:asciiTheme="minorEastAsia" w:hAnsiTheme="minorEastAsia" w:eastAsiaTheme="minorEastAsia"/>
          <w:sz w:val="32"/>
          <w:szCs w:val="32"/>
          <w:highlight w:val="none"/>
        </w:rPr>
        <w:t>万元，完成年初预算的100%，决算数与年初预算数持平。</w:t>
      </w:r>
    </w:p>
    <w:p w14:paraId="2C3D2806">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13、</w:t>
      </w:r>
      <w:r>
        <w:rPr>
          <w:rFonts w:hint="eastAsia" w:asciiTheme="minorEastAsia" w:hAnsiTheme="minorEastAsia" w:eastAsiaTheme="minorEastAsia"/>
          <w:sz w:val="32"/>
          <w:szCs w:val="32"/>
          <w:highlight w:val="none"/>
        </w:rPr>
        <w:t>文化旅游体育与传媒支出（类）其他文化旅游体育与传媒支出（款）其他文化旅游体育与传媒支出（项）。</w:t>
      </w:r>
    </w:p>
    <w:p w14:paraId="4408F5E8">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13</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13</w:t>
      </w:r>
      <w:r>
        <w:rPr>
          <w:rFonts w:hint="eastAsia" w:asciiTheme="minorEastAsia" w:hAnsiTheme="minorEastAsia" w:eastAsiaTheme="minorEastAsia"/>
          <w:sz w:val="32"/>
          <w:szCs w:val="32"/>
          <w:highlight w:val="none"/>
        </w:rPr>
        <w:t>万元，完成年初预算的100%，决算数与年初预算数持平。</w:t>
      </w:r>
    </w:p>
    <w:p w14:paraId="583855EB">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14、</w:t>
      </w:r>
      <w:r>
        <w:rPr>
          <w:rFonts w:hint="eastAsia" w:asciiTheme="minorEastAsia" w:hAnsiTheme="minorEastAsia" w:eastAsiaTheme="minorEastAsia"/>
          <w:sz w:val="32"/>
          <w:szCs w:val="32"/>
          <w:highlight w:val="none"/>
        </w:rPr>
        <w:t>社会保障和就业支出（类）行政事业单位养老支出（款）机关事业单位基本养老保险缴费支出（项）。</w:t>
      </w:r>
    </w:p>
    <w:p w14:paraId="08F96A82">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60.88</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60.88</w:t>
      </w:r>
      <w:r>
        <w:rPr>
          <w:rFonts w:hint="eastAsia" w:asciiTheme="minorEastAsia" w:hAnsiTheme="minorEastAsia" w:eastAsiaTheme="minorEastAsia"/>
          <w:sz w:val="32"/>
          <w:szCs w:val="32"/>
          <w:highlight w:val="none"/>
        </w:rPr>
        <w:t>万元，完成年初预算的100%，决算数与年初预算数持平。</w:t>
      </w:r>
    </w:p>
    <w:p w14:paraId="432C684D">
      <w:pPr>
        <w:pStyle w:val="14"/>
        <w:numPr>
          <w:ilvl w:val="0"/>
          <w:numId w:val="0"/>
        </w:numPr>
        <w:ind w:left="420" w:leftChars="0" w:firstLine="320" w:firstLineChars="1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15、</w:t>
      </w:r>
      <w:r>
        <w:rPr>
          <w:rFonts w:hint="eastAsia" w:asciiTheme="minorEastAsia" w:hAnsiTheme="minorEastAsia" w:eastAsiaTheme="minorEastAsia"/>
          <w:sz w:val="32"/>
          <w:szCs w:val="32"/>
          <w:highlight w:val="none"/>
        </w:rPr>
        <w:t>社会保障和就业支出（类）抚恤（款）死亡抚恤（项）。</w:t>
      </w:r>
    </w:p>
    <w:p w14:paraId="2DD589ED">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28.05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28.05</w:t>
      </w:r>
      <w:r>
        <w:rPr>
          <w:rFonts w:hint="eastAsia" w:asciiTheme="minorEastAsia" w:hAnsiTheme="minorEastAsia" w:eastAsiaTheme="minorEastAsia"/>
          <w:sz w:val="32"/>
          <w:szCs w:val="32"/>
          <w:highlight w:val="none"/>
        </w:rPr>
        <w:t>万元，完成年初预算的100%，决算数与年初预算数持平。</w:t>
      </w:r>
    </w:p>
    <w:p w14:paraId="7A7980C7">
      <w:pPr>
        <w:pStyle w:val="14"/>
        <w:numPr>
          <w:ilvl w:val="0"/>
          <w:numId w:val="0"/>
        </w:numPr>
        <w:ind w:left="630" w:leftChars="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16、</w:t>
      </w:r>
      <w:r>
        <w:rPr>
          <w:rFonts w:hint="eastAsia" w:asciiTheme="minorEastAsia" w:hAnsiTheme="minorEastAsia" w:eastAsiaTheme="minorEastAsia"/>
          <w:sz w:val="32"/>
          <w:szCs w:val="32"/>
          <w:highlight w:val="none"/>
        </w:rPr>
        <w:t>社会保障和就业支出（类）抚恤（款）其他优抚支出（项）。</w:t>
      </w:r>
    </w:p>
    <w:p w14:paraId="7D0419EE">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9</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9</w:t>
      </w:r>
      <w:r>
        <w:rPr>
          <w:rFonts w:hint="eastAsia" w:asciiTheme="minorEastAsia" w:hAnsiTheme="minorEastAsia" w:eastAsiaTheme="minorEastAsia"/>
          <w:sz w:val="32"/>
          <w:szCs w:val="32"/>
          <w:highlight w:val="none"/>
        </w:rPr>
        <w:t>万元，完成年初预算的100%，决算数与年初预算数持平。</w:t>
      </w:r>
    </w:p>
    <w:p w14:paraId="6A5855B4">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17、</w:t>
      </w:r>
      <w:bookmarkStart w:id="12" w:name="OLE_LINK13"/>
      <w:r>
        <w:rPr>
          <w:rFonts w:hint="eastAsia" w:asciiTheme="minorEastAsia" w:hAnsiTheme="minorEastAsia" w:eastAsiaTheme="minorEastAsia"/>
          <w:sz w:val="32"/>
          <w:szCs w:val="32"/>
          <w:highlight w:val="none"/>
        </w:rPr>
        <w:t>社会保障和就业支出（类）退役军人管理事务（款）其他退役军人事务管理支出（项）。</w:t>
      </w:r>
    </w:p>
    <w:p w14:paraId="1B9D9CA4">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3.06</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3.06</w:t>
      </w:r>
      <w:r>
        <w:rPr>
          <w:rFonts w:hint="eastAsia" w:asciiTheme="minorEastAsia" w:hAnsiTheme="minorEastAsia" w:eastAsiaTheme="minorEastAsia"/>
          <w:sz w:val="32"/>
          <w:szCs w:val="32"/>
          <w:highlight w:val="none"/>
        </w:rPr>
        <w:t>万元，完成年初预算的100%，决算数与年初预算数持平。</w:t>
      </w:r>
    </w:p>
    <w:bookmarkEnd w:id="12"/>
    <w:p w14:paraId="20CE65C4">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18、</w:t>
      </w:r>
      <w:r>
        <w:rPr>
          <w:rFonts w:hint="eastAsia" w:asciiTheme="minorEastAsia" w:hAnsiTheme="minorEastAsia" w:eastAsiaTheme="minorEastAsia"/>
          <w:sz w:val="32"/>
          <w:szCs w:val="32"/>
          <w:highlight w:val="none"/>
        </w:rPr>
        <w:t>社会保障和就业支出（类）其他社会保障和就业支出（款）其他社会保障和就业支出（项）。</w:t>
      </w:r>
    </w:p>
    <w:p w14:paraId="7685C4DD">
      <w:pPr>
        <w:pStyle w:val="14"/>
        <w:ind w:firstLine="640" w:firstLineChars="20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2</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w:t>
      </w:r>
      <w:r>
        <w:rPr>
          <w:rFonts w:hint="eastAsia" w:asciiTheme="minorEastAsia" w:hAnsiTheme="minorEastAsia" w:eastAsiaTheme="minorEastAsia"/>
          <w:sz w:val="32"/>
          <w:szCs w:val="32"/>
          <w:highlight w:val="none"/>
        </w:rPr>
        <w:t>万元，完成年初预算的100%，决算数与年初预算数持平。</w:t>
      </w:r>
    </w:p>
    <w:p w14:paraId="3620F58A">
      <w:pPr>
        <w:pStyle w:val="14"/>
        <w:ind w:firstLine="960" w:firstLineChars="300"/>
        <w:rPr>
          <w:rFonts w:asciiTheme="minorEastAsia" w:hAnsiTheme="minorEastAsia" w:eastAsiaTheme="minorEastAsia"/>
          <w:sz w:val="32"/>
          <w:szCs w:val="32"/>
          <w:highlight w:val="yellow"/>
        </w:rPr>
      </w:pPr>
    </w:p>
    <w:p w14:paraId="29572C98">
      <w:pPr>
        <w:pStyle w:val="14"/>
        <w:tabs>
          <w:tab w:val="left" w:pos="949"/>
        </w:tabs>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19、</w:t>
      </w:r>
      <w:r>
        <w:rPr>
          <w:rFonts w:hint="eastAsia" w:asciiTheme="minorEastAsia" w:hAnsiTheme="minorEastAsia" w:eastAsiaTheme="minorEastAsia"/>
          <w:sz w:val="32"/>
          <w:szCs w:val="32"/>
          <w:highlight w:val="none"/>
        </w:rPr>
        <w:t>卫生健康支出（类）公共卫生（款）精神卫生机构（项）。</w:t>
      </w:r>
    </w:p>
    <w:p w14:paraId="6C88F20C">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bookmarkStart w:id="13" w:name="OLE_LINK14"/>
      <w:r>
        <w:rPr>
          <w:rFonts w:hint="eastAsia" w:asciiTheme="minorEastAsia" w:hAnsiTheme="minorEastAsia" w:eastAsiaTheme="minorEastAsia"/>
          <w:sz w:val="32"/>
          <w:szCs w:val="32"/>
          <w:highlight w:val="none"/>
          <w:lang w:val="en-US" w:eastAsia="zh-CN"/>
        </w:rPr>
        <w:t>5.42</w:t>
      </w:r>
      <w:bookmarkEnd w:id="13"/>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5.42</w:t>
      </w:r>
      <w:r>
        <w:rPr>
          <w:rFonts w:hint="eastAsia" w:asciiTheme="minorEastAsia" w:hAnsiTheme="minorEastAsia" w:eastAsiaTheme="minorEastAsia"/>
          <w:sz w:val="32"/>
          <w:szCs w:val="32"/>
          <w:highlight w:val="none"/>
        </w:rPr>
        <w:t>万元，完成年初预算的100%，决算数与年初预算数持平。</w:t>
      </w:r>
    </w:p>
    <w:p w14:paraId="0949CAA8">
      <w:pPr>
        <w:pStyle w:val="14"/>
        <w:tabs>
          <w:tab w:val="left" w:pos="949"/>
        </w:tabs>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20、</w:t>
      </w:r>
      <w:bookmarkStart w:id="14" w:name="OLE_LINK15"/>
      <w:r>
        <w:rPr>
          <w:rFonts w:hint="eastAsia" w:asciiTheme="minorEastAsia" w:hAnsiTheme="minorEastAsia" w:eastAsiaTheme="minorEastAsia"/>
          <w:sz w:val="32"/>
          <w:szCs w:val="32"/>
          <w:highlight w:val="none"/>
        </w:rPr>
        <w:t>卫生健康支出（类）公共卫生（款）突发公共卫生事件应急处理（项）。</w:t>
      </w:r>
    </w:p>
    <w:p w14:paraId="258D1231">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19</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19</w:t>
      </w:r>
      <w:r>
        <w:rPr>
          <w:rFonts w:hint="eastAsia" w:asciiTheme="minorEastAsia" w:hAnsiTheme="minorEastAsia" w:eastAsiaTheme="minorEastAsia"/>
          <w:sz w:val="32"/>
          <w:szCs w:val="32"/>
          <w:highlight w:val="none"/>
        </w:rPr>
        <w:t>万元，完成年初预算的100%，决算数与年初预算数持平</w:t>
      </w:r>
      <w:bookmarkEnd w:id="14"/>
      <w:r>
        <w:rPr>
          <w:rFonts w:hint="eastAsia" w:asciiTheme="minorEastAsia" w:hAnsiTheme="minorEastAsia" w:eastAsiaTheme="minorEastAsia"/>
          <w:sz w:val="32"/>
          <w:szCs w:val="32"/>
          <w:highlight w:val="none"/>
        </w:rPr>
        <w:t>。</w:t>
      </w:r>
    </w:p>
    <w:p w14:paraId="52A50445">
      <w:pPr>
        <w:pStyle w:val="14"/>
        <w:tabs>
          <w:tab w:val="left" w:pos="949"/>
        </w:tabs>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21、</w:t>
      </w:r>
      <w:r>
        <w:rPr>
          <w:rFonts w:hint="eastAsia" w:asciiTheme="minorEastAsia" w:hAnsiTheme="minorEastAsia" w:eastAsiaTheme="minorEastAsia"/>
          <w:sz w:val="32"/>
          <w:szCs w:val="32"/>
          <w:highlight w:val="none"/>
        </w:rPr>
        <w:t>卫生健康支出（类）公共卫生（款）</w:t>
      </w:r>
      <w:r>
        <w:rPr>
          <w:rFonts w:hint="eastAsia" w:asciiTheme="minorEastAsia" w:hAnsiTheme="minorEastAsia" w:eastAsiaTheme="minorEastAsia"/>
          <w:sz w:val="32"/>
          <w:szCs w:val="32"/>
          <w:highlight w:val="none"/>
          <w:lang w:eastAsia="zh-CN"/>
        </w:rPr>
        <w:t>其他公共卫生支出</w:t>
      </w:r>
      <w:r>
        <w:rPr>
          <w:rFonts w:hint="eastAsia" w:asciiTheme="minorEastAsia" w:hAnsiTheme="minorEastAsia" w:eastAsiaTheme="minorEastAsia"/>
          <w:sz w:val="32"/>
          <w:szCs w:val="32"/>
          <w:highlight w:val="none"/>
        </w:rPr>
        <w:t>（项）。</w:t>
      </w:r>
    </w:p>
    <w:p w14:paraId="447F55F2">
      <w:pPr>
        <w:pStyle w:val="14"/>
        <w:ind w:firstLine="640"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0.51</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0.51</w:t>
      </w:r>
      <w:r>
        <w:rPr>
          <w:rFonts w:hint="eastAsia" w:asciiTheme="minorEastAsia" w:hAnsiTheme="minorEastAsia" w:eastAsiaTheme="minorEastAsia"/>
          <w:sz w:val="32"/>
          <w:szCs w:val="32"/>
          <w:highlight w:val="none"/>
        </w:rPr>
        <w:t>万元，完成年初预算的100%，决算数与年初预算数持平</w:t>
      </w:r>
      <w:r>
        <w:rPr>
          <w:rFonts w:hint="eastAsia" w:asciiTheme="minorEastAsia" w:hAnsiTheme="minorEastAsia" w:eastAsiaTheme="minorEastAsia"/>
          <w:sz w:val="32"/>
          <w:szCs w:val="32"/>
          <w:highlight w:val="none"/>
          <w:lang w:eastAsia="zh-CN"/>
        </w:rPr>
        <w:t>。</w:t>
      </w:r>
    </w:p>
    <w:p w14:paraId="1DE720D7">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22、</w:t>
      </w:r>
      <w:r>
        <w:rPr>
          <w:rFonts w:hint="eastAsia" w:asciiTheme="minorEastAsia" w:hAnsiTheme="minorEastAsia" w:eastAsiaTheme="minorEastAsia"/>
          <w:sz w:val="32"/>
          <w:szCs w:val="32"/>
          <w:highlight w:val="none"/>
        </w:rPr>
        <w:t>卫生健康支出（类）行政事业单位医疗（款）</w:t>
      </w:r>
      <w:r>
        <w:rPr>
          <w:rFonts w:hint="eastAsia" w:asciiTheme="minorEastAsia" w:hAnsiTheme="minorEastAsia" w:eastAsiaTheme="minorEastAsia"/>
          <w:sz w:val="32"/>
          <w:szCs w:val="32"/>
          <w:highlight w:val="none"/>
          <w:lang w:eastAsia="zh-CN"/>
        </w:rPr>
        <w:t>行政单位医疗</w:t>
      </w:r>
      <w:r>
        <w:rPr>
          <w:rFonts w:hint="eastAsia" w:asciiTheme="minorEastAsia" w:hAnsiTheme="minorEastAsia" w:eastAsiaTheme="minorEastAsia"/>
          <w:sz w:val="32"/>
          <w:szCs w:val="32"/>
          <w:highlight w:val="none"/>
        </w:rPr>
        <w:t>（项）。</w:t>
      </w:r>
    </w:p>
    <w:p w14:paraId="25708798">
      <w:pPr>
        <w:pStyle w:val="14"/>
        <w:numPr>
          <w:ilvl w:val="0"/>
          <w:numId w:val="0"/>
        </w:numPr>
        <w:ind w:firstLine="640" w:firstLineChars="200"/>
        <w:rPr>
          <w:rFonts w:hint="eastAsia" w:asciiTheme="minorEastAsia" w:hAnsiTheme="minorEastAsia" w:eastAsiaTheme="minorEastAsia"/>
          <w:sz w:val="32"/>
          <w:szCs w:val="32"/>
          <w:highlight w:val="none"/>
          <w:lang w:val="en-US" w:eastAsia="zh-CN"/>
        </w:rPr>
      </w:pPr>
      <w:bookmarkStart w:id="15" w:name="OLE_LINK17"/>
      <w:r>
        <w:rPr>
          <w:rFonts w:hint="eastAsia" w:asciiTheme="minorEastAsia" w:hAnsiTheme="minorEastAsia" w:eastAsiaTheme="minorEastAsia"/>
          <w:sz w:val="32"/>
          <w:szCs w:val="32"/>
          <w:highlight w:val="none"/>
        </w:rPr>
        <w:t>年初预算为</w:t>
      </w:r>
      <w:bookmarkStart w:id="16" w:name="OLE_LINK16"/>
      <w:r>
        <w:rPr>
          <w:rFonts w:hint="eastAsia" w:asciiTheme="minorEastAsia" w:hAnsiTheme="minorEastAsia" w:eastAsiaTheme="minorEastAsia"/>
          <w:sz w:val="32"/>
          <w:szCs w:val="32"/>
          <w:highlight w:val="none"/>
          <w:lang w:val="en-US" w:eastAsia="zh-CN"/>
        </w:rPr>
        <w:t>28.76</w:t>
      </w:r>
      <w:bookmarkEnd w:id="16"/>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28.76</w:t>
      </w:r>
      <w:r>
        <w:rPr>
          <w:rFonts w:hint="eastAsia" w:asciiTheme="minorEastAsia" w:hAnsiTheme="minorEastAsia" w:eastAsiaTheme="minorEastAsia"/>
          <w:sz w:val="32"/>
          <w:szCs w:val="32"/>
          <w:highlight w:val="none"/>
        </w:rPr>
        <w:t>万元，完成年初预算的100%，决算数与年初预算数持平</w:t>
      </w:r>
      <w:bookmarkEnd w:id="15"/>
      <w:r>
        <w:rPr>
          <w:rFonts w:hint="eastAsia" w:asciiTheme="minorEastAsia" w:hAnsiTheme="minorEastAsia" w:eastAsiaTheme="minorEastAsia"/>
          <w:sz w:val="32"/>
          <w:szCs w:val="32"/>
          <w:highlight w:val="none"/>
          <w:lang w:eastAsia="zh-CN"/>
        </w:rPr>
        <w:t>。</w:t>
      </w:r>
    </w:p>
    <w:p w14:paraId="3757242B">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23、</w:t>
      </w:r>
      <w:r>
        <w:rPr>
          <w:rFonts w:hint="eastAsia" w:asciiTheme="minorEastAsia" w:hAnsiTheme="minorEastAsia" w:eastAsiaTheme="minorEastAsia"/>
          <w:sz w:val="32"/>
          <w:szCs w:val="32"/>
          <w:highlight w:val="none"/>
        </w:rPr>
        <w:t>节能环保支出（类）自然生态保护（款）</w:t>
      </w:r>
      <w:r>
        <w:rPr>
          <w:rFonts w:hint="eastAsia" w:asciiTheme="minorEastAsia" w:hAnsiTheme="minorEastAsia" w:eastAsiaTheme="minorEastAsia"/>
          <w:sz w:val="32"/>
          <w:szCs w:val="32"/>
          <w:highlight w:val="none"/>
          <w:lang w:eastAsia="zh-CN"/>
        </w:rPr>
        <w:t>农村环境保护</w:t>
      </w:r>
      <w:r>
        <w:rPr>
          <w:rFonts w:hint="eastAsia" w:asciiTheme="minorEastAsia" w:hAnsiTheme="minorEastAsia" w:eastAsiaTheme="minorEastAsia"/>
          <w:sz w:val="32"/>
          <w:szCs w:val="32"/>
          <w:highlight w:val="none"/>
        </w:rPr>
        <w:t>（项）。</w:t>
      </w:r>
    </w:p>
    <w:p w14:paraId="0BEF3CF7">
      <w:pPr>
        <w:pStyle w:val="14"/>
        <w:numPr>
          <w:ilvl w:val="0"/>
          <w:numId w:val="0"/>
        </w:numPr>
        <w:ind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5</w:t>
      </w:r>
      <w:r>
        <w:rPr>
          <w:rFonts w:hint="eastAsia" w:asciiTheme="minorEastAsia" w:hAnsiTheme="minorEastAsia" w:eastAsiaTheme="minorEastAsia"/>
          <w:sz w:val="32"/>
          <w:szCs w:val="32"/>
          <w:highlight w:val="none"/>
        </w:rPr>
        <w:t>万元，完成年初预算的100%，决算数与年初预算数持平</w:t>
      </w:r>
    </w:p>
    <w:p w14:paraId="4B1EB596">
      <w:pPr>
        <w:pStyle w:val="14"/>
        <w:numPr>
          <w:ilvl w:val="0"/>
          <w:numId w:val="0"/>
        </w:numPr>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24、</w:t>
      </w:r>
      <w:r>
        <w:rPr>
          <w:rFonts w:hint="eastAsia" w:asciiTheme="minorEastAsia" w:hAnsiTheme="minorEastAsia" w:eastAsiaTheme="minorEastAsia"/>
          <w:sz w:val="32"/>
          <w:szCs w:val="32"/>
          <w:highlight w:val="none"/>
        </w:rPr>
        <w:t>城乡社区支出（类）城乡社区公共设施（款）小城镇基础设施建设（项）。</w:t>
      </w:r>
    </w:p>
    <w:p w14:paraId="2991B2AF">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16</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16</w:t>
      </w:r>
      <w:r>
        <w:rPr>
          <w:rFonts w:hint="eastAsia" w:asciiTheme="minorEastAsia" w:hAnsiTheme="minorEastAsia" w:eastAsiaTheme="minorEastAsia"/>
          <w:sz w:val="32"/>
          <w:szCs w:val="32"/>
          <w:highlight w:val="none"/>
        </w:rPr>
        <w:t>万元，完成年初预算的100%，决算数与年初预算数持平。</w:t>
      </w:r>
    </w:p>
    <w:p w14:paraId="0BC4848A">
      <w:pPr>
        <w:pStyle w:val="14"/>
        <w:numPr>
          <w:ilvl w:val="0"/>
          <w:numId w:val="0"/>
        </w:numPr>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25、</w:t>
      </w:r>
      <w:r>
        <w:rPr>
          <w:rFonts w:hint="eastAsia" w:asciiTheme="minorEastAsia" w:hAnsiTheme="minorEastAsia" w:eastAsiaTheme="minorEastAsia"/>
          <w:sz w:val="32"/>
          <w:szCs w:val="32"/>
          <w:highlight w:val="none"/>
        </w:rPr>
        <w:t>城乡社区支出（类）城乡社区公共设施（款）其他城乡社区公共设施支出（项）。</w:t>
      </w:r>
    </w:p>
    <w:p w14:paraId="6F55580D">
      <w:pPr>
        <w:pStyle w:val="14"/>
        <w:numPr>
          <w:ilvl w:val="0"/>
          <w:numId w:val="0"/>
        </w:numPr>
        <w:ind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15</w:t>
      </w:r>
      <w:r>
        <w:rPr>
          <w:rFonts w:hint="eastAsia" w:asciiTheme="minorEastAsia" w:hAnsiTheme="minorEastAsia" w:eastAsiaTheme="minorEastAsia"/>
          <w:sz w:val="32"/>
          <w:szCs w:val="32"/>
          <w:highlight w:val="none"/>
        </w:rPr>
        <w:t>万元，完成年初预算的100%，决算数与年初预算数持平。</w:t>
      </w:r>
    </w:p>
    <w:p w14:paraId="5F73FEE6">
      <w:pPr>
        <w:pStyle w:val="14"/>
        <w:numPr>
          <w:ilvl w:val="0"/>
          <w:numId w:val="0"/>
        </w:numPr>
        <w:ind w:firstLine="640" w:firstLineChars="200"/>
        <w:rPr>
          <w:rFonts w:hint="eastAsia" w:asciiTheme="minorEastAsia" w:hAnsiTheme="minorEastAsia" w:eastAsiaTheme="minorEastAsia"/>
          <w:sz w:val="32"/>
          <w:szCs w:val="32"/>
          <w:highlight w:val="yellow"/>
          <w:lang w:val="en-US" w:eastAsia="zh-CN"/>
        </w:rPr>
      </w:pPr>
    </w:p>
    <w:p w14:paraId="5F51C02A">
      <w:pPr>
        <w:pStyle w:val="14"/>
        <w:numPr>
          <w:ilvl w:val="0"/>
          <w:numId w:val="0"/>
        </w:numPr>
        <w:ind w:firstLine="640" w:firstLineChars="200"/>
        <w:rPr>
          <w:rFonts w:hint="eastAsia" w:asciiTheme="minorEastAsia" w:hAnsiTheme="minorEastAsia" w:eastAsiaTheme="minorEastAsia"/>
          <w:sz w:val="32"/>
          <w:szCs w:val="32"/>
          <w:highlight w:val="none"/>
          <w:lang w:val="en-US" w:eastAsia="zh-CN"/>
        </w:rPr>
      </w:pPr>
    </w:p>
    <w:p w14:paraId="09AA8F27">
      <w:pPr>
        <w:pStyle w:val="14"/>
        <w:numPr>
          <w:ilvl w:val="0"/>
          <w:numId w:val="0"/>
        </w:numPr>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26、</w:t>
      </w:r>
      <w:r>
        <w:rPr>
          <w:rFonts w:hint="eastAsia" w:asciiTheme="minorEastAsia" w:hAnsiTheme="minorEastAsia" w:eastAsiaTheme="minorEastAsia"/>
          <w:sz w:val="32"/>
          <w:szCs w:val="32"/>
          <w:highlight w:val="none"/>
        </w:rPr>
        <w:t>城乡社区支出（类）城乡社区环境卫生（款）城乡社区环境卫生（项）。</w:t>
      </w:r>
    </w:p>
    <w:p w14:paraId="2D9C9E3A">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27</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27</w:t>
      </w:r>
      <w:r>
        <w:rPr>
          <w:rFonts w:hint="eastAsia" w:asciiTheme="minorEastAsia" w:hAnsiTheme="minorEastAsia" w:eastAsiaTheme="minorEastAsia"/>
          <w:sz w:val="32"/>
          <w:szCs w:val="32"/>
          <w:highlight w:val="none"/>
        </w:rPr>
        <w:t>万元，完成年初预算的100%，决算数与年初预算数持平。</w:t>
      </w:r>
    </w:p>
    <w:p w14:paraId="6A704B4B">
      <w:pPr>
        <w:pStyle w:val="14"/>
        <w:numPr>
          <w:ilvl w:val="0"/>
          <w:numId w:val="0"/>
        </w:numPr>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27、</w:t>
      </w:r>
      <w:r>
        <w:rPr>
          <w:rFonts w:hint="eastAsia" w:asciiTheme="minorEastAsia" w:hAnsiTheme="minorEastAsia" w:eastAsiaTheme="minorEastAsia"/>
          <w:sz w:val="32"/>
          <w:szCs w:val="32"/>
          <w:highlight w:val="none"/>
        </w:rPr>
        <w:t>农林水支出（类）农业农村（款）</w:t>
      </w:r>
      <w:r>
        <w:rPr>
          <w:rFonts w:hint="eastAsia" w:asciiTheme="minorEastAsia" w:hAnsiTheme="minorEastAsia" w:eastAsiaTheme="minorEastAsia"/>
          <w:sz w:val="32"/>
          <w:szCs w:val="32"/>
          <w:highlight w:val="none"/>
          <w:lang w:eastAsia="zh-CN"/>
        </w:rPr>
        <w:t>防灾救灾</w:t>
      </w:r>
      <w:r>
        <w:rPr>
          <w:rFonts w:hint="eastAsia" w:asciiTheme="minorEastAsia" w:hAnsiTheme="minorEastAsia" w:eastAsiaTheme="minorEastAsia"/>
          <w:sz w:val="32"/>
          <w:szCs w:val="32"/>
          <w:highlight w:val="none"/>
        </w:rPr>
        <w:t>（项）。</w:t>
      </w:r>
    </w:p>
    <w:p w14:paraId="201F919A">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15</w:t>
      </w:r>
      <w:r>
        <w:rPr>
          <w:rFonts w:hint="eastAsia" w:asciiTheme="minorEastAsia" w:hAnsiTheme="minorEastAsia" w:eastAsiaTheme="minorEastAsia"/>
          <w:sz w:val="32"/>
          <w:szCs w:val="32"/>
          <w:highlight w:val="none"/>
        </w:rPr>
        <w:t>万元，完成年初预算的100%，决算数与年初预算数持平。</w:t>
      </w:r>
    </w:p>
    <w:p w14:paraId="50600C37">
      <w:pPr>
        <w:pStyle w:val="14"/>
        <w:numPr>
          <w:ilvl w:val="0"/>
          <w:numId w:val="0"/>
        </w:numPr>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28、</w:t>
      </w:r>
      <w:r>
        <w:rPr>
          <w:rFonts w:hint="eastAsia" w:asciiTheme="minorEastAsia" w:hAnsiTheme="minorEastAsia" w:eastAsiaTheme="minorEastAsia"/>
          <w:sz w:val="32"/>
          <w:szCs w:val="32"/>
          <w:highlight w:val="none"/>
        </w:rPr>
        <w:t>农林水支出（类）农业农村（款）农村社会事业（项）。</w:t>
      </w:r>
    </w:p>
    <w:p w14:paraId="20F8A108">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bookmarkStart w:id="17" w:name="OLE_LINK18"/>
      <w:r>
        <w:rPr>
          <w:rFonts w:hint="eastAsia" w:asciiTheme="minorEastAsia" w:hAnsiTheme="minorEastAsia" w:eastAsiaTheme="minorEastAsia"/>
          <w:sz w:val="32"/>
          <w:szCs w:val="32"/>
          <w:highlight w:val="none"/>
          <w:lang w:val="en-US" w:eastAsia="zh-CN"/>
        </w:rPr>
        <w:t>15.91</w:t>
      </w:r>
      <w:bookmarkEnd w:id="17"/>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15.91</w:t>
      </w:r>
      <w:r>
        <w:rPr>
          <w:rFonts w:hint="eastAsia" w:asciiTheme="minorEastAsia" w:hAnsiTheme="minorEastAsia" w:eastAsiaTheme="minorEastAsia"/>
          <w:sz w:val="32"/>
          <w:szCs w:val="32"/>
          <w:highlight w:val="none"/>
        </w:rPr>
        <w:t>万元，完成年初预算的100%，决算数与年初预算数持平。</w:t>
      </w:r>
    </w:p>
    <w:p w14:paraId="1C0AC182">
      <w:pPr>
        <w:pStyle w:val="14"/>
        <w:numPr>
          <w:ilvl w:val="0"/>
          <w:numId w:val="0"/>
        </w:numPr>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29、</w:t>
      </w:r>
      <w:r>
        <w:rPr>
          <w:rFonts w:hint="eastAsia" w:asciiTheme="minorEastAsia" w:hAnsiTheme="minorEastAsia" w:eastAsiaTheme="minorEastAsia"/>
          <w:sz w:val="32"/>
          <w:szCs w:val="32"/>
          <w:highlight w:val="none"/>
        </w:rPr>
        <w:t>农林水支出（类）农业农村（款）其他农业农村支出（项）。</w:t>
      </w:r>
    </w:p>
    <w:p w14:paraId="39737233">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6</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6</w:t>
      </w:r>
      <w:r>
        <w:rPr>
          <w:rFonts w:hint="eastAsia" w:asciiTheme="minorEastAsia" w:hAnsiTheme="minorEastAsia" w:eastAsiaTheme="minorEastAsia"/>
          <w:sz w:val="32"/>
          <w:szCs w:val="32"/>
          <w:highlight w:val="none"/>
        </w:rPr>
        <w:t>万元，完成年初预算的100%，决算数与年初预算数持平。</w:t>
      </w:r>
    </w:p>
    <w:p w14:paraId="2BFBE4AC">
      <w:pPr>
        <w:pStyle w:val="14"/>
        <w:numPr>
          <w:ilvl w:val="0"/>
          <w:numId w:val="0"/>
        </w:numPr>
        <w:ind w:left="630" w:leftChars="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30、</w:t>
      </w:r>
      <w:r>
        <w:rPr>
          <w:rFonts w:hint="eastAsia" w:asciiTheme="minorEastAsia" w:hAnsiTheme="minorEastAsia" w:eastAsiaTheme="minorEastAsia"/>
          <w:sz w:val="32"/>
          <w:szCs w:val="32"/>
          <w:highlight w:val="none"/>
        </w:rPr>
        <w:t>农林水支出（类）</w:t>
      </w:r>
      <w:r>
        <w:rPr>
          <w:rFonts w:hint="eastAsia" w:asciiTheme="minorEastAsia" w:hAnsiTheme="minorEastAsia" w:eastAsiaTheme="minorEastAsia"/>
          <w:sz w:val="32"/>
          <w:szCs w:val="32"/>
          <w:highlight w:val="none"/>
          <w:lang w:eastAsia="zh-CN"/>
        </w:rPr>
        <w:t>水利</w:t>
      </w:r>
      <w:r>
        <w:rPr>
          <w:rFonts w:hint="eastAsia" w:asciiTheme="minorEastAsia" w:hAnsiTheme="minorEastAsia" w:eastAsiaTheme="minorEastAsia"/>
          <w:sz w:val="32"/>
          <w:szCs w:val="32"/>
          <w:highlight w:val="none"/>
        </w:rPr>
        <w:t>（款）水利工程建设（项）。</w:t>
      </w:r>
    </w:p>
    <w:p w14:paraId="0AABC8A9">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91</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91</w:t>
      </w:r>
      <w:r>
        <w:rPr>
          <w:rFonts w:hint="eastAsia" w:asciiTheme="minorEastAsia" w:hAnsiTheme="minorEastAsia" w:eastAsiaTheme="minorEastAsia"/>
          <w:sz w:val="32"/>
          <w:szCs w:val="32"/>
          <w:highlight w:val="none"/>
        </w:rPr>
        <w:t>万元，完成年初预算的100%，决算数与年初预算数持平。</w:t>
      </w:r>
    </w:p>
    <w:p w14:paraId="23398ECA">
      <w:pPr>
        <w:pStyle w:val="14"/>
        <w:numPr>
          <w:ilvl w:val="0"/>
          <w:numId w:val="0"/>
        </w:numPr>
        <w:ind w:left="630" w:leftChars="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31、</w:t>
      </w:r>
      <w:r>
        <w:rPr>
          <w:rFonts w:hint="eastAsia" w:asciiTheme="minorEastAsia" w:hAnsiTheme="minorEastAsia" w:eastAsiaTheme="minorEastAsia"/>
          <w:sz w:val="32"/>
          <w:szCs w:val="32"/>
          <w:highlight w:val="none"/>
        </w:rPr>
        <w:t>农林水支出（类）</w:t>
      </w:r>
      <w:r>
        <w:rPr>
          <w:rFonts w:hint="eastAsia" w:asciiTheme="minorEastAsia" w:hAnsiTheme="minorEastAsia" w:eastAsiaTheme="minorEastAsia"/>
          <w:sz w:val="32"/>
          <w:szCs w:val="32"/>
          <w:highlight w:val="none"/>
          <w:lang w:eastAsia="zh-CN"/>
        </w:rPr>
        <w:t>水利</w:t>
      </w:r>
      <w:r>
        <w:rPr>
          <w:rFonts w:hint="eastAsia" w:asciiTheme="minorEastAsia" w:hAnsiTheme="minorEastAsia" w:eastAsiaTheme="minorEastAsia"/>
          <w:sz w:val="32"/>
          <w:szCs w:val="32"/>
          <w:highlight w:val="none"/>
        </w:rPr>
        <w:t>（款）水利工程运行与维护（项）。</w:t>
      </w:r>
    </w:p>
    <w:p w14:paraId="3CB71D50">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4.27</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4.27</w:t>
      </w:r>
      <w:r>
        <w:rPr>
          <w:rFonts w:hint="eastAsia" w:asciiTheme="minorEastAsia" w:hAnsiTheme="minorEastAsia" w:eastAsiaTheme="minorEastAsia"/>
          <w:sz w:val="32"/>
          <w:szCs w:val="32"/>
          <w:highlight w:val="none"/>
        </w:rPr>
        <w:t>万元，完成年初预算的100%，决算数与年初预算数持平。</w:t>
      </w:r>
    </w:p>
    <w:p w14:paraId="5D2A7247">
      <w:pPr>
        <w:pStyle w:val="14"/>
        <w:numPr>
          <w:ilvl w:val="0"/>
          <w:numId w:val="0"/>
        </w:numPr>
        <w:ind w:left="630" w:leftChars="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32、</w:t>
      </w:r>
      <w:r>
        <w:rPr>
          <w:rFonts w:hint="eastAsia" w:asciiTheme="minorEastAsia" w:hAnsiTheme="minorEastAsia" w:eastAsiaTheme="minorEastAsia"/>
          <w:sz w:val="32"/>
          <w:szCs w:val="32"/>
          <w:highlight w:val="none"/>
        </w:rPr>
        <w:t>农林水支出（类）</w:t>
      </w:r>
      <w:r>
        <w:rPr>
          <w:rFonts w:hint="eastAsia" w:asciiTheme="minorEastAsia" w:hAnsiTheme="minorEastAsia" w:eastAsiaTheme="minorEastAsia"/>
          <w:sz w:val="32"/>
          <w:szCs w:val="32"/>
          <w:highlight w:val="none"/>
          <w:lang w:eastAsia="zh-CN"/>
        </w:rPr>
        <w:t>水利</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eastAsia="zh-CN"/>
        </w:rPr>
        <w:t>防汛</w:t>
      </w:r>
      <w:r>
        <w:rPr>
          <w:rFonts w:hint="eastAsia" w:asciiTheme="minorEastAsia" w:hAnsiTheme="minorEastAsia" w:eastAsiaTheme="minorEastAsia"/>
          <w:sz w:val="32"/>
          <w:szCs w:val="32"/>
          <w:highlight w:val="none"/>
        </w:rPr>
        <w:t>（项）。</w:t>
      </w:r>
    </w:p>
    <w:p w14:paraId="6BFC7C91">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4</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4</w:t>
      </w:r>
      <w:r>
        <w:rPr>
          <w:rFonts w:hint="eastAsia" w:asciiTheme="minorEastAsia" w:hAnsiTheme="minorEastAsia" w:eastAsiaTheme="minorEastAsia"/>
          <w:sz w:val="32"/>
          <w:szCs w:val="32"/>
          <w:highlight w:val="none"/>
        </w:rPr>
        <w:t>万元，完成年初预算的100%，决算数与年初预算数持平。</w:t>
      </w:r>
    </w:p>
    <w:p w14:paraId="1B42B348">
      <w:pPr>
        <w:pStyle w:val="14"/>
        <w:numPr>
          <w:ilvl w:val="0"/>
          <w:numId w:val="0"/>
        </w:numPr>
        <w:ind w:left="630" w:leftChars="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33、</w:t>
      </w:r>
      <w:r>
        <w:rPr>
          <w:rFonts w:hint="eastAsia" w:asciiTheme="minorEastAsia" w:hAnsiTheme="minorEastAsia" w:eastAsiaTheme="minorEastAsia"/>
          <w:sz w:val="32"/>
          <w:szCs w:val="32"/>
          <w:highlight w:val="none"/>
        </w:rPr>
        <w:t>农林水支出（类）</w:t>
      </w:r>
      <w:r>
        <w:rPr>
          <w:rFonts w:hint="eastAsia" w:asciiTheme="minorEastAsia" w:hAnsiTheme="minorEastAsia" w:eastAsiaTheme="minorEastAsia"/>
          <w:sz w:val="32"/>
          <w:szCs w:val="32"/>
          <w:highlight w:val="none"/>
          <w:lang w:eastAsia="zh-CN"/>
        </w:rPr>
        <w:t>水利</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eastAsia="zh-CN"/>
        </w:rPr>
        <w:t>农村供水</w:t>
      </w:r>
      <w:r>
        <w:rPr>
          <w:rFonts w:hint="eastAsia" w:asciiTheme="minorEastAsia" w:hAnsiTheme="minorEastAsia" w:eastAsiaTheme="minorEastAsia"/>
          <w:sz w:val="32"/>
          <w:szCs w:val="32"/>
          <w:highlight w:val="none"/>
        </w:rPr>
        <w:t>（项）。</w:t>
      </w:r>
    </w:p>
    <w:p w14:paraId="4A4C2C1F">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bookmarkStart w:id="18" w:name="OLE_LINK19"/>
      <w:r>
        <w:rPr>
          <w:rFonts w:hint="eastAsia" w:asciiTheme="minorEastAsia" w:hAnsiTheme="minorEastAsia" w:eastAsiaTheme="minorEastAsia"/>
          <w:sz w:val="32"/>
          <w:szCs w:val="32"/>
          <w:highlight w:val="none"/>
          <w:lang w:val="en-US" w:eastAsia="zh-CN"/>
        </w:rPr>
        <w:t>14.5</w:t>
      </w:r>
      <w:bookmarkEnd w:id="18"/>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14.5</w:t>
      </w:r>
      <w:r>
        <w:rPr>
          <w:rFonts w:hint="eastAsia" w:asciiTheme="minorEastAsia" w:hAnsiTheme="minorEastAsia" w:eastAsiaTheme="minorEastAsia"/>
          <w:sz w:val="32"/>
          <w:szCs w:val="32"/>
          <w:highlight w:val="none"/>
        </w:rPr>
        <w:t>万元，完成年初预算的100%，决算数与年初预算数持平。</w:t>
      </w:r>
    </w:p>
    <w:p w14:paraId="7325D53C">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34、</w:t>
      </w:r>
      <w:bookmarkStart w:id="19" w:name="OLE_LINK20"/>
      <w:r>
        <w:rPr>
          <w:rFonts w:hint="eastAsia" w:asciiTheme="minorEastAsia" w:hAnsiTheme="minorEastAsia" w:eastAsiaTheme="minorEastAsia"/>
          <w:sz w:val="32"/>
          <w:szCs w:val="32"/>
          <w:highlight w:val="none"/>
        </w:rPr>
        <w:t>农林水支出（类）巩固脱贫衔接乡村振兴（款）农村基础设施建设（项）。</w:t>
      </w:r>
    </w:p>
    <w:p w14:paraId="1578249B">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71</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71</w:t>
      </w:r>
      <w:r>
        <w:rPr>
          <w:rFonts w:hint="eastAsia" w:asciiTheme="minorEastAsia" w:hAnsiTheme="minorEastAsia" w:eastAsiaTheme="minorEastAsia"/>
          <w:sz w:val="32"/>
          <w:szCs w:val="32"/>
          <w:highlight w:val="none"/>
        </w:rPr>
        <w:t>万元，完成年初预算的100%，决算数与年初预算数持平。</w:t>
      </w:r>
    </w:p>
    <w:bookmarkEnd w:id="19"/>
    <w:p w14:paraId="19B32EC2">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35、</w:t>
      </w:r>
      <w:r>
        <w:rPr>
          <w:rFonts w:hint="eastAsia" w:asciiTheme="minorEastAsia" w:hAnsiTheme="minorEastAsia" w:eastAsiaTheme="minorEastAsia"/>
          <w:sz w:val="32"/>
          <w:szCs w:val="32"/>
          <w:highlight w:val="none"/>
        </w:rPr>
        <w:t>农林水支出（类）巩固脱贫衔接乡村振兴（款）生产发展（项）。</w:t>
      </w:r>
    </w:p>
    <w:p w14:paraId="4138C18E">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bookmarkStart w:id="20" w:name="OLE_LINK21"/>
      <w:r>
        <w:rPr>
          <w:rFonts w:hint="eastAsia" w:asciiTheme="minorEastAsia" w:hAnsiTheme="minorEastAsia" w:eastAsiaTheme="minorEastAsia"/>
          <w:sz w:val="32"/>
          <w:szCs w:val="32"/>
          <w:highlight w:val="none"/>
          <w:lang w:val="en-US" w:eastAsia="zh-CN"/>
        </w:rPr>
        <w:t>31.16</w:t>
      </w:r>
      <w:bookmarkEnd w:id="20"/>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31.16</w:t>
      </w:r>
      <w:r>
        <w:rPr>
          <w:rFonts w:hint="eastAsia" w:asciiTheme="minorEastAsia" w:hAnsiTheme="minorEastAsia" w:eastAsiaTheme="minorEastAsia"/>
          <w:sz w:val="32"/>
          <w:szCs w:val="32"/>
          <w:highlight w:val="none"/>
        </w:rPr>
        <w:t>万元，完成年初预算的100%，决算数与年初预算数持平。</w:t>
      </w:r>
    </w:p>
    <w:p w14:paraId="6BC356FE">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36、</w:t>
      </w:r>
      <w:r>
        <w:rPr>
          <w:rFonts w:hint="eastAsia" w:asciiTheme="minorEastAsia" w:hAnsiTheme="minorEastAsia" w:eastAsiaTheme="minorEastAsia"/>
          <w:sz w:val="32"/>
          <w:szCs w:val="32"/>
          <w:highlight w:val="none"/>
        </w:rPr>
        <w:t>农林水支出（类）巩固脱贫衔接乡村振兴（款）其他巩固脱贫衔接乡村振兴支出（项）。</w:t>
      </w:r>
    </w:p>
    <w:p w14:paraId="780E73E7">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bookmarkStart w:id="21" w:name="OLE_LINK22"/>
      <w:r>
        <w:rPr>
          <w:rFonts w:hint="eastAsia" w:asciiTheme="minorEastAsia" w:hAnsiTheme="minorEastAsia" w:eastAsiaTheme="minorEastAsia"/>
          <w:sz w:val="32"/>
          <w:szCs w:val="32"/>
          <w:highlight w:val="none"/>
          <w:lang w:val="en-US" w:eastAsia="zh-CN"/>
        </w:rPr>
        <w:t>9.3</w:t>
      </w:r>
      <w:bookmarkEnd w:id="21"/>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9.3</w:t>
      </w:r>
      <w:r>
        <w:rPr>
          <w:rFonts w:hint="eastAsia" w:asciiTheme="minorEastAsia" w:hAnsiTheme="minorEastAsia" w:eastAsiaTheme="minorEastAsia"/>
          <w:sz w:val="32"/>
          <w:szCs w:val="32"/>
          <w:highlight w:val="none"/>
        </w:rPr>
        <w:t>万元，完成年初预算的100%，决算数与年初预算数持平。</w:t>
      </w:r>
    </w:p>
    <w:p w14:paraId="6AE285C7">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37、</w:t>
      </w:r>
      <w:r>
        <w:rPr>
          <w:rFonts w:hint="eastAsia" w:asciiTheme="minorEastAsia" w:hAnsiTheme="minorEastAsia" w:eastAsiaTheme="minorEastAsia"/>
          <w:sz w:val="32"/>
          <w:szCs w:val="32"/>
          <w:highlight w:val="none"/>
        </w:rPr>
        <w:t>农林水支出（类）农村综合改革（款）对村民委员会和村党支部的补助（项）。</w:t>
      </w:r>
    </w:p>
    <w:p w14:paraId="23E9044A">
      <w:pPr>
        <w:pStyle w:val="14"/>
        <w:numPr>
          <w:ilvl w:val="0"/>
          <w:numId w:val="0"/>
        </w:numPr>
        <w:ind w:left="0" w:leftChars="0"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bookmarkStart w:id="22" w:name="OLE_LINK23"/>
      <w:r>
        <w:rPr>
          <w:rFonts w:hint="eastAsia" w:asciiTheme="minorEastAsia" w:hAnsiTheme="minorEastAsia" w:eastAsiaTheme="minorEastAsia"/>
          <w:sz w:val="32"/>
          <w:szCs w:val="32"/>
          <w:highlight w:val="none"/>
          <w:lang w:val="en-US" w:eastAsia="zh-CN"/>
        </w:rPr>
        <w:t>309.54</w:t>
      </w:r>
      <w:bookmarkEnd w:id="22"/>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309.54</w:t>
      </w:r>
      <w:r>
        <w:rPr>
          <w:rFonts w:hint="eastAsia" w:asciiTheme="minorEastAsia" w:hAnsiTheme="minorEastAsia" w:eastAsiaTheme="minorEastAsia"/>
          <w:sz w:val="32"/>
          <w:szCs w:val="32"/>
          <w:highlight w:val="none"/>
        </w:rPr>
        <w:t>万元，完成年初预算的100%，决算数与年初预算数持平</w:t>
      </w:r>
    </w:p>
    <w:p w14:paraId="7C6D325B">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38、</w:t>
      </w:r>
      <w:r>
        <w:rPr>
          <w:rFonts w:hint="eastAsia" w:asciiTheme="minorEastAsia" w:hAnsiTheme="minorEastAsia" w:eastAsiaTheme="minorEastAsia"/>
          <w:sz w:val="32"/>
          <w:szCs w:val="32"/>
          <w:highlight w:val="none"/>
        </w:rPr>
        <w:t>农林水支出（类）其他农林水支出（款）其他农林水支出（项）。</w:t>
      </w:r>
    </w:p>
    <w:p w14:paraId="366F4FF2">
      <w:pPr>
        <w:pStyle w:val="14"/>
        <w:numPr>
          <w:ilvl w:val="0"/>
          <w:numId w:val="0"/>
        </w:numPr>
        <w:ind w:left="0" w:leftChars="0"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万元，完成年初预算的100%，决算数与年初预算数持平</w:t>
      </w:r>
      <w:r>
        <w:rPr>
          <w:rFonts w:hint="eastAsia" w:asciiTheme="minorEastAsia" w:hAnsiTheme="minorEastAsia" w:eastAsiaTheme="minorEastAsia"/>
          <w:sz w:val="32"/>
          <w:szCs w:val="32"/>
          <w:highlight w:val="none"/>
          <w:lang w:eastAsia="zh-CN"/>
        </w:rPr>
        <w:t>。</w:t>
      </w:r>
    </w:p>
    <w:p w14:paraId="126776A8">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39、</w:t>
      </w:r>
      <w:bookmarkStart w:id="23" w:name="OLE_LINK24"/>
      <w:r>
        <w:rPr>
          <w:rFonts w:hint="eastAsia" w:asciiTheme="minorEastAsia" w:hAnsiTheme="minorEastAsia" w:eastAsiaTheme="minorEastAsia"/>
          <w:sz w:val="32"/>
          <w:szCs w:val="32"/>
          <w:highlight w:val="none"/>
        </w:rPr>
        <w:t>资源勘探工业信息等支出（类）资源勘探开发（款）其他资源勘探业支出（项）。</w:t>
      </w:r>
    </w:p>
    <w:p w14:paraId="4DEBA7A4">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39.32</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39.32</w:t>
      </w:r>
      <w:r>
        <w:rPr>
          <w:rFonts w:hint="eastAsia" w:asciiTheme="minorEastAsia" w:hAnsiTheme="minorEastAsia" w:eastAsiaTheme="minorEastAsia"/>
          <w:sz w:val="32"/>
          <w:szCs w:val="32"/>
          <w:highlight w:val="none"/>
        </w:rPr>
        <w:t>万元，完成年初预算的100%，决算数与年初预算数持平。</w:t>
      </w:r>
    </w:p>
    <w:bookmarkEnd w:id="23"/>
    <w:p w14:paraId="4EBA6266">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40、</w:t>
      </w:r>
      <w:r>
        <w:rPr>
          <w:rFonts w:hint="eastAsia" w:asciiTheme="minorEastAsia" w:hAnsiTheme="minorEastAsia" w:eastAsiaTheme="minorEastAsia"/>
          <w:sz w:val="32"/>
          <w:szCs w:val="32"/>
          <w:highlight w:val="none"/>
        </w:rPr>
        <w:t>自然资源海洋气象等支出（类）自然资源事务（款）自然资源利用与保护（项）。</w:t>
      </w:r>
    </w:p>
    <w:p w14:paraId="315E2C19">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3</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3</w:t>
      </w:r>
      <w:r>
        <w:rPr>
          <w:rFonts w:hint="eastAsia" w:asciiTheme="minorEastAsia" w:hAnsiTheme="minorEastAsia" w:eastAsiaTheme="minorEastAsia"/>
          <w:sz w:val="32"/>
          <w:szCs w:val="32"/>
          <w:highlight w:val="none"/>
        </w:rPr>
        <w:t>万元，完成年初预算的100%，决算数与年初预算数持平。</w:t>
      </w:r>
    </w:p>
    <w:p w14:paraId="10051054">
      <w:pPr>
        <w:pStyle w:val="14"/>
        <w:numPr>
          <w:ilvl w:val="0"/>
          <w:numId w:val="0"/>
        </w:numPr>
        <w:ind w:left="630" w:leftChars="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41、</w:t>
      </w:r>
      <w:bookmarkStart w:id="24" w:name="OLE_LINK26"/>
      <w:r>
        <w:rPr>
          <w:rFonts w:hint="eastAsia" w:asciiTheme="minorEastAsia" w:hAnsiTheme="minorEastAsia" w:eastAsiaTheme="minorEastAsia"/>
          <w:sz w:val="32"/>
          <w:szCs w:val="32"/>
          <w:highlight w:val="none"/>
        </w:rPr>
        <w:t>住房保障支出（类）住房改革支出（款）住房公积金（项）。</w:t>
      </w:r>
    </w:p>
    <w:p w14:paraId="07556C0B">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bookmarkStart w:id="25" w:name="OLE_LINK25"/>
      <w:r>
        <w:rPr>
          <w:rFonts w:hint="eastAsia" w:asciiTheme="minorEastAsia" w:hAnsiTheme="minorEastAsia" w:eastAsiaTheme="minorEastAsia"/>
          <w:sz w:val="32"/>
          <w:szCs w:val="32"/>
          <w:highlight w:val="none"/>
          <w:lang w:val="en-US" w:eastAsia="zh-CN"/>
        </w:rPr>
        <w:t>27.45</w:t>
      </w:r>
      <w:bookmarkEnd w:id="25"/>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27.45</w:t>
      </w:r>
      <w:r>
        <w:rPr>
          <w:rFonts w:hint="eastAsia" w:asciiTheme="minorEastAsia" w:hAnsiTheme="minorEastAsia" w:eastAsiaTheme="minorEastAsia"/>
          <w:sz w:val="32"/>
          <w:szCs w:val="32"/>
          <w:highlight w:val="none"/>
        </w:rPr>
        <w:t>万元，完成年初预算的100%，决算数与年初预算数持平。</w:t>
      </w:r>
      <w:bookmarkEnd w:id="24"/>
    </w:p>
    <w:p w14:paraId="3141C5BC">
      <w:pPr>
        <w:pStyle w:val="14"/>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42、</w:t>
      </w:r>
      <w:r>
        <w:rPr>
          <w:rFonts w:hint="eastAsia" w:asciiTheme="minorEastAsia" w:hAnsiTheme="minorEastAsia" w:eastAsiaTheme="minorEastAsia"/>
          <w:sz w:val="32"/>
          <w:szCs w:val="32"/>
          <w:highlight w:val="none"/>
        </w:rPr>
        <w:t>粮油物资储备支出（类）粮油物资事务（款）其他粮油物资事务支出（项）。</w:t>
      </w:r>
    </w:p>
    <w:p w14:paraId="3951ED93">
      <w:pPr>
        <w:pStyle w:val="14"/>
        <w:ind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5</w:t>
      </w:r>
      <w:r>
        <w:rPr>
          <w:rFonts w:hint="eastAsia" w:asciiTheme="minorEastAsia" w:hAnsiTheme="minorEastAsia" w:eastAsiaTheme="minorEastAsia"/>
          <w:sz w:val="32"/>
          <w:szCs w:val="32"/>
          <w:highlight w:val="none"/>
        </w:rPr>
        <w:t>万元，完成年初预算的100%，决算数与年初预算数持平。</w:t>
      </w:r>
    </w:p>
    <w:p w14:paraId="0AD67CF7">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43、</w:t>
      </w:r>
      <w:r>
        <w:rPr>
          <w:rFonts w:hint="eastAsia" w:asciiTheme="minorEastAsia" w:hAnsiTheme="minorEastAsia" w:eastAsiaTheme="minorEastAsia"/>
          <w:sz w:val="32"/>
          <w:szCs w:val="32"/>
          <w:highlight w:val="none"/>
        </w:rPr>
        <w:t>灾害防治及应急管理支出（类）应急管理事务（款）其他应急管理支出（项）。</w:t>
      </w:r>
    </w:p>
    <w:p w14:paraId="04A4763D">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10</w:t>
      </w:r>
      <w:r>
        <w:rPr>
          <w:rFonts w:hint="eastAsia" w:asciiTheme="minorEastAsia" w:hAnsiTheme="minorEastAsia" w:eastAsiaTheme="minorEastAsia"/>
          <w:sz w:val="32"/>
          <w:szCs w:val="32"/>
          <w:highlight w:val="none"/>
        </w:rPr>
        <w:t>万元，完成年初预算的100%，决算数与年初预算数持平。</w:t>
      </w:r>
    </w:p>
    <w:p w14:paraId="4A1322A1">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44、</w:t>
      </w:r>
      <w:r>
        <w:rPr>
          <w:rFonts w:hint="eastAsia" w:asciiTheme="minorEastAsia" w:hAnsiTheme="minorEastAsia" w:eastAsiaTheme="minorEastAsia"/>
          <w:sz w:val="32"/>
          <w:szCs w:val="32"/>
          <w:highlight w:val="none"/>
        </w:rPr>
        <w:t>灾害防治及应急管理支出（类）消防救援事务（款）一般行政管理事务（项）。</w:t>
      </w:r>
    </w:p>
    <w:p w14:paraId="02495953">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0.58</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0.58</w:t>
      </w:r>
      <w:r>
        <w:rPr>
          <w:rFonts w:hint="eastAsia" w:asciiTheme="minorEastAsia" w:hAnsiTheme="minorEastAsia" w:eastAsiaTheme="minorEastAsia"/>
          <w:sz w:val="32"/>
          <w:szCs w:val="32"/>
          <w:highlight w:val="none"/>
        </w:rPr>
        <w:t>万元，完成年初预算的100%，决算数与年初预算数持平。</w:t>
      </w:r>
    </w:p>
    <w:p w14:paraId="09DEF437">
      <w:pPr>
        <w:pStyle w:val="14"/>
        <w:numPr>
          <w:ilvl w:val="0"/>
          <w:numId w:val="0"/>
        </w:numPr>
        <w:ind w:left="0" w:leftChars="0"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45、</w:t>
      </w:r>
      <w:bookmarkStart w:id="26" w:name="OLE_LINK27"/>
      <w:r>
        <w:rPr>
          <w:rFonts w:hint="eastAsia" w:asciiTheme="minorEastAsia" w:hAnsiTheme="minorEastAsia" w:eastAsiaTheme="minorEastAsia"/>
          <w:sz w:val="32"/>
          <w:szCs w:val="32"/>
          <w:highlight w:val="none"/>
        </w:rPr>
        <w:t>灾害防治及应急管理支出（类）自然灾害救灾及恢复重建支出（款）自然灾害救灾补助（项）。</w:t>
      </w:r>
    </w:p>
    <w:p w14:paraId="3B372911">
      <w:pPr>
        <w:pStyle w:val="14"/>
        <w:numPr>
          <w:ilvl w:val="0"/>
          <w:numId w:val="0"/>
        </w:numPr>
        <w:ind w:left="0" w:leftChars="0"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7</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7</w:t>
      </w:r>
      <w:r>
        <w:rPr>
          <w:rFonts w:hint="eastAsia" w:asciiTheme="minorEastAsia" w:hAnsiTheme="minorEastAsia" w:eastAsiaTheme="minorEastAsia"/>
          <w:sz w:val="32"/>
          <w:szCs w:val="32"/>
          <w:highlight w:val="none"/>
        </w:rPr>
        <w:t>万元，完成年初预算的100%，决算数与年初预算数持平</w:t>
      </w:r>
    </w:p>
    <w:bookmarkEnd w:id="26"/>
    <w:p w14:paraId="79150536">
      <w:pPr>
        <w:pStyle w:val="14"/>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46、</w:t>
      </w:r>
      <w:r>
        <w:rPr>
          <w:rFonts w:hint="eastAsia" w:asciiTheme="minorEastAsia" w:hAnsiTheme="minorEastAsia" w:eastAsiaTheme="minorEastAsia"/>
          <w:sz w:val="32"/>
          <w:szCs w:val="32"/>
          <w:highlight w:val="none"/>
        </w:rPr>
        <w:t>灾害防治及应急管理支出（类）自然灾害救灾及恢复重建支出（款）自然灾害灾后重建补助（项）。</w:t>
      </w:r>
    </w:p>
    <w:p w14:paraId="57BF8A92">
      <w:pPr>
        <w:pStyle w:val="14"/>
        <w:ind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180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180</w:t>
      </w:r>
      <w:r>
        <w:rPr>
          <w:rFonts w:hint="eastAsia" w:asciiTheme="minorEastAsia" w:hAnsiTheme="minorEastAsia" w:eastAsiaTheme="minorEastAsia"/>
          <w:sz w:val="32"/>
          <w:szCs w:val="32"/>
          <w:highlight w:val="none"/>
        </w:rPr>
        <w:t>万元，完成年初预算的100%，决算数与年初预算数持平</w:t>
      </w:r>
    </w:p>
    <w:p w14:paraId="78C35712">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47、</w:t>
      </w:r>
      <w:r>
        <w:rPr>
          <w:rFonts w:hint="eastAsia" w:asciiTheme="minorEastAsia" w:hAnsiTheme="minorEastAsia" w:eastAsiaTheme="minorEastAsia"/>
          <w:sz w:val="32"/>
          <w:szCs w:val="32"/>
          <w:highlight w:val="none"/>
        </w:rPr>
        <w:t>灾害防治及应急管理支出（类）其他灾害防治及应急管理支出（款）其他灾害防治及应急管理支出（项）。</w:t>
      </w:r>
    </w:p>
    <w:p w14:paraId="6CAA32D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5</w:t>
      </w:r>
      <w:r>
        <w:rPr>
          <w:rFonts w:hint="eastAsia" w:asciiTheme="minorEastAsia" w:hAnsiTheme="minorEastAsia" w:eastAsiaTheme="minorEastAsia"/>
          <w:sz w:val="32"/>
          <w:szCs w:val="32"/>
          <w:highlight w:val="none"/>
        </w:rPr>
        <w:t>万元，完成年初预算的100%，决算数与年初预算数持平。</w:t>
      </w:r>
    </w:p>
    <w:p w14:paraId="37E3B7C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97A5F1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833.22</w:t>
      </w:r>
      <w:r>
        <w:rPr>
          <w:rFonts w:hint="eastAsia" w:ascii="Times New Roman" w:hAnsi="Times New Roman" w:eastAsia="仿宋_GB2312"/>
          <w:sz w:val="32"/>
          <w:szCs w:val="32"/>
        </w:rPr>
        <w:t>万元，其中：</w:t>
      </w:r>
    </w:p>
    <w:p w14:paraId="25F12F9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726.71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87.22</w:t>
      </w:r>
      <w:r>
        <w:rPr>
          <w:rFonts w:hint="eastAsia" w:ascii="Times New Roman" w:hAnsi="Times New Roman" w:eastAsia="仿宋_GB2312"/>
          <w:sz w:val="32"/>
          <w:szCs w:val="32"/>
        </w:rPr>
        <w:t>%,</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222.31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264.51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49.07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伙食补助费</w:t>
      </w:r>
      <w:r>
        <w:rPr>
          <w:rFonts w:hint="eastAsia" w:asciiTheme="minorEastAsia" w:hAnsiTheme="minorEastAsia" w:eastAsiaTheme="minorEastAsia"/>
          <w:sz w:val="32"/>
          <w:szCs w:val="32"/>
          <w:lang w:val="en-US" w:eastAsia="zh-CN"/>
        </w:rPr>
        <w:t>2.16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、绩效工资</w:t>
      </w:r>
      <w:r>
        <w:rPr>
          <w:rFonts w:hint="eastAsia" w:asciiTheme="minorEastAsia" w:hAnsiTheme="minorEastAsia" w:eastAsiaTheme="minorEastAsia"/>
          <w:sz w:val="32"/>
          <w:szCs w:val="32"/>
          <w:lang w:val="en-US" w:eastAsia="zh-CN"/>
        </w:rPr>
        <w:t>16.5万元、</w:t>
      </w:r>
      <w:r>
        <w:rPr>
          <w:rFonts w:hint="eastAsia" w:asciiTheme="minorEastAsia" w:hAnsiTheme="minorEastAsia" w:eastAsiaTheme="minorEastAsia"/>
          <w:sz w:val="32"/>
          <w:szCs w:val="32"/>
        </w:rPr>
        <w:t>机关事业单位基本养老保险缴费</w:t>
      </w:r>
      <w:r>
        <w:rPr>
          <w:rFonts w:hint="eastAsia" w:asciiTheme="minorEastAsia" w:hAnsiTheme="minorEastAsia" w:eastAsiaTheme="minorEastAsia"/>
          <w:sz w:val="32"/>
          <w:szCs w:val="32"/>
          <w:lang w:val="en-US" w:eastAsia="zh-CN"/>
        </w:rPr>
        <w:t>60.88万元</w:t>
      </w:r>
      <w:r>
        <w:rPr>
          <w:rFonts w:hint="eastAsia" w:asciiTheme="minorEastAsia" w:hAnsiTheme="minorEastAsia" w:eastAsiaTheme="minorEastAsia"/>
          <w:sz w:val="32"/>
          <w:szCs w:val="32"/>
          <w:lang w:eastAsia="zh-CN"/>
        </w:rPr>
        <w:t>、职工基本医疗保险缴费28.76万元、</w:t>
      </w:r>
      <w:r>
        <w:rPr>
          <w:rFonts w:hint="eastAsia" w:asciiTheme="minorEastAsia" w:hAnsiTheme="minorEastAsia" w:eastAsiaTheme="minorEastAsia"/>
          <w:sz w:val="32"/>
          <w:szCs w:val="32"/>
        </w:rPr>
        <w:t>其他社会保险缴费</w:t>
      </w:r>
      <w:r>
        <w:rPr>
          <w:rFonts w:hint="eastAsia" w:asciiTheme="minorEastAsia" w:hAnsiTheme="minorEastAsia" w:eastAsiaTheme="minorEastAsia"/>
          <w:sz w:val="32"/>
          <w:szCs w:val="32"/>
          <w:lang w:val="en-US" w:eastAsia="zh-CN"/>
        </w:rPr>
        <w:t>0.24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住房公积金</w:t>
      </w:r>
      <w:r>
        <w:rPr>
          <w:rFonts w:hint="eastAsia" w:asciiTheme="minorEastAsia" w:hAnsiTheme="minorEastAsia" w:eastAsiaTheme="minorEastAsia"/>
          <w:sz w:val="32"/>
          <w:szCs w:val="32"/>
          <w:lang w:val="en-US" w:eastAsia="zh-CN"/>
        </w:rPr>
        <w:t>27.45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、抚恤金22.39万元、</w:t>
      </w:r>
      <w:r>
        <w:rPr>
          <w:rFonts w:hint="eastAsia" w:asciiTheme="minorEastAsia" w:hAnsiTheme="minorEastAsia" w:eastAsiaTheme="minorEastAsia"/>
          <w:sz w:val="32"/>
          <w:szCs w:val="32"/>
        </w:rPr>
        <w:t>生活补助</w:t>
      </w:r>
      <w:r>
        <w:rPr>
          <w:rFonts w:hint="eastAsia" w:asciiTheme="minorEastAsia" w:hAnsiTheme="minorEastAsia" w:eastAsiaTheme="minorEastAsia"/>
          <w:sz w:val="32"/>
          <w:szCs w:val="32"/>
          <w:lang w:val="en-US" w:eastAsia="zh-CN"/>
        </w:rPr>
        <w:t>17.16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其他对个人和家庭的补助</w:t>
      </w:r>
      <w:r>
        <w:rPr>
          <w:rFonts w:hint="eastAsia" w:asciiTheme="minorEastAsia" w:hAnsiTheme="minorEastAsia" w:eastAsiaTheme="minorEastAsia"/>
          <w:sz w:val="32"/>
          <w:szCs w:val="32"/>
          <w:lang w:val="en-US" w:eastAsia="zh-CN"/>
        </w:rPr>
        <w:t>8.48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14:paraId="3F219AB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106.51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12.78</w:t>
      </w:r>
      <w:r>
        <w:rPr>
          <w:rFonts w:hint="eastAsia" w:ascii="Times New Roman" w:hAnsi="Times New Roman" w:eastAsia="仿宋_GB2312"/>
          <w:sz w:val="32"/>
          <w:szCs w:val="32"/>
        </w:rPr>
        <w:t>%，</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34.92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印刷费</w:t>
      </w:r>
      <w:r>
        <w:rPr>
          <w:rFonts w:hint="eastAsia" w:asciiTheme="minorEastAsia" w:hAnsiTheme="minorEastAsia" w:eastAsiaTheme="minorEastAsia"/>
          <w:sz w:val="32"/>
          <w:szCs w:val="32"/>
          <w:lang w:val="en-US" w:eastAsia="zh-CN"/>
        </w:rPr>
        <w:t>6.18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差旅费</w:t>
      </w:r>
      <w:r>
        <w:rPr>
          <w:rFonts w:hint="eastAsia" w:asciiTheme="minorEastAsia" w:hAnsiTheme="minorEastAsia" w:eastAsiaTheme="minorEastAsia"/>
          <w:sz w:val="32"/>
          <w:szCs w:val="32"/>
          <w:lang w:val="en-US" w:eastAsia="zh-CN"/>
        </w:rPr>
        <w:t>10.76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、维修（护）费</w:t>
      </w:r>
      <w:r>
        <w:rPr>
          <w:rFonts w:hint="eastAsia" w:asciiTheme="minorEastAsia" w:hAnsiTheme="minorEastAsia" w:eastAsiaTheme="minorEastAsia"/>
          <w:sz w:val="32"/>
          <w:szCs w:val="32"/>
          <w:lang w:val="en-US" w:eastAsia="zh-CN"/>
        </w:rPr>
        <w:t>1.21万元、会议费2.3万元、</w:t>
      </w:r>
      <w:r>
        <w:rPr>
          <w:rFonts w:hint="eastAsia" w:asciiTheme="minorEastAsia" w:hAnsiTheme="minorEastAsia" w:eastAsiaTheme="minorEastAsia"/>
          <w:sz w:val="32"/>
          <w:szCs w:val="32"/>
        </w:rPr>
        <w:t>培训费1.07万元</w:t>
      </w:r>
      <w:r>
        <w:rPr>
          <w:rFonts w:hint="eastAsia" w:asciiTheme="minorEastAsia" w:hAnsiTheme="minorEastAsia" w:eastAsiaTheme="minorEastAsia"/>
          <w:sz w:val="32"/>
          <w:szCs w:val="32"/>
          <w:lang w:eastAsia="zh-CN"/>
        </w:rPr>
        <w:t>、公务接待费</w:t>
      </w:r>
      <w:r>
        <w:rPr>
          <w:rFonts w:hint="eastAsia" w:asciiTheme="minorEastAsia" w:hAnsiTheme="minorEastAsia" w:eastAsiaTheme="minorEastAsia"/>
          <w:sz w:val="32"/>
          <w:szCs w:val="32"/>
          <w:lang w:val="en-US" w:eastAsia="zh-CN"/>
        </w:rPr>
        <w:t>1.74万元、专用材料费2.63万元、</w:t>
      </w:r>
      <w:r>
        <w:rPr>
          <w:rFonts w:hint="eastAsia" w:asciiTheme="minorEastAsia" w:hAnsiTheme="minorEastAsia" w:eastAsiaTheme="minorEastAsia"/>
          <w:sz w:val="32"/>
          <w:szCs w:val="32"/>
        </w:rPr>
        <w:t>劳务费</w:t>
      </w:r>
      <w:r>
        <w:rPr>
          <w:rFonts w:hint="eastAsia" w:asciiTheme="minorEastAsia" w:hAnsiTheme="minorEastAsia" w:eastAsiaTheme="minorEastAsia"/>
          <w:sz w:val="32"/>
          <w:szCs w:val="32"/>
          <w:lang w:val="en-US" w:eastAsia="zh-CN"/>
        </w:rPr>
        <w:t>3.58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、工会会费0.7万元、</w:t>
      </w:r>
      <w:r>
        <w:rPr>
          <w:rFonts w:hint="eastAsia" w:asciiTheme="minorEastAsia" w:hAnsiTheme="minorEastAsia" w:eastAsiaTheme="minorEastAsia"/>
          <w:sz w:val="32"/>
          <w:szCs w:val="32"/>
        </w:rPr>
        <w:t>公务用车运行维护费4.41万元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其他交通费</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其他商品和服务支出</w:t>
      </w:r>
      <w:r>
        <w:rPr>
          <w:rFonts w:hint="eastAsia" w:asciiTheme="minorEastAsia" w:hAnsiTheme="minorEastAsia" w:eastAsiaTheme="minorEastAsia"/>
          <w:sz w:val="32"/>
          <w:szCs w:val="32"/>
          <w:lang w:val="en-US" w:eastAsia="zh-CN"/>
        </w:rPr>
        <w:t>31.7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14:paraId="5968A79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1FE6526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050D77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6.15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69F1CC13">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bookmarkStart w:id="27" w:name="OLE_LINK28"/>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0，无法计算百分比</w:t>
      </w:r>
      <w:r>
        <w:rPr>
          <w:rFonts w:hint="eastAsia" w:asciiTheme="minorEastAsia" w:hAnsiTheme="minorEastAsia" w:eastAsiaTheme="minorEastAsia"/>
          <w:sz w:val="32"/>
          <w:szCs w:val="32"/>
        </w:rPr>
        <w:t>，</w:t>
      </w:r>
      <w:bookmarkEnd w:id="27"/>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14:paraId="68F67E5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heme="minorEastAsia" w:hAnsiTheme="minorEastAsia" w:eastAsiaTheme="minorEastAsia"/>
          <w:sz w:val="32"/>
          <w:szCs w:val="32"/>
        </w:rPr>
      </w:pPr>
      <w:r>
        <w:rPr>
          <w:rFonts w:hint="eastAsia" w:ascii="Times New Roman" w:hAnsi="Times New Roman" w:eastAsia="仿宋_GB2312"/>
          <w:sz w:val="32"/>
          <w:szCs w:val="32"/>
        </w:rPr>
        <w:t>公务接待费支出</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1.74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0%，</w:t>
      </w:r>
      <w:r>
        <w:rPr>
          <w:rFonts w:hint="eastAsia" w:asciiTheme="minorEastAsia" w:hAnsiTheme="minorEastAsia" w:eastAsiaTheme="minorEastAsia"/>
          <w:sz w:val="32"/>
          <w:szCs w:val="32"/>
          <w:lang w:eastAsia="zh-CN"/>
        </w:rPr>
        <w:t>决算数等于预算数，</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1.74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实际开支检查费用</w:t>
      </w:r>
      <w:r>
        <w:rPr>
          <w:rFonts w:hint="eastAsia" w:ascii="Times New Roman" w:hAnsi="Times New Roman" w:eastAsia="仿宋_GB2312"/>
          <w:sz w:val="32"/>
          <w:szCs w:val="32"/>
        </w:rPr>
        <w:t>。</w:t>
      </w:r>
    </w:p>
    <w:p w14:paraId="42AA89D1">
      <w:pPr>
        <w:pStyle w:val="14"/>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公务用车购置费支出</w:t>
      </w:r>
      <w:r>
        <w:rPr>
          <w:rFonts w:hint="eastAsia" w:asciiTheme="minorEastAsia" w:hAnsiTheme="minorEastAsia" w:eastAsiaTheme="minorEastAsia"/>
          <w:sz w:val="32"/>
          <w:szCs w:val="32"/>
        </w:rPr>
        <w:t>预算为0万元，支出决算为0万元，</w:t>
      </w:r>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0，无法计算百分比</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14:paraId="66C1627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预算数，与上年相比增加</w:t>
      </w:r>
      <w:r>
        <w:rPr>
          <w:rFonts w:hint="eastAsia" w:ascii="Times New Roman" w:hAnsi="Times New Roman" w:eastAsia="仿宋_GB2312"/>
          <w:sz w:val="32"/>
          <w:szCs w:val="32"/>
          <w:lang w:val="en-US" w:eastAsia="zh-CN"/>
        </w:rPr>
        <w:t>3.01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215</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下乡检查工作次数增加</w:t>
      </w:r>
      <w:r>
        <w:rPr>
          <w:rFonts w:hint="eastAsia" w:ascii="Times New Roman" w:hAnsi="Times New Roman" w:eastAsia="仿宋_GB2312"/>
          <w:sz w:val="32"/>
          <w:szCs w:val="32"/>
        </w:rPr>
        <w:t>。</w:t>
      </w:r>
    </w:p>
    <w:p w14:paraId="6E195AD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0AF45A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1.74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28.29</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71.71</w:t>
      </w:r>
      <w:r>
        <w:rPr>
          <w:rFonts w:hint="eastAsia" w:ascii="Times New Roman" w:hAnsi="Times New Roman" w:eastAsia="仿宋_GB2312"/>
          <w:sz w:val="32"/>
          <w:szCs w:val="32"/>
        </w:rPr>
        <w:t>%。其中：</w:t>
      </w:r>
    </w:p>
    <w:p w14:paraId="1DAAE540">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14:paraId="277F7EF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1.74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全年共接待来访团组</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73</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财务检查、乡村振兴检查、巡查组巡查等</w:t>
      </w:r>
      <w:r>
        <w:rPr>
          <w:rFonts w:hint="eastAsia" w:ascii="Times New Roman" w:hAnsi="Times New Roman" w:eastAsia="仿宋_GB2312"/>
          <w:sz w:val="32"/>
          <w:szCs w:val="32"/>
        </w:rPr>
        <w:t>发生的接待支出。</w:t>
      </w:r>
    </w:p>
    <w:p w14:paraId="7828E879">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4.41</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4.41</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下乡检查工作</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3F7B730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09E74D4">
      <w:pPr>
        <w:pStyle w:val="14"/>
        <w:rPr>
          <w:rFonts w:asciiTheme="minorEastAsia" w:hAnsiTheme="minorEastAsia" w:eastAsiaTheme="minorEastAsia"/>
          <w:i/>
          <w:color w:val="FF0000"/>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heme="minorEastAsia" w:hAnsiTheme="minorEastAsia" w:eastAsiaTheme="minorEastAsia"/>
          <w:sz w:val="32"/>
          <w:szCs w:val="32"/>
        </w:rPr>
        <w:t>政府性基金预算财政拨款收入</w:t>
      </w:r>
      <w:r>
        <w:rPr>
          <w:rFonts w:hint="eastAsia" w:asciiTheme="minorEastAsia" w:hAnsiTheme="minorEastAsia" w:eastAsiaTheme="minorEastAsia"/>
          <w:sz w:val="32"/>
          <w:szCs w:val="32"/>
          <w:lang w:val="en-US" w:eastAsia="zh-CN"/>
        </w:rPr>
        <w:t>30.98</w:t>
      </w:r>
      <w:r>
        <w:rPr>
          <w:rFonts w:hint="eastAsia" w:asciiTheme="minorEastAsia" w:hAnsiTheme="minorEastAsia" w:eastAsiaTheme="minorEastAsia"/>
          <w:sz w:val="32"/>
          <w:szCs w:val="32"/>
        </w:rPr>
        <w:t>万元；年初结转和结余0万元；支出</w:t>
      </w:r>
      <w:r>
        <w:rPr>
          <w:rFonts w:hint="eastAsia" w:asciiTheme="minorEastAsia" w:hAnsiTheme="minorEastAsia" w:eastAsiaTheme="minorEastAsia"/>
          <w:sz w:val="32"/>
          <w:szCs w:val="32"/>
          <w:lang w:val="en-US" w:eastAsia="zh-CN"/>
        </w:rPr>
        <w:t>30.98</w:t>
      </w:r>
      <w:r>
        <w:rPr>
          <w:rFonts w:hint="eastAsia" w:asciiTheme="minorEastAsia" w:hAnsiTheme="minorEastAsia" w:eastAsiaTheme="minorEastAsia"/>
          <w:sz w:val="32"/>
          <w:szCs w:val="32"/>
        </w:rPr>
        <w:t>万元，其中基本支出0万元，项目支出</w:t>
      </w:r>
      <w:r>
        <w:rPr>
          <w:rFonts w:hint="eastAsia" w:asciiTheme="minorEastAsia" w:hAnsiTheme="minorEastAsia" w:eastAsiaTheme="minorEastAsia"/>
          <w:sz w:val="32"/>
          <w:szCs w:val="32"/>
          <w:lang w:val="en-US" w:eastAsia="zh-CN"/>
        </w:rPr>
        <w:t>30.98</w:t>
      </w:r>
      <w:r>
        <w:rPr>
          <w:rFonts w:hint="eastAsia" w:asciiTheme="minorEastAsia" w:hAnsiTheme="minorEastAsia" w:eastAsiaTheme="minorEastAsia"/>
          <w:sz w:val="32"/>
          <w:szCs w:val="32"/>
        </w:rPr>
        <w:t>万元；年末结转和结余0万元。具体情况如下：</w:t>
      </w:r>
    </w:p>
    <w:p w14:paraId="1D7A74DD">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城乡社区支出（类）国有土地使用权出让收入安排的支出（款）农村基础设施建设支出（项）。</w:t>
      </w:r>
    </w:p>
    <w:p w14:paraId="5A33EEA0">
      <w:pPr>
        <w:pStyle w:val="14"/>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14:paraId="789938A1">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bookmarkStart w:id="28" w:name="OLE_LINK30"/>
      <w:r>
        <w:rPr>
          <w:rFonts w:hint="eastAsia" w:asciiTheme="minorEastAsia" w:hAnsiTheme="minorEastAsia" w:eastAsiaTheme="minorEastAsia"/>
          <w:sz w:val="32"/>
          <w:szCs w:val="32"/>
        </w:rPr>
        <w:t>其他支出（类）彩票公益金安排的支出（款） 用于社会福利的彩票公益金支出（项）。</w:t>
      </w:r>
    </w:p>
    <w:p w14:paraId="3B04C3DF">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bookmarkStart w:id="29" w:name="OLE_LINK29"/>
      <w:r>
        <w:rPr>
          <w:rFonts w:hint="eastAsia" w:asciiTheme="minorEastAsia" w:hAnsiTheme="minorEastAsia" w:eastAsiaTheme="minorEastAsia"/>
          <w:sz w:val="32"/>
          <w:szCs w:val="32"/>
          <w:lang w:val="en-US" w:eastAsia="zh-CN"/>
        </w:rPr>
        <w:t>24.98</w:t>
      </w:r>
      <w:bookmarkEnd w:id="29"/>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24.98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bookmarkEnd w:id="28"/>
    <w:p w14:paraId="30EFEAC6">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其他支出（类）彩票公益金安排的支出（款） 用于体育事业的彩票公益金支出（项）。</w:t>
      </w:r>
    </w:p>
    <w:p w14:paraId="33627627">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14:paraId="361999F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79DBD51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106.51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02BDA72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143BDE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镇乡村振兴工作会议、业务培训</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1533</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镇乡村振兴工作会议、业务培训</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14:paraId="5FAC590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1.07</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会计业务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会计业务</w:t>
      </w:r>
      <w:r>
        <w:rPr>
          <w:rFonts w:hint="eastAsia" w:ascii="Times New Roman" w:hAnsi="Times New Roman" w:eastAsia="仿宋_GB2312"/>
          <w:sz w:val="32"/>
          <w:szCs w:val="32"/>
        </w:rPr>
        <w:t>培训；</w:t>
      </w:r>
    </w:p>
    <w:p w14:paraId="34500BDD">
      <w:pPr>
        <w:pStyle w:val="14"/>
        <w:keepNext w:val="0"/>
        <w:keepLines w:val="0"/>
        <w:pageBreakBefore w:val="0"/>
        <w:widowControl w:val="0"/>
        <w:kinsoku/>
        <w:wordWrap/>
        <w:overflowPunct/>
        <w:topLinePunct w:val="0"/>
        <w:bidi w:val="0"/>
        <w:snapToGrid/>
        <w:spacing w:line="600" w:lineRule="exact"/>
        <w:ind w:left="638" w:leftChars="304" w:firstLine="0" w:firstLineChars="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4D27568">
      <w:pPr>
        <w:pStyle w:val="14"/>
        <w:keepNext w:val="0"/>
        <w:keepLines w:val="0"/>
        <w:pageBreakBefore w:val="0"/>
        <w:widowControl w:val="0"/>
        <w:kinsoku/>
        <w:wordWrap/>
        <w:overflowPunct/>
        <w:topLinePunct w:val="0"/>
        <w:bidi w:val="0"/>
        <w:snapToGrid/>
        <w:spacing w:line="600" w:lineRule="exact"/>
        <w:ind w:left="638" w:leftChars="304"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D89ABDE">
      <w:pPr>
        <w:pStyle w:val="14"/>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B70645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6B374D8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highlight w:val="none"/>
        </w:rPr>
        <w:t>、其他用车</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辆，其他用车主要是</w:t>
      </w:r>
      <w:r>
        <w:rPr>
          <w:rFonts w:hint="eastAsia" w:ascii="Times New Roman" w:hAnsi="Times New Roman" w:eastAsia="仿宋_GB2312"/>
          <w:sz w:val="32"/>
          <w:szCs w:val="32"/>
          <w:highlight w:val="none"/>
          <w:lang w:eastAsia="zh-CN"/>
        </w:rPr>
        <w:t>公务用车</w:t>
      </w:r>
      <w:r>
        <w:rPr>
          <w:rFonts w:hint="eastAsia" w:ascii="Times New Roman" w:hAnsi="Times New Roman" w:eastAsia="仿宋_GB2312"/>
          <w:sz w:val="32"/>
          <w:szCs w:val="32"/>
          <w:highlight w:val="none"/>
        </w:rPr>
        <w:t>；单位价值50万元以上通用设备</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台（套）；单位价值100万元以上专用设备</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台（套）。</w:t>
      </w:r>
    </w:p>
    <w:p w14:paraId="58872B6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十三、关于</w:t>
      </w: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黑体" w:hAnsi="黑体" w:eastAsia="黑体" w:cs="黑体"/>
          <w:b w:val="0"/>
          <w:bCs/>
          <w:sz w:val="32"/>
          <w:szCs w:val="32"/>
          <w:highlight w:val="none"/>
        </w:rPr>
        <w:t>年度预算绩效情况的说明</w:t>
      </w:r>
    </w:p>
    <w:p w14:paraId="0C73ED97">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highlight w:val="none"/>
        </w:rPr>
      </w:pPr>
      <w:bookmarkStart w:id="30" w:name="OLE_LINK31"/>
      <w:r>
        <w:rPr>
          <w:rFonts w:hint="eastAsia" w:ascii="楷体" w:hAnsi="楷体" w:eastAsia="楷体" w:cs="楷体"/>
          <w:b/>
          <w:bCs/>
          <w:sz w:val="32"/>
          <w:szCs w:val="32"/>
          <w:highlight w:val="none"/>
          <w:lang w:eastAsia="zh-CN"/>
        </w:rPr>
        <w:t>（一）</w:t>
      </w:r>
      <w:bookmarkEnd w:id="30"/>
      <w:r>
        <w:rPr>
          <w:rFonts w:hint="eastAsia" w:ascii="楷体" w:hAnsi="楷体" w:eastAsia="楷体" w:cs="楷体"/>
          <w:b/>
          <w:bCs/>
          <w:sz w:val="32"/>
          <w:szCs w:val="32"/>
          <w:highlight w:val="none"/>
          <w:lang w:eastAsia="zh-CN"/>
        </w:rPr>
        <w:t>绩效管理工作开展情况</w:t>
      </w:r>
    </w:p>
    <w:p w14:paraId="757BBF45">
      <w:pPr>
        <w:pStyle w:val="20"/>
        <w:shd w:val="clear" w:color="auto"/>
        <w:spacing w:before="0" w:beforeAutospacing="0" w:after="0" w:afterAutospacing="0" w:line="640" w:lineRule="atLeast"/>
        <w:ind w:firstLine="640" w:firstLineChars="200"/>
        <w:jc w:val="both"/>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2023年，编制预算时，我单位预算资金全部纳入绩效目标管理，预算执行时，为深化绩效监控，促进绩效目标实现，采取单位自控和财政审核相结合的方式</w:t>
      </w:r>
      <w:r>
        <w:rPr>
          <w:rFonts w:hint="eastAsia" w:ascii="Times New Roman" w:hAnsi="Times New Roman" w:eastAsia="仿宋_GB2312" w:cs="黑体"/>
          <w:color w:val="000000"/>
          <w:kern w:val="0"/>
          <w:sz w:val="32"/>
          <w:szCs w:val="32"/>
          <w:lang w:val="en-US" w:eastAsia="zh-CN" w:bidi="ar-SA"/>
        </w:rPr>
        <w:t>，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w:t>
      </w:r>
      <w:r>
        <w:rPr>
          <w:rFonts w:hint="eastAsia" w:ascii="Times New Roman" w:hAnsi="Times New Roman" w:eastAsia="仿宋_GB2312" w:cs="黑体"/>
          <w:color w:val="000000"/>
          <w:kern w:val="0"/>
          <w:sz w:val="32"/>
          <w:szCs w:val="32"/>
          <w:highlight w:val="none"/>
          <w:lang w:val="en-US" w:eastAsia="zh-CN" w:bidi="ar-SA"/>
        </w:rPr>
        <w:t>将绩效评价结果作为下年度预算编制的重要依据。</w:t>
      </w:r>
    </w:p>
    <w:p w14:paraId="48D1D7B9">
      <w:pPr>
        <w:numPr>
          <w:ilvl w:val="0"/>
          <w:numId w:val="0"/>
        </w:numPr>
        <w:shd w:val="clear" w:color="auto"/>
        <w:spacing w:line="64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楷体" w:hAnsi="楷体" w:eastAsia="楷体" w:cs="楷体"/>
          <w:b/>
          <w:bCs/>
          <w:sz w:val="32"/>
          <w:szCs w:val="32"/>
          <w:highlight w:val="none"/>
          <w:lang w:eastAsia="zh-CN"/>
        </w:rPr>
        <w:t>（二）单位</w:t>
      </w:r>
      <w:r>
        <w:rPr>
          <w:rFonts w:hint="eastAsia" w:ascii="楷体" w:hAnsi="楷体" w:eastAsia="楷体" w:cs="楷体"/>
          <w:b/>
          <w:bCs/>
          <w:sz w:val="32"/>
          <w:szCs w:val="32"/>
          <w:highlight w:val="none"/>
        </w:rPr>
        <w:t>整体支出绩效情况</w:t>
      </w:r>
    </w:p>
    <w:p w14:paraId="28A33A01">
      <w:pPr>
        <w:shd w:val="clear" w:color="auto"/>
        <w:spacing w:line="640" w:lineRule="exact"/>
        <w:ind w:firstLine="640"/>
        <w:rPr>
          <w:rFonts w:hint="eastAsia" w:ascii="楷体" w:hAnsi="楷体" w:eastAsia="仿宋" w:cs="楷体"/>
          <w:b/>
          <w:bCs/>
          <w:sz w:val="32"/>
          <w:szCs w:val="32"/>
          <w:highlight w:val="none"/>
          <w:lang w:eastAsia="zh-CN"/>
        </w:rPr>
      </w:pPr>
      <w:r>
        <w:rPr>
          <w:rFonts w:hint="eastAsia" w:ascii="仿宋" w:hAnsi="仿宋" w:eastAsia="仿宋" w:cs="宋体"/>
          <w:kern w:val="0"/>
          <w:sz w:val="32"/>
          <w:szCs w:val="32"/>
          <w:highlight w:val="none"/>
        </w:rPr>
        <w:t>本部门自评共计得分96分，达到优等级，主要表现在预算管理、资产管理、履职效益方</w:t>
      </w:r>
      <w:r>
        <w:rPr>
          <w:rFonts w:hint="eastAsia" w:ascii="仿宋" w:hAnsi="仿宋" w:eastAsia="仿宋" w:cs="宋体"/>
          <w:kern w:val="0"/>
          <w:sz w:val="32"/>
          <w:szCs w:val="32"/>
        </w:rPr>
        <w:t>面能很好的完成任务。具体从部门整体支出的经济性、效率性、有效性等方面分析。1.按时足额发放人员经费及支付各部门运行所发生的各项办公经费。在保证部门正常运行，人员经费按时足额发放的基础上，完成了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度部门的各项工作任务。2.全力抓好安全生产整治。年内辖区无重大安全事故。新型农村合作医疗参合率达到95%或以上；免费孕前优生健康检查目标人群覆盖率达到80%以上；做好粮补、退耕还林补贴、残疾、五保、独生子女保健费等各项惠农补贴发放工作。3.完成县委、县政府交办的其他各项工作任务。4.稳定干部队伍，促进部门高效履职，确保部门正常完成各项工作任务。开展集镇专项整治，积极化解矛盾纠纷，</w:t>
      </w:r>
      <w:r>
        <w:rPr>
          <w:rFonts w:hint="eastAsia" w:ascii="仿宋" w:hAnsi="仿宋" w:eastAsia="仿宋" w:cs="宋体"/>
          <w:kern w:val="0"/>
          <w:sz w:val="32"/>
          <w:szCs w:val="32"/>
          <w:highlight w:val="none"/>
        </w:rPr>
        <w:t>切实做好防灾减灾，稳定社会发展。群众满意、群众得实惠，减轻负担</w:t>
      </w:r>
      <w:r>
        <w:rPr>
          <w:rFonts w:hint="eastAsia" w:ascii="仿宋" w:hAnsi="仿宋" w:eastAsia="仿宋" w:cs="宋体"/>
          <w:kern w:val="0"/>
          <w:sz w:val="32"/>
          <w:szCs w:val="32"/>
          <w:highlight w:val="none"/>
          <w:lang w:eastAsia="zh-CN"/>
        </w:rPr>
        <w:t>。</w:t>
      </w:r>
    </w:p>
    <w:p w14:paraId="0EC1A66C">
      <w:pPr>
        <w:shd w:val="clear" w:color="auto"/>
        <w:spacing w:line="640" w:lineRule="exact"/>
        <w:ind w:firstLine="640"/>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（三）</w:t>
      </w:r>
      <w:r>
        <w:rPr>
          <w:rFonts w:hint="eastAsia" w:ascii="楷体" w:hAnsi="楷体" w:eastAsia="楷体" w:cs="楷体"/>
          <w:b/>
          <w:bCs/>
          <w:sz w:val="32"/>
          <w:szCs w:val="32"/>
          <w:highlight w:val="none"/>
        </w:rPr>
        <w:t>存在的问题及原因分析</w:t>
      </w:r>
    </w:p>
    <w:p w14:paraId="184C1CB5">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1、预算控制率有待降低。除政策性因素以外，由于部分临时、紧急或突发的工作任务导致年中追加预算。</w:t>
      </w:r>
    </w:p>
    <w:p w14:paraId="26DB4602">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2、公用经费控制率有待降低。由于乡村振兴工作任务重，各项经费使用增加。</w:t>
      </w:r>
    </w:p>
    <w:p w14:paraId="7BA55D05">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3、项目资金压力大。针对我镇农村经济基础薄弱，各项基础设施项目建设资金管理尚需进一步的加强。</w:t>
      </w:r>
    </w:p>
    <w:p w14:paraId="37705312">
      <w:pPr>
        <w:pStyle w:val="14"/>
        <w:keepNext w:val="0"/>
        <w:keepLines w:val="0"/>
        <w:pageBreakBefore w:val="0"/>
        <w:widowControl w:val="0"/>
        <w:shd w:val="clea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p>
    <w:p w14:paraId="4C92A6B4">
      <w:pPr>
        <w:pStyle w:val="14"/>
        <w:jc w:val="center"/>
        <w:rPr>
          <w:sz w:val="72"/>
          <w:szCs w:val="72"/>
        </w:rPr>
      </w:pPr>
    </w:p>
    <w:p w14:paraId="21EFD18A">
      <w:pPr>
        <w:pStyle w:val="14"/>
        <w:jc w:val="center"/>
        <w:rPr>
          <w:sz w:val="72"/>
          <w:szCs w:val="72"/>
        </w:rPr>
      </w:pPr>
    </w:p>
    <w:p w14:paraId="6ECA9E4C">
      <w:pPr>
        <w:pStyle w:val="14"/>
        <w:jc w:val="center"/>
        <w:rPr>
          <w:sz w:val="72"/>
          <w:szCs w:val="72"/>
        </w:rPr>
      </w:pPr>
    </w:p>
    <w:p w14:paraId="1FB9CBCC">
      <w:pPr>
        <w:pStyle w:val="14"/>
        <w:jc w:val="center"/>
        <w:rPr>
          <w:sz w:val="72"/>
          <w:szCs w:val="72"/>
        </w:rPr>
      </w:pPr>
    </w:p>
    <w:p w14:paraId="74FD8AC4">
      <w:pPr>
        <w:pStyle w:val="14"/>
        <w:jc w:val="center"/>
        <w:rPr>
          <w:sz w:val="72"/>
          <w:szCs w:val="72"/>
        </w:rPr>
      </w:pPr>
    </w:p>
    <w:p w14:paraId="72693A46">
      <w:pPr>
        <w:pStyle w:val="14"/>
        <w:jc w:val="both"/>
        <w:rPr>
          <w:rFonts w:hint="eastAsia" w:ascii="方正小标宋_GBK" w:hAnsi="方正小标宋_GBK" w:eastAsia="方正小标宋_GBK" w:cs="方正小标宋_GBK"/>
          <w:sz w:val="72"/>
          <w:szCs w:val="72"/>
        </w:rPr>
      </w:pPr>
    </w:p>
    <w:p w14:paraId="38BDB005">
      <w:pPr>
        <w:pStyle w:val="14"/>
        <w:jc w:val="center"/>
        <w:rPr>
          <w:rFonts w:hint="eastAsia" w:ascii="方正小标宋_GBK" w:hAnsi="方正小标宋_GBK" w:eastAsia="方正小标宋_GBK" w:cs="方正小标宋_GBK"/>
          <w:sz w:val="72"/>
          <w:szCs w:val="72"/>
        </w:rPr>
      </w:pPr>
    </w:p>
    <w:p w14:paraId="17C93585">
      <w:pPr>
        <w:pStyle w:val="14"/>
        <w:jc w:val="center"/>
        <w:rPr>
          <w:rFonts w:hint="eastAsia" w:ascii="方正小标宋_GBK" w:hAnsi="方正小标宋_GBK" w:eastAsia="方正小标宋_GBK" w:cs="方正小标宋_GBK"/>
          <w:sz w:val="72"/>
          <w:szCs w:val="72"/>
        </w:rPr>
      </w:pPr>
    </w:p>
    <w:p w14:paraId="4D66F864">
      <w:pPr>
        <w:pStyle w:val="14"/>
        <w:jc w:val="both"/>
        <w:rPr>
          <w:rFonts w:hint="eastAsia" w:ascii="方正小标宋_GBK" w:hAnsi="方正小标宋_GBK" w:eastAsia="方正小标宋_GBK" w:cs="方正小标宋_GBK"/>
          <w:sz w:val="72"/>
          <w:szCs w:val="72"/>
        </w:rPr>
      </w:pPr>
    </w:p>
    <w:p w14:paraId="3C9E2B95">
      <w:pPr>
        <w:pStyle w:val="14"/>
        <w:jc w:val="center"/>
        <w:rPr>
          <w:rFonts w:hint="eastAsia" w:ascii="方正小标宋_GBK" w:hAnsi="方正小标宋_GBK" w:eastAsia="方正小标宋_GBK" w:cs="方正小标宋_GBK"/>
          <w:sz w:val="72"/>
          <w:szCs w:val="72"/>
        </w:rPr>
      </w:pPr>
    </w:p>
    <w:p w14:paraId="2BE01DCA">
      <w:pPr>
        <w:pStyle w:val="14"/>
        <w:jc w:val="center"/>
        <w:rPr>
          <w:rFonts w:hint="eastAsia" w:ascii="方正小标宋_GBK" w:hAnsi="方正小标宋_GBK" w:eastAsia="方正小标宋_GBK" w:cs="方正小标宋_GBK"/>
          <w:sz w:val="72"/>
          <w:szCs w:val="72"/>
        </w:rPr>
      </w:pPr>
    </w:p>
    <w:p w14:paraId="59154606">
      <w:pPr>
        <w:pStyle w:val="14"/>
        <w:jc w:val="center"/>
        <w:rPr>
          <w:rFonts w:hint="eastAsia" w:ascii="方正小标宋_GBK" w:hAnsi="方正小标宋_GBK" w:eastAsia="方正小标宋_GBK" w:cs="方正小标宋_GBK"/>
          <w:sz w:val="72"/>
          <w:szCs w:val="72"/>
        </w:rPr>
      </w:pPr>
    </w:p>
    <w:p w14:paraId="3717968B">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40DF62A">
      <w:pPr>
        <w:jc w:val="center"/>
        <w:rPr>
          <w:rFonts w:hint="eastAsia" w:ascii="方正小标宋_GBK" w:hAnsi="方正小标宋_GBK" w:eastAsia="方正小标宋_GBK" w:cs="方正小标宋_GBK"/>
          <w:color w:val="000000"/>
          <w:kern w:val="0"/>
          <w:sz w:val="70"/>
          <w:szCs w:val="70"/>
        </w:rPr>
      </w:pPr>
    </w:p>
    <w:p w14:paraId="002FA63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D345838">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FE2BCB9">
      <w:pPr>
        <w:pStyle w:val="14"/>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1、财政拨款收入：指县财政当年拨付的资金。</w:t>
      </w:r>
    </w:p>
    <w:p w14:paraId="74B45A43">
      <w:pPr>
        <w:pStyle w:val="14"/>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2、基本支出：指部门为保障其机构正常运转、完成日常工作任务的年度基本支出，包括人员经费和公用经费两部分。</w:t>
      </w:r>
    </w:p>
    <w:p w14:paraId="6DD3C948">
      <w:pPr>
        <w:pStyle w:val="14"/>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5BB995A1">
      <w:pPr>
        <w:pStyle w:val="14"/>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F26B29A">
      <w:pPr>
        <w:pStyle w:val="14"/>
        <w:ind w:firstLine="640" w:firstLineChars="200"/>
        <w:rPr>
          <w:rFonts w:hint="eastAsia" w:ascii="仿宋" w:hAnsi="仿宋" w:eastAsia="仿宋" w:cs="仿宋"/>
          <w:color w:val="auto"/>
          <w:sz w:val="32"/>
          <w:szCs w:val="32"/>
        </w:rPr>
      </w:pPr>
    </w:p>
    <w:p w14:paraId="592A3995">
      <w:pPr>
        <w:pStyle w:val="14"/>
        <w:ind w:firstLine="640" w:firstLineChars="200"/>
        <w:rPr>
          <w:rFonts w:hint="eastAsia" w:ascii="仿宋" w:hAnsi="仿宋" w:eastAsia="仿宋" w:cs="仿宋"/>
          <w:color w:val="auto"/>
          <w:sz w:val="32"/>
          <w:szCs w:val="32"/>
        </w:rPr>
      </w:pPr>
    </w:p>
    <w:p w14:paraId="3A8644DE">
      <w:pPr>
        <w:pStyle w:val="14"/>
        <w:ind w:firstLine="640" w:firstLineChars="200"/>
        <w:rPr>
          <w:rFonts w:hint="eastAsia" w:ascii="仿宋" w:hAnsi="仿宋" w:eastAsia="仿宋" w:cs="仿宋"/>
          <w:color w:val="auto"/>
          <w:sz w:val="32"/>
          <w:szCs w:val="32"/>
        </w:rPr>
      </w:pPr>
    </w:p>
    <w:p w14:paraId="285A1136">
      <w:pPr>
        <w:pStyle w:val="14"/>
        <w:ind w:firstLine="640" w:firstLineChars="200"/>
        <w:rPr>
          <w:rFonts w:hint="eastAsia" w:ascii="仿宋" w:hAnsi="仿宋" w:eastAsia="仿宋" w:cs="仿宋"/>
          <w:color w:val="auto"/>
          <w:sz w:val="32"/>
          <w:szCs w:val="32"/>
        </w:rPr>
      </w:pPr>
    </w:p>
    <w:p w14:paraId="419497DE">
      <w:pPr>
        <w:pStyle w:val="14"/>
        <w:ind w:firstLine="640" w:firstLineChars="200"/>
        <w:rPr>
          <w:rFonts w:hint="eastAsia" w:ascii="仿宋" w:hAnsi="仿宋" w:eastAsia="仿宋" w:cs="仿宋"/>
          <w:color w:val="auto"/>
          <w:sz w:val="32"/>
          <w:szCs w:val="32"/>
        </w:rPr>
      </w:pPr>
    </w:p>
    <w:p w14:paraId="1806936A">
      <w:pPr>
        <w:pStyle w:val="14"/>
        <w:ind w:firstLine="640" w:firstLineChars="200"/>
        <w:rPr>
          <w:rFonts w:hint="eastAsia" w:ascii="仿宋" w:hAnsi="仿宋" w:eastAsia="仿宋" w:cs="仿宋"/>
          <w:color w:val="auto"/>
          <w:sz w:val="32"/>
          <w:szCs w:val="32"/>
        </w:rPr>
      </w:pPr>
    </w:p>
    <w:p w14:paraId="30A3D152">
      <w:pPr>
        <w:pStyle w:val="14"/>
        <w:ind w:firstLine="640" w:firstLineChars="200"/>
        <w:rPr>
          <w:rFonts w:hint="eastAsia" w:ascii="仿宋" w:hAnsi="仿宋" w:eastAsia="仿宋" w:cs="仿宋"/>
          <w:color w:val="auto"/>
          <w:sz w:val="32"/>
          <w:szCs w:val="32"/>
        </w:rPr>
      </w:pPr>
    </w:p>
    <w:p w14:paraId="3AC98191">
      <w:pPr>
        <w:pStyle w:val="14"/>
        <w:ind w:firstLine="640" w:firstLineChars="200"/>
        <w:rPr>
          <w:rFonts w:hint="eastAsia" w:ascii="仿宋" w:hAnsi="仿宋" w:eastAsia="仿宋" w:cs="仿宋"/>
          <w:color w:val="auto"/>
          <w:sz w:val="32"/>
          <w:szCs w:val="32"/>
        </w:rPr>
      </w:pPr>
    </w:p>
    <w:p w14:paraId="497ADF75">
      <w:pPr>
        <w:pStyle w:val="14"/>
        <w:ind w:firstLine="640" w:firstLineChars="200"/>
        <w:rPr>
          <w:rFonts w:hint="eastAsia" w:ascii="仿宋" w:hAnsi="仿宋" w:eastAsia="仿宋" w:cs="仿宋"/>
          <w:color w:val="auto"/>
          <w:sz w:val="32"/>
          <w:szCs w:val="32"/>
        </w:rPr>
      </w:pPr>
    </w:p>
    <w:p w14:paraId="5328AD03">
      <w:pPr>
        <w:pStyle w:val="14"/>
        <w:ind w:firstLine="640" w:firstLineChars="200"/>
        <w:rPr>
          <w:rFonts w:hint="eastAsia" w:ascii="仿宋" w:hAnsi="仿宋" w:eastAsia="仿宋" w:cs="仿宋"/>
          <w:color w:val="auto"/>
          <w:sz w:val="32"/>
          <w:szCs w:val="32"/>
        </w:rPr>
      </w:pPr>
    </w:p>
    <w:p w14:paraId="58FBD023">
      <w:pPr>
        <w:pStyle w:val="14"/>
        <w:ind w:firstLine="640" w:firstLineChars="200"/>
        <w:rPr>
          <w:rFonts w:hint="eastAsia" w:ascii="仿宋" w:hAnsi="仿宋" w:eastAsia="仿宋" w:cs="仿宋"/>
          <w:color w:val="auto"/>
          <w:sz w:val="32"/>
          <w:szCs w:val="32"/>
        </w:rPr>
      </w:pPr>
    </w:p>
    <w:p w14:paraId="5D335316">
      <w:pPr>
        <w:pStyle w:val="14"/>
        <w:jc w:val="center"/>
        <w:rPr>
          <w:rFonts w:hint="eastAsia" w:ascii="方正小标宋_GBK" w:hAnsi="方正小标宋_GBK" w:eastAsia="方正小标宋_GBK" w:cs="方正小标宋_GBK"/>
          <w:sz w:val="72"/>
          <w:szCs w:val="72"/>
        </w:rPr>
      </w:pPr>
    </w:p>
    <w:p w14:paraId="3ADA5739">
      <w:pPr>
        <w:pStyle w:val="14"/>
        <w:jc w:val="center"/>
        <w:rPr>
          <w:rFonts w:hint="eastAsia" w:ascii="方正小标宋_GBK" w:hAnsi="方正小标宋_GBK" w:eastAsia="方正小标宋_GBK" w:cs="方正小标宋_GBK"/>
          <w:sz w:val="72"/>
          <w:szCs w:val="72"/>
        </w:rPr>
      </w:pPr>
    </w:p>
    <w:p w14:paraId="611FD038">
      <w:pPr>
        <w:pStyle w:val="14"/>
        <w:jc w:val="center"/>
        <w:rPr>
          <w:rFonts w:hint="eastAsia" w:ascii="方正小标宋_GBK" w:hAnsi="方正小标宋_GBK" w:eastAsia="方正小标宋_GBK" w:cs="方正小标宋_GBK"/>
          <w:sz w:val="72"/>
          <w:szCs w:val="72"/>
        </w:rPr>
      </w:pPr>
    </w:p>
    <w:p w14:paraId="634D12EC">
      <w:pPr>
        <w:pStyle w:val="14"/>
        <w:jc w:val="center"/>
        <w:rPr>
          <w:rFonts w:hint="eastAsia" w:ascii="方正小标宋_GBK" w:hAnsi="方正小标宋_GBK" w:eastAsia="方正小标宋_GBK" w:cs="方正小标宋_GBK"/>
          <w:sz w:val="72"/>
          <w:szCs w:val="72"/>
        </w:rPr>
      </w:pPr>
    </w:p>
    <w:p w14:paraId="13F1EF49">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090BA25">
      <w:pPr>
        <w:pStyle w:val="14"/>
        <w:jc w:val="center"/>
        <w:rPr>
          <w:rFonts w:hint="eastAsia" w:ascii="方正小标宋_GBK" w:hAnsi="方正小标宋_GBK" w:eastAsia="方正小标宋_GBK" w:cs="方正小标宋_GBK"/>
          <w:sz w:val="70"/>
          <w:szCs w:val="70"/>
        </w:rPr>
      </w:pPr>
    </w:p>
    <w:p w14:paraId="335CAE6D">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C38E8F2">
      <w:pPr>
        <w:rPr>
          <w:sz w:val="72"/>
          <w:szCs w:val="72"/>
        </w:rPr>
      </w:pPr>
      <w:r>
        <w:rPr>
          <w:sz w:val="72"/>
          <w:szCs w:val="72"/>
        </w:rPr>
        <w:br w:type="page"/>
      </w:r>
    </w:p>
    <w:p w14:paraId="3940BBBB">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2023年度单位整体支出绩效自评报告。</w:t>
      </w:r>
    </w:p>
    <w:p w14:paraId="7A15F76F">
      <w:pPr>
        <w:widowControl/>
        <w:shd w:val="clear" w:color="auto"/>
        <w:spacing w:after="312" w:afterLines="100" w:line="600" w:lineRule="atLeast"/>
        <w:jc w:val="center"/>
        <w:rPr>
          <w:rFonts w:hint="eastAsia" w:ascii="黑体" w:hAnsi="黑体" w:eastAsia="黑体" w:cs="黑体"/>
          <w:b/>
          <w:bCs/>
          <w:sz w:val="44"/>
          <w:szCs w:val="44"/>
        </w:rPr>
      </w:pPr>
      <w:r>
        <w:rPr>
          <w:rFonts w:ascii="黑体" w:hAnsi="黑体" w:eastAsia="黑体" w:cs="黑体"/>
          <w:b/>
          <w:bCs/>
          <w:sz w:val="44"/>
          <w:szCs w:val="44"/>
        </w:rPr>
        <w:t xml:space="preserve">                                                </w:t>
      </w: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3</w:t>
      </w:r>
      <w:r>
        <w:rPr>
          <w:rFonts w:hint="eastAsia" w:ascii="黑体" w:hAnsi="黑体" w:eastAsia="黑体" w:cs="黑体"/>
          <w:b/>
          <w:bCs/>
          <w:sz w:val="44"/>
          <w:szCs w:val="44"/>
        </w:rPr>
        <w:t>年均坪镇</w:t>
      </w:r>
      <w:r>
        <w:rPr>
          <w:rFonts w:hint="eastAsia" w:ascii="黑体" w:hAnsi="黑体" w:eastAsia="黑体" w:cs="黑体"/>
          <w:b/>
          <w:bCs/>
          <w:sz w:val="44"/>
          <w:szCs w:val="44"/>
          <w:lang w:val="en-US" w:eastAsia="zh-CN"/>
        </w:rPr>
        <w:t>镇人民政府</w:t>
      </w:r>
      <w:r>
        <w:rPr>
          <w:rFonts w:hint="eastAsia" w:ascii="黑体" w:hAnsi="黑体" w:eastAsia="黑体" w:cs="黑体"/>
          <w:b/>
          <w:bCs/>
          <w:sz w:val="44"/>
          <w:szCs w:val="44"/>
        </w:rPr>
        <w:t>部门整体</w:t>
      </w:r>
    </w:p>
    <w:p w14:paraId="04DDAE62">
      <w:pPr>
        <w:widowControl/>
        <w:shd w:val="clear" w:color="auto"/>
        <w:spacing w:after="312" w:afterLines="100" w:line="600" w:lineRule="atLeast"/>
        <w:jc w:val="center"/>
        <w:rPr>
          <w:rFonts w:ascii="仿宋_GB2312" w:hAnsi="仿宋" w:eastAsia="仿宋_GB2312"/>
          <w:spacing w:val="-8"/>
          <w:sz w:val="32"/>
          <w:szCs w:val="32"/>
        </w:rPr>
      </w:pPr>
      <w:r>
        <w:rPr>
          <w:rFonts w:hint="eastAsia" w:ascii="黑体" w:hAnsi="黑体" w:eastAsia="黑体" w:cs="黑体"/>
          <w:b/>
          <w:bCs/>
          <w:sz w:val="44"/>
          <w:szCs w:val="44"/>
        </w:rPr>
        <w:t>支出绩效自评报告</w:t>
      </w:r>
    </w:p>
    <w:p w14:paraId="63022597">
      <w:pPr>
        <w:shd w:val="clear" w:color="auto"/>
        <w:spacing w:line="640" w:lineRule="exact"/>
        <w:ind w:firstLine="640"/>
        <w:rPr>
          <w:rFonts w:ascii="黑体" w:hAnsi="黑体" w:eastAsia="黑体"/>
          <w:b/>
          <w:bCs/>
          <w:spacing w:val="-2"/>
          <w:sz w:val="32"/>
          <w:szCs w:val="32"/>
        </w:rPr>
      </w:pPr>
      <w:r>
        <w:rPr>
          <w:rFonts w:hint="eastAsia" w:ascii="黑体" w:hAnsi="黑体" w:eastAsia="黑体"/>
          <w:b/>
          <w:bCs/>
          <w:spacing w:val="-2"/>
          <w:sz w:val="32"/>
          <w:szCs w:val="32"/>
        </w:rPr>
        <w:t>一、部门概况</w:t>
      </w:r>
    </w:p>
    <w:p w14:paraId="66202A6F">
      <w:pPr>
        <w:shd w:val="clear" w:color="auto"/>
        <w:spacing w:line="640" w:lineRule="exact"/>
        <w:ind w:firstLine="640"/>
        <w:rPr>
          <w:rFonts w:ascii="仿宋_GB2312" w:hAnsi="仿宋" w:eastAsia="仿宋_GB2312"/>
          <w:b/>
          <w:bCs/>
          <w:spacing w:val="-2"/>
          <w:sz w:val="32"/>
          <w:szCs w:val="32"/>
        </w:rPr>
      </w:pPr>
      <w:r>
        <w:rPr>
          <w:rFonts w:hint="eastAsia" w:ascii="仿宋" w:hAnsi="仿宋" w:eastAsia="仿宋" w:cs="仿宋"/>
          <w:b/>
          <w:bCs/>
          <w:spacing w:val="-2"/>
          <w:sz w:val="32"/>
          <w:szCs w:val="32"/>
        </w:rPr>
        <w:t>（一）部门基本情况</w:t>
      </w:r>
    </w:p>
    <w:p w14:paraId="392F98A6">
      <w:pPr>
        <w:shd w:val="clear" w:color="auto"/>
        <w:spacing w:line="640" w:lineRule="exact"/>
        <w:ind w:firstLine="640"/>
        <w:rPr>
          <w:rFonts w:ascii="仿宋" w:hAnsi="仿宋" w:eastAsia="仿宋"/>
          <w:sz w:val="32"/>
          <w:szCs w:val="32"/>
        </w:rPr>
      </w:pPr>
      <w:r>
        <w:rPr>
          <w:rFonts w:hint="eastAsia" w:ascii="仿宋" w:hAnsi="仿宋" w:eastAsia="仿宋"/>
          <w:spacing w:val="-2"/>
          <w:sz w:val="32"/>
          <w:szCs w:val="32"/>
        </w:rPr>
        <w:t>1.在职人员情况：</w:t>
      </w:r>
      <w:r>
        <w:rPr>
          <w:rFonts w:hint="eastAsia" w:ascii="仿宋" w:hAnsi="仿宋" w:eastAsia="仿宋"/>
          <w:sz w:val="32"/>
          <w:szCs w:val="32"/>
        </w:rPr>
        <w:t>年末实有在职</w:t>
      </w:r>
      <w:r>
        <w:rPr>
          <w:rFonts w:ascii="仿宋" w:hAnsi="仿宋" w:eastAsia="仿宋"/>
          <w:sz w:val="32"/>
          <w:szCs w:val="32"/>
        </w:rPr>
        <w:t>5</w:t>
      </w:r>
      <w:r>
        <w:rPr>
          <w:rFonts w:hint="eastAsia" w:ascii="仿宋" w:hAnsi="仿宋" w:eastAsia="仿宋"/>
          <w:sz w:val="32"/>
          <w:szCs w:val="32"/>
          <w:lang w:val="en-US" w:eastAsia="zh-CN"/>
        </w:rPr>
        <w:t>0</w:t>
      </w:r>
      <w:r>
        <w:rPr>
          <w:rFonts w:hint="eastAsia" w:ascii="仿宋" w:hAnsi="仿宋" w:eastAsia="仿宋"/>
          <w:sz w:val="32"/>
          <w:szCs w:val="32"/>
        </w:rPr>
        <w:t>人，其中行政</w:t>
      </w:r>
      <w:r>
        <w:rPr>
          <w:rFonts w:hint="eastAsia" w:ascii="仿宋" w:hAnsi="仿宋" w:eastAsia="仿宋"/>
          <w:sz w:val="32"/>
          <w:szCs w:val="32"/>
          <w:lang w:val="en-US" w:eastAsia="zh-CN"/>
        </w:rPr>
        <w:t>21</w:t>
      </w:r>
      <w:r>
        <w:rPr>
          <w:rFonts w:hint="eastAsia" w:ascii="仿宋" w:hAnsi="仿宋" w:eastAsia="仿宋"/>
          <w:sz w:val="32"/>
          <w:szCs w:val="32"/>
        </w:rPr>
        <w:t>人，事业2</w:t>
      </w:r>
      <w:r>
        <w:rPr>
          <w:rFonts w:hint="eastAsia" w:ascii="仿宋" w:hAnsi="仿宋" w:eastAsia="仿宋"/>
          <w:sz w:val="32"/>
          <w:szCs w:val="32"/>
          <w:lang w:val="en-US" w:eastAsia="zh-CN"/>
        </w:rPr>
        <w:t>5</w:t>
      </w:r>
      <w:r>
        <w:rPr>
          <w:rFonts w:hint="eastAsia" w:ascii="仿宋" w:hAnsi="仿宋" w:eastAsia="仿宋"/>
          <w:sz w:val="32"/>
          <w:szCs w:val="32"/>
        </w:rPr>
        <w:t>人,林业2人，计生办</w:t>
      </w:r>
      <w:r>
        <w:rPr>
          <w:rFonts w:hint="eastAsia" w:ascii="仿宋" w:hAnsi="仿宋" w:eastAsia="仿宋"/>
          <w:sz w:val="32"/>
          <w:szCs w:val="32"/>
          <w:lang w:val="en-US" w:eastAsia="zh-CN"/>
        </w:rPr>
        <w:t>2</w:t>
      </w:r>
      <w:r>
        <w:rPr>
          <w:rFonts w:hint="eastAsia" w:ascii="仿宋" w:hAnsi="仿宋" w:eastAsia="仿宋"/>
          <w:sz w:val="32"/>
          <w:szCs w:val="32"/>
        </w:rPr>
        <w:t>人</w:t>
      </w:r>
      <w:r>
        <w:rPr>
          <w:rFonts w:hint="eastAsia" w:ascii="仿宋" w:hAnsi="仿宋" w:eastAsia="仿宋"/>
          <w:sz w:val="32"/>
          <w:szCs w:val="32"/>
          <w:lang w:val="en-US" w:eastAsia="zh-CN"/>
        </w:rPr>
        <w:t>。</w:t>
      </w:r>
    </w:p>
    <w:p w14:paraId="22448D84">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2.机构设置：主要为党政办公室、党建站、乡村振兴工作站、社会服务保障中心、农业综合服务中心、国土所、财政所、司法所、派出所、林业站、安监站等。</w:t>
      </w:r>
    </w:p>
    <w:p w14:paraId="442BED50">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3.主要职能：</w:t>
      </w:r>
    </w:p>
    <w:p w14:paraId="7D415D0F">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①执行本级人民代表大会决议以及上级国家行政机关的决定和命令；</w:t>
      </w:r>
    </w:p>
    <w:p w14:paraId="2F7F07AC">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②执行全镇的社会和经济发展计划、预算，管理本镇内的经济、教育、科技、文化、卫生、体育事业和财政、民政、治安、人民调解、安全生产监督管理、移民开发、计划生育等行政工作；</w:t>
      </w:r>
    </w:p>
    <w:p w14:paraId="4CDD2A16">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③保护社会主义的全民所有财产和劳动群众集体所有财产，保护公民私人所有的合法财产，维护社会秩序，保障公民的人身权利、民主权利和其他权利；</w:t>
      </w:r>
    </w:p>
    <w:p w14:paraId="155F790E">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④保护各种经济组织的合法权益；</w:t>
      </w:r>
    </w:p>
    <w:p w14:paraId="745CAAE2">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⑤贯彻执行党和国家的民族宗教政策，保障少数民族的权利和尊重少数民族的风俗习惯，尊重民族宗教信仰；</w:t>
      </w:r>
    </w:p>
    <w:p w14:paraId="0BD4B836">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⑥保障宪法和法律赋予妇女的男女平等、婚姻自由等各项权利；</w:t>
      </w:r>
    </w:p>
    <w:p w14:paraId="45321F76">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⑦办理上级人民政府交办的其他事项。</w:t>
      </w:r>
    </w:p>
    <w:p w14:paraId="4C68038E">
      <w:pPr>
        <w:shd w:val="clear" w:color="auto"/>
        <w:spacing w:line="640" w:lineRule="atLeast"/>
        <w:ind w:firstLine="640"/>
        <w:rPr>
          <w:rFonts w:ascii="仿宋_GB2312" w:hAnsi="仿宋" w:eastAsia="仿宋_GB2312"/>
          <w:spacing w:val="-2"/>
          <w:sz w:val="32"/>
          <w:szCs w:val="32"/>
          <w:highlight w:val="none"/>
        </w:rPr>
      </w:pPr>
      <w:r>
        <w:rPr>
          <w:rFonts w:hint="eastAsia" w:ascii="仿宋_GB2312" w:hAnsi="仿宋" w:eastAsia="仿宋_GB2312"/>
          <w:spacing w:val="-2"/>
          <w:sz w:val="32"/>
          <w:szCs w:val="32"/>
          <w:highlight w:val="none"/>
        </w:rPr>
        <w:t>4.重点工作规划</w:t>
      </w:r>
    </w:p>
    <w:p w14:paraId="4E6132A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32" w:firstLineChars="200"/>
        <w:jc w:val="left"/>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Times New Roman"/>
          <w:spacing w:val="-2"/>
          <w:kern w:val="2"/>
          <w:sz w:val="32"/>
          <w:szCs w:val="32"/>
          <w:lang w:val="en-US" w:eastAsia="zh-CN" w:bidi="ar-SA"/>
        </w:rPr>
        <w:t>①脱贫成果持续巩固。今年以来，我们通过建立基层监测网格、数据共享平台、统筹协调制度，全面加强防返贫监测。通过实施“四个一”（即公益岗位增收一批、就地就近就业一批、资产收益覆盖一批、帮扶纾困助力一批），解决公益性岗位68个，利用就业帮扶车间、以工代赈等实现就地就近就业500余人，资产分红收益40余万元，帮助发展庭院经济、自主产业的群众申请奖补资金10万余元，持续促进低收入群众增收。</w:t>
      </w:r>
      <w:r>
        <w:rPr>
          <w:rFonts w:hint="default" w:ascii="仿宋" w:hAnsi="仿宋" w:eastAsia="仿宋" w:cs="Times New Roman"/>
          <w:spacing w:val="-2"/>
          <w:kern w:val="2"/>
          <w:sz w:val="32"/>
          <w:szCs w:val="32"/>
          <w:lang w:val="en-US" w:eastAsia="zh-CN" w:bidi="ar-SA"/>
        </w:rPr>
        <w:t>乡村</w:t>
      </w:r>
      <w:r>
        <w:rPr>
          <w:rFonts w:hint="eastAsia" w:ascii="仿宋" w:hAnsi="仿宋" w:eastAsia="仿宋" w:cs="Times New Roman"/>
          <w:spacing w:val="-2"/>
          <w:kern w:val="2"/>
          <w:sz w:val="32"/>
          <w:szCs w:val="32"/>
          <w:lang w:val="en-US" w:eastAsia="zh-CN" w:bidi="ar-SA"/>
        </w:rPr>
        <w:t>产业成效明显</w:t>
      </w:r>
      <w:r>
        <w:rPr>
          <w:rFonts w:hint="default" w:ascii="仿宋" w:hAnsi="仿宋" w:eastAsia="仿宋" w:cs="Times New Roman"/>
          <w:spacing w:val="-2"/>
          <w:kern w:val="2"/>
          <w:sz w:val="32"/>
          <w:szCs w:val="32"/>
          <w:lang w:val="en-US" w:eastAsia="zh-CN" w:bidi="ar-SA"/>
        </w:rPr>
        <w:t>。</w:t>
      </w:r>
      <w:r>
        <w:rPr>
          <w:rFonts w:hint="eastAsia" w:ascii="仿宋" w:hAnsi="仿宋" w:eastAsia="仿宋" w:cs="Times New Roman"/>
          <w:spacing w:val="-2"/>
          <w:kern w:val="2"/>
          <w:sz w:val="32"/>
          <w:szCs w:val="32"/>
          <w:lang w:val="en-US" w:eastAsia="zh-CN" w:bidi="ar-SA"/>
        </w:rPr>
        <w:t>通过多途径拓展集体经济产业增收渠道，截止目前全镇11个村实现村级集体经济收入120万元，全面完成消薄任务。完成中药材种植面积350亩，其中老窑上村150亩黄姜中药材基地初见成效；先锋村的养牛村集体产业项目也在有条不紊的实施中；盘活现有资源，引进乡贤能人对乌龟山进行休闲旅游开发。持续营造良好营商环境，引进农业开发企业1家，与企业代表经常开展面对面交流，帮助企业解决实际问题14个。</w:t>
      </w:r>
    </w:p>
    <w:p w14:paraId="42DEE0E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right="0" w:firstLine="632" w:firstLineChars="200"/>
        <w:jc w:val="left"/>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spacing w:val="-2"/>
          <w:kern w:val="2"/>
          <w:sz w:val="32"/>
          <w:szCs w:val="32"/>
          <w:lang w:val="en-US" w:eastAsia="zh-CN" w:bidi="ar-SA"/>
        </w:rPr>
        <w:t>②</w:t>
      </w:r>
      <w:r>
        <w:rPr>
          <w:rFonts w:hint="default" w:ascii="仿宋" w:hAnsi="仿宋" w:eastAsia="仿宋" w:cs="Times New Roman"/>
          <w:spacing w:val="-2"/>
          <w:kern w:val="2"/>
          <w:sz w:val="32"/>
          <w:szCs w:val="32"/>
          <w:lang w:val="en-US" w:eastAsia="zh-CN" w:bidi="ar-SA"/>
        </w:rPr>
        <w:t>全力抓好民生保障。着眼高质量发展</w:t>
      </w:r>
      <w:r>
        <w:rPr>
          <w:rFonts w:hint="eastAsia" w:ascii="仿宋" w:hAnsi="仿宋" w:eastAsia="仿宋" w:cs="Times New Roman"/>
          <w:spacing w:val="-2"/>
          <w:kern w:val="2"/>
          <w:sz w:val="32"/>
          <w:szCs w:val="32"/>
          <w:lang w:val="en-US" w:eastAsia="zh-CN" w:bidi="ar-SA"/>
        </w:rPr>
        <w:t>，深入开展帮困救助帮扶工作，累计走访帮扶困难对象400余户，发放慰问救助金19万元，低保金及特困金共计167万元，落实残疾人“两项补助”396人，完成残疾人无障碍改造5户，推进各类民生政策“应享尽享”。扎实推进耕地保护工作，大力开展耕地</w:t>
      </w:r>
      <w:r>
        <w:rPr>
          <w:rFonts w:hint="default" w:ascii="仿宋" w:hAnsi="仿宋" w:eastAsia="仿宋" w:cs="Times New Roman"/>
          <w:spacing w:val="-2"/>
          <w:kern w:val="2"/>
          <w:sz w:val="32"/>
          <w:szCs w:val="32"/>
          <w:lang w:val="en-US" w:eastAsia="zh-CN" w:bidi="ar-SA"/>
        </w:rPr>
        <w:t>荒地整治</w:t>
      </w:r>
      <w:r>
        <w:rPr>
          <w:rFonts w:hint="eastAsia" w:ascii="仿宋" w:hAnsi="仿宋" w:eastAsia="仿宋" w:cs="Times New Roman"/>
          <w:spacing w:val="-2"/>
          <w:kern w:val="2"/>
          <w:sz w:val="32"/>
          <w:szCs w:val="32"/>
          <w:lang w:val="en-US" w:eastAsia="zh-CN" w:bidi="ar-SA"/>
        </w:rPr>
        <w:t>和耕地恢复，严守耕地保护红线。</w:t>
      </w:r>
    </w:p>
    <w:p w14:paraId="104A37D2">
      <w:pPr>
        <w:shd w:val="clear" w:color="auto"/>
        <w:spacing w:line="640" w:lineRule="exact"/>
        <w:ind w:firstLine="640"/>
        <w:rPr>
          <w:rFonts w:hint="eastAsia" w:ascii="仿宋" w:hAnsi="仿宋" w:eastAsia="仿宋" w:cs="仿宋"/>
          <w:b/>
          <w:bCs/>
          <w:spacing w:val="-2"/>
          <w:sz w:val="32"/>
          <w:szCs w:val="32"/>
        </w:rPr>
      </w:pPr>
      <w:r>
        <w:rPr>
          <w:rFonts w:hint="eastAsia" w:ascii="仿宋" w:hAnsi="仿宋" w:eastAsia="仿宋" w:cs="仿宋"/>
          <w:b/>
          <w:bCs/>
          <w:spacing w:val="-2"/>
          <w:sz w:val="32"/>
          <w:szCs w:val="32"/>
          <w:lang w:eastAsia="zh-CN"/>
        </w:rPr>
        <w:t>（</w:t>
      </w:r>
      <w:r>
        <w:rPr>
          <w:rFonts w:hint="eastAsia" w:ascii="仿宋" w:hAnsi="仿宋" w:eastAsia="仿宋" w:cs="仿宋"/>
          <w:b/>
          <w:bCs/>
          <w:spacing w:val="-2"/>
          <w:sz w:val="32"/>
          <w:szCs w:val="32"/>
          <w:lang w:val="en-US" w:eastAsia="zh-CN"/>
        </w:rPr>
        <w:t>二</w:t>
      </w:r>
      <w:r>
        <w:rPr>
          <w:rFonts w:hint="eastAsia" w:ascii="仿宋" w:hAnsi="仿宋" w:eastAsia="仿宋" w:cs="仿宋"/>
          <w:b/>
          <w:bCs/>
          <w:spacing w:val="-2"/>
          <w:sz w:val="32"/>
          <w:szCs w:val="32"/>
          <w:lang w:eastAsia="zh-CN"/>
        </w:rPr>
        <w:t>）</w:t>
      </w:r>
      <w:r>
        <w:rPr>
          <w:rFonts w:hint="eastAsia" w:ascii="仿宋" w:hAnsi="仿宋" w:eastAsia="仿宋" w:cs="仿宋"/>
          <w:b/>
          <w:bCs/>
          <w:spacing w:val="-2"/>
          <w:sz w:val="32"/>
          <w:szCs w:val="32"/>
        </w:rPr>
        <w:t>部门整体支出规模、使用方向和主要内容、涉及范围</w:t>
      </w:r>
    </w:p>
    <w:p w14:paraId="76DE1BE3">
      <w:pPr>
        <w:widowControl/>
        <w:shd w:val="clear"/>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2023年全年预算收入1812.05万元，其中一般公共预算财政拨款收入1781.07万元，政府性基金预算收入30.98万元。全年预算支出1812.05万元。其中基本支出833.22万元，主要用于人员经费726.71万元和公用经费106.51万元；项目支出978.83万元，用于基本建设类项目606.45万元，非基本建设类项目372.38万元，全年无结余。本年预算收支同去年比较增加了48.26万元，变动的主要原因：基本支出的经费减少，加大项目支出在乡村建设、民生领域等方面的投入，着力于推动农业农村现代化、改善农村居民生活、促进城乡融合发展。</w:t>
      </w:r>
    </w:p>
    <w:p w14:paraId="09B4365C">
      <w:pPr>
        <w:shd w:val="clear" w:color="auto"/>
        <w:spacing w:line="640" w:lineRule="exact"/>
        <w:ind w:firstLine="640"/>
        <w:rPr>
          <w:rFonts w:hint="eastAsia" w:ascii="黑体" w:hAnsi="黑体" w:eastAsia="黑体"/>
          <w:b/>
          <w:bCs/>
          <w:spacing w:val="-2"/>
          <w:sz w:val="36"/>
          <w:szCs w:val="36"/>
          <w:lang w:eastAsia="zh-CN"/>
        </w:rPr>
      </w:pPr>
      <w:r>
        <w:rPr>
          <w:rFonts w:hint="eastAsia" w:ascii="黑体" w:hAnsi="黑体" w:eastAsia="黑体"/>
          <w:b/>
          <w:bCs/>
          <w:spacing w:val="-2"/>
          <w:sz w:val="32"/>
          <w:szCs w:val="32"/>
        </w:rPr>
        <w:t>二、</w:t>
      </w:r>
      <w:r>
        <w:rPr>
          <w:rFonts w:hint="eastAsia" w:ascii="黑体" w:hAnsi="黑体" w:eastAsia="黑体"/>
          <w:b/>
          <w:bCs/>
          <w:spacing w:val="-2"/>
          <w:sz w:val="32"/>
          <w:szCs w:val="32"/>
          <w:lang w:val="en-US" w:eastAsia="zh-CN"/>
        </w:rPr>
        <w:t>一般公共预算支出情况</w:t>
      </w:r>
    </w:p>
    <w:p w14:paraId="748588A0">
      <w:pPr>
        <w:shd w:val="clear" w:color="auto"/>
        <w:spacing w:line="640" w:lineRule="exact"/>
        <w:ind w:firstLine="640"/>
        <w:rPr>
          <w:rFonts w:hint="eastAsia" w:ascii="黑体" w:hAnsi="黑体" w:eastAsia="黑体"/>
          <w:b/>
          <w:bCs/>
          <w:spacing w:val="-2"/>
          <w:sz w:val="32"/>
          <w:szCs w:val="32"/>
          <w:lang w:val="en-US" w:eastAsia="zh-CN"/>
        </w:rPr>
      </w:pPr>
      <w:r>
        <w:rPr>
          <w:rFonts w:hint="eastAsia" w:ascii="仿宋" w:hAnsi="仿宋" w:eastAsia="仿宋" w:cs="仿宋"/>
          <w:b/>
          <w:bCs/>
          <w:spacing w:val="-2"/>
          <w:sz w:val="32"/>
          <w:szCs w:val="32"/>
        </w:rPr>
        <w:t>（一）基本支出</w:t>
      </w:r>
    </w:p>
    <w:p w14:paraId="0F23C664">
      <w:pPr>
        <w:widowControl/>
        <w:shd w:val="clea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20</w:t>
      </w:r>
      <w:r>
        <w:rPr>
          <w:rFonts w:ascii="仿宋" w:hAnsi="仿宋" w:eastAsia="仿宋" w:cs="宋体"/>
          <w:kern w:val="0"/>
          <w:sz w:val="32"/>
          <w:szCs w:val="32"/>
        </w:rPr>
        <w:t>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年镇本级基本支出</w:t>
      </w:r>
      <w:r>
        <w:rPr>
          <w:rFonts w:hint="eastAsia" w:ascii="仿宋" w:hAnsi="仿宋" w:eastAsia="仿宋" w:cs="宋体"/>
          <w:kern w:val="0"/>
          <w:sz w:val="32"/>
          <w:szCs w:val="32"/>
          <w:lang w:val="en-US" w:eastAsia="zh-CN"/>
        </w:rPr>
        <w:t>833.22</w:t>
      </w:r>
      <w:r>
        <w:rPr>
          <w:rFonts w:hint="eastAsia" w:ascii="仿宋" w:hAnsi="仿宋" w:eastAsia="仿宋" w:cs="宋体"/>
          <w:kern w:val="0"/>
          <w:sz w:val="32"/>
          <w:szCs w:val="32"/>
        </w:rPr>
        <w:t>万元，主要用于三大方面</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一是工资福利支出</w:t>
      </w:r>
      <w:r>
        <w:rPr>
          <w:rFonts w:hint="eastAsia" w:ascii="仿宋" w:hAnsi="仿宋" w:eastAsia="仿宋" w:cs="宋体"/>
          <w:kern w:val="0"/>
          <w:sz w:val="32"/>
          <w:szCs w:val="32"/>
          <w:lang w:val="en-US" w:eastAsia="zh-CN"/>
        </w:rPr>
        <w:t>678.68</w:t>
      </w:r>
      <w:r>
        <w:rPr>
          <w:rFonts w:hint="eastAsia" w:ascii="仿宋" w:hAnsi="仿宋" w:eastAsia="仿宋" w:cs="宋体"/>
          <w:kern w:val="0"/>
          <w:sz w:val="32"/>
          <w:szCs w:val="32"/>
        </w:rPr>
        <w:t>万元，占总支出的</w:t>
      </w:r>
      <w:r>
        <w:rPr>
          <w:rFonts w:hint="eastAsia" w:ascii="仿宋" w:hAnsi="仿宋" w:eastAsia="仿宋" w:cs="宋体"/>
          <w:kern w:val="0"/>
          <w:sz w:val="32"/>
          <w:szCs w:val="32"/>
          <w:lang w:val="en-US" w:eastAsia="zh-CN"/>
        </w:rPr>
        <w:t>81.45</w:t>
      </w:r>
      <w:r>
        <w:rPr>
          <w:rFonts w:hint="eastAsia" w:ascii="仿宋" w:hAnsi="仿宋" w:eastAsia="仿宋" w:cs="宋体"/>
          <w:kern w:val="0"/>
          <w:sz w:val="32"/>
          <w:szCs w:val="32"/>
        </w:rPr>
        <w:t>%；二是商品和服务支出</w:t>
      </w:r>
      <w:r>
        <w:rPr>
          <w:rFonts w:hint="eastAsia" w:ascii="仿宋" w:hAnsi="仿宋" w:eastAsia="仿宋" w:cs="宋体"/>
          <w:kern w:val="0"/>
          <w:sz w:val="32"/>
          <w:szCs w:val="32"/>
          <w:lang w:val="en-US" w:eastAsia="zh-CN"/>
        </w:rPr>
        <w:t>106.51</w:t>
      </w:r>
      <w:r>
        <w:rPr>
          <w:rFonts w:hint="eastAsia" w:ascii="仿宋" w:hAnsi="仿宋" w:eastAsia="仿宋" w:cs="宋体"/>
          <w:kern w:val="0"/>
          <w:sz w:val="32"/>
          <w:szCs w:val="32"/>
        </w:rPr>
        <w:t>万元，占总支出的</w:t>
      </w:r>
      <w:r>
        <w:rPr>
          <w:rFonts w:hint="eastAsia" w:ascii="仿宋" w:hAnsi="仿宋" w:eastAsia="仿宋" w:cs="宋体"/>
          <w:kern w:val="0"/>
          <w:sz w:val="32"/>
          <w:szCs w:val="32"/>
          <w:lang w:val="en-US" w:eastAsia="zh-CN"/>
        </w:rPr>
        <w:t>12.78</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三是</w:t>
      </w:r>
      <w:r>
        <w:rPr>
          <w:rFonts w:hint="eastAsia" w:ascii="仿宋" w:hAnsi="仿宋" w:eastAsia="仿宋" w:cs="宋体"/>
          <w:kern w:val="0"/>
          <w:sz w:val="32"/>
          <w:szCs w:val="32"/>
        </w:rPr>
        <w:t>个人和家庭补助支出</w:t>
      </w:r>
      <w:r>
        <w:rPr>
          <w:rFonts w:hint="eastAsia" w:ascii="仿宋" w:hAnsi="仿宋" w:eastAsia="仿宋" w:cs="宋体"/>
          <w:kern w:val="0"/>
          <w:sz w:val="32"/>
          <w:szCs w:val="32"/>
          <w:lang w:val="en-US" w:eastAsia="zh-CN"/>
        </w:rPr>
        <w:t>48.03</w:t>
      </w:r>
      <w:r>
        <w:rPr>
          <w:rFonts w:hint="eastAsia" w:ascii="仿宋" w:hAnsi="仿宋" w:eastAsia="仿宋" w:cs="宋体"/>
          <w:kern w:val="0"/>
          <w:sz w:val="32"/>
          <w:szCs w:val="32"/>
        </w:rPr>
        <w:t>万元，占总支出的</w:t>
      </w:r>
      <w:r>
        <w:rPr>
          <w:rFonts w:hint="eastAsia" w:ascii="仿宋" w:hAnsi="仿宋" w:eastAsia="仿宋" w:cs="宋体"/>
          <w:kern w:val="0"/>
          <w:sz w:val="32"/>
          <w:szCs w:val="32"/>
          <w:lang w:val="en-US" w:eastAsia="zh-CN"/>
        </w:rPr>
        <w:t>5.77</w:t>
      </w:r>
      <w:r>
        <w:rPr>
          <w:rFonts w:hint="eastAsia" w:ascii="仿宋" w:hAnsi="仿宋" w:eastAsia="仿宋" w:cs="宋体"/>
          <w:kern w:val="0"/>
          <w:sz w:val="32"/>
          <w:szCs w:val="32"/>
        </w:rPr>
        <w:t>%。为确保各项工作的正常开展，保证政府机构的正常运转，坚持量入为出的原则，统筹合理使用资金。</w:t>
      </w:r>
    </w:p>
    <w:p w14:paraId="488CF7B1">
      <w:pPr>
        <w:widowControl/>
        <w:shd w:val="clea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年“三公”经费支出为</w:t>
      </w:r>
      <w:r>
        <w:rPr>
          <w:rFonts w:hint="eastAsia" w:ascii="仿宋" w:hAnsi="仿宋" w:eastAsia="仿宋" w:cs="宋体"/>
          <w:kern w:val="0"/>
          <w:sz w:val="32"/>
          <w:szCs w:val="32"/>
          <w:lang w:val="en-US" w:eastAsia="zh-CN"/>
        </w:rPr>
        <w:t>6.15</w:t>
      </w:r>
      <w:r>
        <w:rPr>
          <w:rFonts w:hint="eastAsia" w:ascii="仿宋" w:hAnsi="仿宋" w:eastAsia="仿宋" w:cs="宋体"/>
          <w:kern w:val="0"/>
          <w:sz w:val="32"/>
          <w:szCs w:val="32"/>
        </w:rPr>
        <w:t>万元，其中：公务接待费</w:t>
      </w:r>
      <w:r>
        <w:rPr>
          <w:rFonts w:hint="eastAsia" w:ascii="仿宋" w:hAnsi="仿宋" w:eastAsia="仿宋" w:cs="宋体"/>
          <w:kern w:val="0"/>
          <w:sz w:val="32"/>
          <w:szCs w:val="32"/>
          <w:lang w:val="en-US" w:eastAsia="zh-CN"/>
        </w:rPr>
        <w:t>1.74</w:t>
      </w:r>
      <w:r>
        <w:rPr>
          <w:rFonts w:hint="eastAsia" w:ascii="仿宋" w:hAnsi="仿宋" w:eastAsia="仿宋" w:cs="宋体"/>
          <w:kern w:val="0"/>
          <w:sz w:val="32"/>
          <w:szCs w:val="32"/>
        </w:rPr>
        <w:t>万元；公务用车运行维护及购置费</w:t>
      </w:r>
      <w:r>
        <w:rPr>
          <w:rFonts w:hint="eastAsia" w:ascii="仿宋" w:hAnsi="仿宋" w:eastAsia="仿宋" w:cs="宋体"/>
          <w:kern w:val="0"/>
          <w:sz w:val="32"/>
          <w:szCs w:val="32"/>
          <w:lang w:val="en-US" w:eastAsia="zh-CN"/>
        </w:rPr>
        <w:t>4.41</w:t>
      </w:r>
      <w:r>
        <w:rPr>
          <w:rFonts w:hint="eastAsia" w:ascii="仿宋" w:hAnsi="仿宋" w:eastAsia="仿宋" w:cs="宋体"/>
          <w:kern w:val="0"/>
          <w:sz w:val="32"/>
          <w:szCs w:val="32"/>
        </w:rPr>
        <w:t>万元；因公出国（境）费0万元。本单位“公务用车运行维护及购置费”全部来源于公车运行维护费，主要指公车加油费、维修费、保险费，没有购置费，公车保有量1台；本单位“公务接待费”主要用于各级单位来镇开展公务活动的餐饮、住宿等支出，坚持厉行节约原则、严格执行各级严控“公务接待”文件精神，结合实际情况，“三公经费”支出</w:t>
      </w:r>
      <w:r>
        <w:rPr>
          <w:rFonts w:hint="eastAsia" w:ascii="仿宋" w:hAnsi="仿宋" w:eastAsia="仿宋" w:cs="宋体"/>
          <w:kern w:val="0"/>
          <w:sz w:val="32"/>
          <w:szCs w:val="32"/>
          <w:lang w:val="en-US" w:eastAsia="zh-CN"/>
        </w:rPr>
        <w:t>6.15</w:t>
      </w:r>
      <w:r>
        <w:rPr>
          <w:rFonts w:hint="eastAsia" w:ascii="仿宋" w:hAnsi="仿宋" w:eastAsia="仿宋" w:cs="宋体"/>
          <w:kern w:val="0"/>
          <w:sz w:val="32"/>
          <w:szCs w:val="32"/>
        </w:rPr>
        <w:t>万元，杜绝违规接待、烂支、超支，总体控制较好。</w:t>
      </w:r>
    </w:p>
    <w:p w14:paraId="3BD7829E">
      <w:pPr>
        <w:shd w:val="clear" w:color="auto"/>
        <w:spacing w:line="640" w:lineRule="exact"/>
        <w:ind w:firstLine="640"/>
        <w:rPr>
          <w:rFonts w:hint="eastAsia" w:ascii="仿宋" w:hAnsi="仿宋" w:eastAsia="仿宋" w:cs="仿宋"/>
          <w:b/>
          <w:bCs/>
          <w:spacing w:val="-2"/>
          <w:sz w:val="32"/>
          <w:szCs w:val="32"/>
        </w:rPr>
      </w:pPr>
      <w:r>
        <w:rPr>
          <w:rFonts w:hint="eastAsia" w:ascii="仿宋" w:hAnsi="仿宋" w:eastAsia="仿宋" w:cs="仿宋"/>
          <w:b/>
          <w:bCs/>
          <w:spacing w:val="-2"/>
          <w:sz w:val="32"/>
          <w:szCs w:val="32"/>
        </w:rPr>
        <w:t>（二）专项支出</w:t>
      </w:r>
    </w:p>
    <w:p w14:paraId="17ADA234">
      <w:pPr>
        <w:widowControl/>
        <w:shd w:val="clea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1.专项资金安排落实、总投入。202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年镇本级专项支出</w:t>
      </w:r>
      <w:r>
        <w:rPr>
          <w:rFonts w:hint="eastAsia" w:ascii="仿宋" w:hAnsi="仿宋" w:eastAsia="仿宋" w:cs="宋体"/>
          <w:kern w:val="0"/>
          <w:sz w:val="32"/>
          <w:szCs w:val="32"/>
          <w:lang w:val="en-US" w:eastAsia="zh-CN"/>
        </w:rPr>
        <w:t>978.82</w:t>
      </w:r>
      <w:r>
        <w:rPr>
          <w:rFonts w:hint="eastAsia" w:ascii="仿宋" w:hAnsi="仿宋" w:eastAsia="仿宋" w:cs="宋体"/>
          <w:kern w:val="0"/>
          <w:sz w:val="32"/>
          <w:szCs w:val="32"/>
        </w:rPr>
        <w:t>万元，全部为财政拨款，资金无自筹资金。</w:t>
      </w:r>
    </w:p>
    <w:p w14:paraId="6B077783">
      <w:pPr>
        <w:widowControl/>
        <w:shd w:val="clear"/>
        <w:ind w:firstLine="640" w:firstLineChars="200"/>
        <w:jc w:val="left"/>
        <w:rPr>
          <w:rFonts w:ascii="仿宋" w:hAnsi="仿宋" w:eastAsia="仿宋" w:cs="宋体"/>
          <w:kern w:val="0"/>
          <w:sz w:val="32"/>
          <w:szCs w:val="32"/>
          <w:highlight w:val="yellow"/>
        </w:rPr>
      </w:pPr>
      <w:r>
        <w:rPr>
          <w:rFonts w:hint="eastAsia" w:ascii="仿宋" w:hAnsi="仿宋" w:eastAsia="仿宋" w:cs="宋体"/>
          <w:kern w:val="0"/>
          <w:sz w:val="32"/>
          <w:szCs w:val="32"/>
        </w:rPr>
        <w:t>2.专项资金实际使用情况。均坪人民政府202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年财政拨款项目支出</w:t>
      </w:r>
      <w:r>
        <w:rPr>
          <w:rFonts w:hint="eastAsia" w:ascii="仿宋" w:hAnsi="仿宋" w:eastAsia="仿宋" w:cs="宋体"/>
          <w:kern w:val="0"/>
          <w:sz w:val="32"/>
          <w:szCs w:val="32"/>
          <w:lang w:val="en-US" w:eastAsia="zh-CN"/>
        </w:rPr>
        <w:t>978.82</w:t>
      </w:r>
      <w:r>
        <w:rPr>
          <w:rFonts w:hint="eastAsia" w:ascii="仿宋" w:hAnsi="仿宋" w:eastAsia="仿宋" w:cs="宋体"/>
          <w:kern w:val="0"/>
          <w:sz w:val="32"/>
          <w:szCs w:val="32"/>
        </w:rPr>
        <w:t>万元，</w:t>
      </w:r>
      <w:r>
        <w:rPr>
          <w:rFonts w:hint="eastAsia" w:ascii="仿宋" w:hAnsi="仿宋" w:eastAsia="仿宋" w:cs="宋体"/>
          <w:kern w:val="0"/>
          <w:sz w:val="32"/>
          <w:szCs w:val="32"/>
          <w:highlight w:val="none"/>
        </w:rPr>
        <w:t>其中非基建项目支出</w:t>
      </w:r>
      <w:r>
        <w:rPr>
          <w:rFonts w:hint="eastAsia" w:ascii="仿宋" w:hAnsi="仿宋" w:eastAsia="仿宋" w:cs="宋体"/>
          <w:kern w:val="0"/>
          <w:sz w:val="32"/>
          <w:szCs w:val="32"/>
          <w:highlight w:val="none"/>
          <w:lang w:val="en-US" w:eastAsia="zh-CN"/>
        </w:rPr>
        <w:t>372.38</w:t>
      </w:r>
      <w:r>
        <w:rPr>
          <w:rFonts w:hint="eastAsia" w:ascii="仿宋" w:hAnsi="仿宋" w:eastAsia="仿宋" w:cs="宋体"/>
          <w:kern w:val="0"/>
          <w:sz w:val="32"/>
          <w:szCs w:val="32"/>
          <w:highlight w:val="none"/>
        </w:rPr>
        <w:t>万元，主要是用2</w:t>
      </w:r>
      <w:r>
        <w:rPr>
          <w:rFonts w:ascii="仿宋" w:hAnsi="仿宋" w:eastAsia="仿宋" w:cs="宋体"/>
          <w:kern w:val="0"/>
          <w:sz w:val="32"/>
          <w:szCs w:val="32"/>
          <w:highlight w:val="none"/>
        </w:rPr>
        <w:t>02</w:t>
      </w:r>
      <w:r>
        <w:rPr>
          <w:rFonts w:hint="eastAsia" w:ascii="仿宋" w:hAnsi="仿宋" w:eastAsia="仿宋" w:cs="宋体"/>
          <w:kern w:val="0"/>
          <w:sz w:val="32"/>
          <w:szCs w:val="32"/>
          <w:highlight w:val="none"/>
          <w:lang w:val="en-US" w:eastAsia="zh-CN"/>
        </w:rPr>
        <w:t>3</w:t>
      </w:r>
      <w:r>
        <w:rPr>
          <w:rFonts w:hint="eastAsia" w:ascii="仿宋" w:hAnsi="仿宋" w:eastAsia="仿宋" w:cs="宋体"/>
          <w:kern w:val="0"/>
          <w:sz w:val="32"/>
          <w:szCs w:val="32"/>
          <w:highlight w:val="none"/>
        </w:rPr>
        <w:t>年</w:t>
      </w:r>
      <w:r>
        <w:rPr>
          <w:rFonts w:hint="eastAsia" w:ascii="仿宋" w:hAnsi="仿宋" w:eastAsia="仿宋" w:cs="宋体"/>
          <w:kern w:val="0"/>
          <w:sz w:val="32"/>
          <w:szCs w:val="32"/>
          <w:highlight w:val="none"/>
          <w:lang w:val="en-US" w:eastAsia="zh-CN"/>
        </w:rPr>
        <w:t>商品和服务支出62.26万元、对个人和家庭的补助309.54万元、工资福利支出0.58万元</w:t>
      </w:r>
      <w:r>
        <w:rPr>
          <w:rFonts w:hint="eastAsia" w:ascii="仿宋" w:hAnsi="仿宋" w:eastAsia="仿宋" w:cs="宋体"/>
          <w:kern w:val="0"/>
          <w:sz w:val="32"/>
          <w:szCs w:val="32"/>
          <w:highlight w:val="none"/>
        </w:rPr>
        <w:t>；基建项目支出</w:t>
      </w:r>
      <w:r>
        <w:rPr>
          <w:rFonts w:hint="eastAsia" w:ascii="仿宋" w:hAnsi="仿宋" w:eastAsia="仿宋" w:cs="宋体"/>
          <w:kern w:val="0"/>
          <w:sz w:val="32"/>
          <w:szCs w:val="32"/>
          <w:highlight w:val="none"/>
          <w:lang w:val="en-US" w:eastAsia="zh-CN"/>
        </w:rPr>
        <w:t>606.45</w:t>
      </w:r>
      <w:r>
        <w:rPr>
          <w:rFonts w:hint="eastAsia" w:ascii="仿宋" w:hAnsi="仿宋" w:eastAsia="仿宋" w:cs="宋体"/>
          <w:kern w:val="0"/>
          <w:sz w:val="32"/>
          <w:szCs w:val="32"/>
          <w:highlight w:val="none"/>
        </w:rPr>
        <w:t>元，主要是用于本镇基础设施建设、水利项目以及救灾项目支出，包括乡村振兴涉农整合项目支出、水利方面山塘清淤、水渠建设等项目支出、农田塌陷补偿项目资金、中央和省市自然灾害救灾项目资金，资金基本拨付到位。</w:t>
      </w:r>
    </w:p>
    <w:p w14:paraId="5F169C16">
      <w:pPr>
        <w:widowControl/>
        <w:shd w:val="clea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专项资金管理情况分析。为确保资金专款专用，保障人民群众切身利益，按照《中华人民共和国预算法》、财政部《财政支出绩效评价管理暂行办法等》相关法律法规文件要求，我镇人民政府制定了内部财务管理制度、专项资金管理制度。我镇项目资金支出手续完备、项目合同书、验收报告等资料齐全达到政府采购要求的进行了预、决算评审。杜绝了专项资金挪用、占用的情况发生。</w:t>
      </w:r>
    </w:p>
    <w:p w14:paraId="1E0190D6">
      <w:pPr>
        <w:shd w:val="clear" w:color="auto"/>
        <w:spacing w:line="640" w:lineRule="exact"/>
        <w:ind w:firstLine="632" w:firstLineChars="200"/>
        <w:rPr>
          <w:rFonts w:hint="eastAsia" w:ascii="黑体" w:hAnsi="黑体" w:eastAsia="黑体"/>
          <w:b/>
          <w:bCs/>
          <w:spacing w:val="-2"/>
          <w:sz w:val="32"/>
          <w:szCs w:val="32"/>
          <w:lang w:val="en-US" w:eastAsia="zh-CN"/>
        </w:rPr>
      </w:pPr>
      <w:r>
        <w:rPr>
          <w:rFonts w:hint="eastAsia" w:ascii="黑体" w:hAnsi="黑体" w:eastAsia="黑体"/>
          <w:b/>
          <w:bCs/>
          <w:spacing w:val="-2"/>
          <w:sz w:val="32"/>
          <w:szCs w:val="32"/>
        </w:rPr>
        <w:t>三、</w:t>
      </w:r>
      <w:r>
        <w:rPr>
          <w:rFonts w:hint="eastAsia" w:ascii="黑体" w:hAnsi="黑体" w:eastAsia="黑体"/>
          <w:b/>
          <w:bCs/>
          <w:spacing w:val="-2"/>
          <w:sz w:val="32"/>
          <w:szCs w:val="32"/>
          <w:lang w:val="en-US" w:eastAsia="zh-CN"/>
        </w:rPr>
        <w:t>政府性基金预算支出情况</w:t>
      </w:r>
    </w:p>
    <w:p w14:paraId="57548B37">
      <w:pPr>
        <w:shd w:val="clear" w:color="auto"/>
        <w:spacing w:line="6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无政府性基金预算支出</w:t>
      </w:r>
    </w:p>
    <w:p w14:paraId="7826AF68">
      <w:pPr>
        <w:numPr>
          <w:ilvl w:val="0"/>
          <w:numId w:val="2"/>
        </w:numPr>
        <w:shd w:val="clear" w:color="auto"/>
        <w:spacing w:line="640" w:lineRule="exact"/>
        <w:ind w:firstLine="632" w:firstLineChars="200"/>
        <w:rPr>
          <w:rFonts w:hint="eastAsia" w:ascii="黑体" w:hAnsi="黑体" w:eastAsia="黑体" w:cs="Times New Roman"/>
          <w:b/>
          <w:bCs/>
          <w:spacing w:val="-2"/>
          <w:sz w:val="32"/>
          <w:szCs w:val="32"/>
          <w:lang w:val="en-US" w:eastAsia="zh-CN"/>
        </w:rPr>
      </w:pPr>
      <w:r>
        <w:rPr>
          <w:rFonts w:hint="eastAsia" w:ascii="黑体" w:hAnsi="黑体" w:eastAsia="黑体" w:cs="Times New Roman"/>
          <w:b/>
          <w:bCs/>
          <w:spacing w:val="-2"/>
          <w:sz w:val="32"/>
          <w:szCs w:val="32"/>
          <w:lang w:val="en-US" w:eastAsia="zh-CN"/>
        </w:rPr>
        <w:t>国有资本经营预算支出情况</w:t>
      </w:r>
    </w:p>
    <w:p w14:paraId="79A9AD70">
      <w:pPr>
        <w:pStyle w:val="22"/>
        <w:numPr>
          <w:ilvl w:val="0"/>
          <w:numId w:val="0"/>
        </w:numPr>
        <w:shd w:val="clear"/>
        <w:rPr>
          <w:rFonts w:hint="default"/>
          <w:lang w:val="en-US" w:eastAsia="zh-CN"/>
        </w:rPr>
      </w:pPr>
      <w:r>
        <w:rPr>
          <w:rFonts w:hint="eastAsia"/>
          <w:lang w:val="en-US" w:eastAsia="zh-CN"/>
        </w:rPr>
        <w:t xml:space="preserve">     </w:t>
      </w:r>
      <w:r>
        <w:rPr>
          <w:rFonts w:hint="eastAsia" w:ascii="仿宋" w:hAnsi="仿宋" w:eastAsia="仿宋" w:cs="仿宋"/>
          <w:sz w:val="32"/>
          <w:szCs w:val="32"/>
          <w:lang w:val="en-US" w:eastAsia="zh-CN"/>
        </w:rPr>
        <w:t>无国有资本经营预算支出</w:t>
      </w:r>
    </w:p>
    <w:p w14:paraId="2907A116">
      <w:pPr>
        <w:pStyle w:val="22"/>
        <w:numPr>
          <w:ilvl w:val="0"/>
          <w:numId w:val="2"/>
        </w:numPr>
        <w:shd w:val="clear"/>
        <w:ind w:left="0" w:leftChars="0" w:firstLine="632" w:firstLineChars="200"/>
        <w:rPr>
          <w:rFonts w:hint="eastAsia" w:ascii="黑体" w:hAnsi="黑体" w:eastAsia="黑体" w:cs="Times New Roman"/>
          <w:b/>
          <w:bCs/>
          <w:spacing w:val="-2"/>
          <w:kern w:val="2"/>
          <w:sz w:val="32"/>
          <w:szCs w:val="32"/>
          <w:lang w:val="en-US" w:eastAsia="zh-CN" w:bidi="ar-SA"/>
        </w:rPr>
      </w:pPr>
      <w:r>
        <w:rPr>
          <w:rFonts w:hint="eastAsia" w:ascii="黑体" w:hAnsi="黑体" w:eastAsia="黑体" w:cs="Times New Roman"/>
          <w:b/>
          <w:bCs/>
          <w:spacing w:val="-2"/>
          <w:kern w:val="2"/>
          <w:sz w:val="32"/>
          <w:szCs w:val="32"/>
          <w:lang w:val="en-US" w:eastAsia="zh-CN" w:bidi="ar-SA"/>
        </w:rPr>
        <w:t>社会保险基金预算支出情况</w:t>
      </w:r>
    </w:p>
    <w:p w14:paraId="5809D67F">
      <w:pPr>
        <w:shd w:val="clear" w:color="auto"/>
        <w:spacing w:line="640" w:lineRule="exact"/>
        <w:ind w:firstLine="640"/>
        <w:rPr>
          <w:rFonts w:hint="eastAsia" w:ascii="仿宋" w:hAnsi="仿宋" w:eastAsia="仿宋" w:cs="仿宋"/>
          <w:b w:val="0"/>
          <w:bCs w:val="0"/>
          <w:spacing w:val="-2"/>
          <w:kern w:val="2"/>
          <w:sz w:val="32"/>
          <w:szCs w:val="32"/>
          <w:lang w:val="en-US" w:eastAsia="zh-CN" w:bidi="ar-SA"/>
        </w:rPr>
      </w:pPr>
      <w:r>
        <w:rPr>
          <w:rFonts w:hint="eastAsia" w:ascii="黑体" w:hAnsi="黑体" w:eastAsia="黑体" w:cs="Times New Roman"/>
          <w:b/>
          <w:bCs/>
          <w:spacing w:val="-2"/>
          <w:kern w:val="2"/>
          <w:sz w:val="32"/>
          <w:szCs w:val="32"/>
          <w:lang w:val="en-US" w:eastAsia="zh-CN" w:bidi="ar-SA"/>
        </w:rPr>
        <w:t xml:space="preserve">   </w:t>
      </w:r>
      <w:r>
        <w:rPr>
          <w:rFonts w:hint="eastAsia" w:ascii="仿宋" w:hAnsi="仿宋" w:eastAsia="仿宋" w:cs="仿宋"/>
          <w:b w:val="0"/>
          <w:bCs w:val="0"/>
          <w:spacing w:val="-2"/>
          <w:kern w:val="2"/>
          <w:sz w:val="32"/>
          <w:szCs w:val="32"/>
          <w:lang w:val="en-US" w:eastAsia="zh-CN" w:bidi="ar-SA"/>
        </w:rPr>
        <w:t>无社会保险基金预算支出</w:t>
      </w:r>
    </w:p>
    <w:p w14:paraId="39C438A1">
      <w:pPr>
        <w:shd w:val="clear" w:color="auto"/>
        <w:spacing w:line="640" w:lineRule="exact"/>
        <w:ind w:firstLine="632" w:firstLineChars="200"/>
        <w:rPr>
          <w:rFonts w:ascii="黑体" w:hAnsi="黑体" w:eastAsia="黑体"/>
          <w:b/>
          <w:bCs/>
          <w:spacing w:val="-2"/>
          <w:sz w:val="32"/>
          <w:szCs w:val="32"/>
        </w:rPr>
      </w:pPr>
      <w:r>
        <w:rPr>
          <w:rFonts w:hint="eastAsia" w:ascii="黑体" w:hAnsi="黑体" w:eastAsia="黑体"/>
          <w:b/>
          <w:bCs/>
          <w:spacing w:val="-2"/>
          <w:sz w:val="32"/>
          <w:szCs w:val="32"/>
          <w:lang w:val="en-US" w:eastAsia="zh-CN"/>
        </w:rPr>
        <w:t>六</w:t>
      </w:r>
      <w:r>
        <w:rPr>
          <w:rFonts w:hint="eastAsia" w:ascii="黑体" w:hAnsi="黑体" w:eastAsia="黑体"/>
          <w:b/>
          <w:bCs/>
          <w:spacing w:val="-2"/>
          <w:sz w:val="32"/>
          <w:szCs w:val="32"/>
        </w:rPr>
        <w:t>、资产管理情况</w:t>
      </w:r>
    </w:p>
    <w:p w14:paraId="09174938">
      <w:pPr>
        <w:shd w:val="clear" w:color="auto"/>
        <w:spacing w:line="640" w:lineRule="exact"/>
        <w:ind w:firstLine="640"/>
        <w:rPr>
          <w:rFonts w:hint="eastAsia" w:ascii="仿宋" w:hAnsi="仿宋" w:eastAsia="仿宋" w:cs="仿宋"/>
          <w:b w:val="0"/>
          <w:bCs w:val="0"/>
          <w:spacing w:val="-2"/>
          <w:kern w:val="2"/>
          <w:sz w:val="32"/>
          <w:szCs w:val="32"/>
          <w:lang w:val="en-US" w:eastAsia="zh-CN" w:bidi="ar-SA"/>
        </w:rPr>
      </w:pPr>
      <w:r>
        <w:rPr>
          <w:rFonts w:hint="eastAsia" w:ascii="仿宋" w:hAnsi="仿宋" w:eastAsia="仿宋" w:cs="宋体"/>
          <w:kern w:val="0"/>
          <w:sz w:val="32"/>
          <w:szCs w:val="32"/>
        </w:rPr>
        <w:t>我</w:t>
      </w:r>
      <w:r>
        <w:rPr>
          <w:rFonts w:hint="eastAsia" w:ascii="仿宋" w:hAnsi="仿宋" w:eastAsia="仿宋" w:cs="宋体"/>
          <w:kern w:val="0"/>
          <w:sz w:val="32"/>
          <w:szCs w:val="32"/>
          <w:lang w:eastAsia="zh-CN"/>
        </w:rPr>
        <w:t>镇</w:t>
      </w:r>
      <w:r>
        <w:rPr>
          <w:rFonts w:hint="eastAsia" w:ascii="仿宋" w:hAnsi="仿宋" w:eastAsia="仿宋" w:cs="宋体"/>
          <w:kern w:val="0"/>
          <w:sz w:val="32"/>
          <w:szCs w:val="32"/>
        </w:rPr>
        <w:t>根据工作需要和预算安排，合理制定资产购置计划。在资产购置过程中，严格遵守国家法律法规和财务管理要求，进行公开招标，确保资产质量和效益。同时，对购置的资产进行登记入账，确保资产信息的准确性。</w:t>
      </w:r>
      <w:r>
        <w:rPr>
          <w:rFonts w:hint="eastAsia" w:ascii="仿宋" w:hAnsi="仿宋" w:eastAsia="仿宋" w:cs="宋体"/>
          <w:kern w:val="0"/>
          <w:sz w:val="32"/>
          <w:szCs w:val="32"/>
          <w:lang w:eastAsia="zh-CN"/>
        </w:rPr>
        <w:t>我镇</w:t>
      </w:r>
      <w:r>
        <w:rPr>
          <w:rFonts w:hint="eastAsia" w:ascii="仿宋" w:hAnsi="仿宋" w:eastAsia="仿宋" w:cs="宋体"/>
          <w:kern w:val="0"/>
          <w:sz w:val="32"/>
          <w:szCs w:val="32"/>
        </w:rPr>
        <w:t>建立了资产管理制度，对资产进行定期盘点和日常维护，确保资产的安全和完好。对于重要资产，采取专门的管理措施，进行定期检查和维修，确保其正常运行。同时，对资产使用情况进行监控，及时发现和解决问题，提高资产使用效益。</w:t>
      </w:r>
      <w:r>
        <w:rPr>
          <w:rFonts w:hint="eastAsia" w:ascii="仿宋" w:hAnsi="仿宋" w:eastAsia="仿宋" w:cs="宋体"/>
          <w:kern w:val="0"/>
          <w:sz w:val="32"/>
          <w:szCs w:val="32"/>
          <w:lang w:eastAsia="zh-CN"/>
        </w:rPr>
        <w:t>我镇</w:t>
      </w:r>
      <w:r>
        <w:rPr>
          <w:rFonts w:hint="eastAsia" w:ascii="仿宋" w:hAnsi="仿宋" w:eastAsia="仿宋" w:cs="宋体"/>
          <w:kern w:val="0"/>
          <w:sz w:val="32"/>
          <w:szCs w:val="32"/>
        </w:rPr>
        <w:t>严格按照程序进行资产处置，包括资产报废、出售、转让等。同时，对处置的资产进行登记和核销，确保资产信息的准确性</w:t>
      </w:r>
      <w:r>
        <w:rPr>
          <w:rFonts w:hint="eastAsia" w:ascii="仿宋" w:hAnsi="仿宋" w:eastAsia="仿宋" w:cs="宋体"/>
          <w:kern w:val="0"/>
          <w:sz w:val="32"/>
          <w:szCs w:val="32"/>
          <w:lang w:val="en-US" w:eastAsia="zh-CN"/>
        </w:rPr>
        <w:t>。</w:t>
      </w:r>
    </w:p>
    <w:p w14:paraId="1ECA07E9">
      <w:pPr>
        <w:shd w:val="clear" w:color="auto"/>
        <w:spacing w:line="640" w:lineRule="exact"/>
        <w:ind w:firstLine="640"/>
        <w:rPr>
          <w:rFonts w:ascii="黑体" w:hAnsi="黑体" w:eastAsia="黑体"/>
          <w:b/>
          <w:bCs/>
          <w:spacing w:val="-2"/>
          <w:sz w:val="32"/>
          <w:szCs w:val="32"/>
        </w:rPr>
      </w:pPr>
      <w:r>
        <w:rPr>
          <w:rFonts w:hint="eastAsia" w:ascii="黑体" w:hAnsi="黑体" w:eastAsia="黑体"/>
          <w:b/>
          <w:bCs/>
          <w:spacing w:val="-2"/>
          <w:sz w:val="32"/>
          <w:szCs w:val="32"/>
          <w:lang w:val="en-US" w:eastAsia="zh-CN"/>
        </w:rPr>
        <w:t>七</w:t>
      </w:r>
      <w:r>
        <w:rPr>
          <w:rFonts w:hint="eastAsia" w:ascii="黑体" w:hAnsi="黑体" w:eastAsia="黑体"/>
          <w:b/>
          <w:bCs/>
          <w:spacing w:val="-2"/>
          <w:sz w:val="32"/>
          <w:szCs w:val="32"/>
        </w:rPr>
        <w:t>、部门整体支出绩效情况</w:t>
      </w:r>
    </w:p>
    <w:p w14:paraId="54A3FBF6">
      <w:pPr>
        <w:shd w:val="clear" w:color="auto"/>
        <w:spacing w:line="640" w:lineRule="exact"/>
        <w:ind w:firstLine="640"/>
        <w:rPr>
          <w:rFonts w:ascii="仿宋_GB2312" w:hAnsi="仿宋" w:eastAsia="仿宋_GB2312"/>
          <w:b/>
          <w:bCs/>
          <w:spacing w:val="-2"/>
          <w:sz w:val="32"/>
          <w:szCs w:val="32"/>
        </w:rPr>
      </w:pPr>
      <w:r>
        <w:rPr>
          <w:rFonts w:hint="eastAsia" w:ascii="仿宋" w:hAnsi="仿宋" w:eastAsia="仿宋" w:cs="宋体"/>
          <w:kern w:val="0"/>
          <w:sz w:val="32"/>
          <w:szCs w:val="32"/>
        </w:rPr>
        <w:t>本部门自评共计得分96分，达到优等级，主要表现在预算管理、资产管理、履职效益方面能很好的完成任务。具体从部门整体支出的经济性、效率性、有效性等方面分析。1.按时足额发放人员经费及支付各部门运行所发生的各项办公经费。在保证部门正常运行，人员经费按时足额发放的基础上，完成了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 xml:space="preserve">年度部门的各项工作任务。2.全力抓好安全生产整治。年内辖区无重大安全事故。新型农村合作医疗参合率达到95%或以上；免费孕前优生健康检查目标人群覆盖率达到80%以上；做好粮补、退耕还林补贴、残疾、五保、独生子女保健费等各项惠农补贴发放工作。3.完成县委、县政府交办的其他各项工作任务。4.稳定干部队伍，促进部门高效履职，确保部门正常完成各项工作任务。开展集镇专项整治，积极化解矛盾纠纷，切实做好防灾减灾，稳定社会发展。群众满意、群众得实惠，减轻负担。 </w:t>
      </w:r>
      <w:r>
        <w:rPr>
          <w:rFonts w:hint="eastAsia" w:ascii="仿宋" w:hAnsi="仿宋" w:eastAsia="仿宋" w:cs="宋体"/>
          <w:kern w:val="0"/>
          <w:sz w:val="32"/>
          <w:szCs w:val="32"/>
        </w:rPr>
        <w:cr/>
      </w:r>
      <w:r>
        <w:rPr>
          <w:rFonts w:hint="eastAsia" w:ascii="仿宋" w:hAnsi="仿宋" w:eastAsia="仿宋" w:cs="宋体"/>
          <w:kern w:val="0"/>
          <w:sz w:val="32"/>
          <w:szCs w:val="32"/>
          <w:lang w:val="en-US" w:eastAsia="zh-CN"/>
        </w:rPr>
        <w:t xml:space="preserve">    </w:t>
      </w:r>
      <w:r>
        <w:rPr>
          <w:rFonts w:hint="eastAsia" w:ascii="黑体" w:hAnsi="黑体" w:eastAsia="黑体"/>
          <w:b/>
          <w:bCs/>
          <w:spacing w:val="-2"/>
          <w:sz w:val="32"/>
          <w:szCs w:val="32"/>
          <w:lang w:val="en-US" w:eastAsia="zh-CN"/>
        </w:rPr>
        <w:t>八、</w:t>
      </w:r>
      <w:r>
        <w:rPr>
          <w:rFonts w:hint="eastAsia" w:ascii="黑体" w:hAnsi="黑体" w:eastAsia="黑体"/>
          <w:b/>
          <w:bCs/>
          <w:spacing w:val="-2"/>
          <w:sz w:val="32"/>
          <w:szCs w:val="32"/>
        </w:rPr>
        <w:t>存在的主要问题</w:t>
      </w:r>
    </w:p>
    <w:p w14:paraId="70064A75">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1、预算控制率有待降低。除政策性因素以外，由于部分临时、紧急或突发的工作任务导致年中追加预算。</w:t>
      </w:r>
    </w:p>
    <w:p w14:paraId="539D1D12">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2、公用经费控制率有待降低。由于乡村振兴工作任务重，各项经费使用增加。</w:t>
      </w:r>
    </w:p>
    <w:p w14:paraId="12D0B77C">
      <w:pPr>
        <w:shd w:val="clear" w:color="auto"/>
        <w:spacing w:line="640" w:lineRule="exact"/>
        <w:ind w:firstLine="640"/>
        <w:rPr>
          <w:rFonts w:ascii="仿宋" w:hAnsi="仿宋" w:eastAsia="仿宋"/>
          <w:spacing w:val="-2"/>
          <w:sz w:val="32"/>
          <w:szCs w:val="32"/>
        </w:rPr>
      </w:pPr>
      <w:r>
        <w:rPr>
          <w:rFonts w:hint="eastAsia" w:ascii="仿宋" w:hAnsi="仿宋" w:eastAsia="仿宋"/>
          <w:spacing w:val="-2"/>
          <w:sz w:val="32"/>
          <w:szCs w:val="32"/>
        </w:rPr>
        <w:t>3、项目资金压力大。针对我镇农村经济基础薄弱，各项基础设施项目建设资金管理尚需进一步的加强。</w:t>
      </w:r>
    </w:p>
    <w:p w14:paraId="771A6855">
      <w:pPr>
        <w:shd w:val="clear" w:color="auto"/>
        <w:spacing w:line="640" w:lineRule="exact"/>
        <w:ind w:firstLine="640"/>
        <w:rPr>
          <w:rFonts w:ascii="黑体" w:hAnsi="黑体" w:eastAsia="黑体"/>
          <w:b/>
          <w:bCs/>
          <w:spacing w:val="-2"/>
          <w:sz w:val="32"/>
          <w:szCs w:val="32"/>
        </w:rPr>
      </w:pPr>
      <w:r>
        <w:rPr>
          <w:rFonts w:hint="eastAsia" w:ascii="黑体" w:hAnsi="黑体" w:eastAsia="黑体"/>
          <w:b/>
          <w:bCs/>
          <w:spacing w:val="-2"/>
          <w:sz w:val="32"/>
          <w:szCs w:val="32"/>
          <w:lang w:val="en-US" w:eastAsia="zh-CN"/>
        </w:rPr>
        <w:t>九</w:t>
      </w:r>
      <w:r>
        <w:rPr>
          <w:rFonts w:hint="eastAsia" w:ascii="黑体" w:hAnsi="黑体" w:eastAsia="黑体"/>
          <w:b/>
          <w:bCs/>
          <w:spacing w:val="-2"/>
          <w:sz w:val="32"/>
          <w:szCs w:val="32"/>
        </w:rPr>
        <w:t>、改进措施和有关建议</w:t>
      </w:r>
    </w:p>
    <w:p w14:paraId="6E3B3A5C">
      <w:pPr>
        <w:shd w:val="clear" w:color="auto"/>
        <w:spacing w:line="640" w:lineRule="exact"/>
        <w:ind w:firstLine="640"/>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细化预算编制工作，认真做好预算的编制。进一步加强内设机构的预算管理意识，严格按照预算编制的相关制度和要求进行预算编制。</w:t>
      </w:r>
    </w:p>
    <w:p w14:paraId="02F86A04">
      <w:pPr>
        <w:numPr>
          <w:ilvl w:val="0"/>
          <w:numId w:val="0"/>
        </w:numPr>
        <w:shd w:val="clear" w:color="auto"/>
        <w:spacing w:line="640" w:lineRule="exact"/>
        <w:ind w:firstLine="632" w:firstLineChars="200"/>
        <w:rPr>
          <w:rFonts w:hint="eastAsia" w:ascii="仿宋" w:hAnsi="仿宋" w:eastAsia="仿宋" w:cs="宋体"/>
          <w:kern w:val="0"/>
          <w:sz w:val="32"/>
          <w:szCs w:val="32"/>
        </w:rPr>
      </w:pPr>
      <w:r>
        <w:rPr>
          <w:rFonts w:hint="eastAsia" w:ascii="仿宋" w:hAnsi="仿宋" w:eastAsia="仿宋"/>
          <w:spacing w:val="-2"/>
          <w:sz w:val="32"/>
          <w:szCs w:val="32"/>
          <w:lang w:val="en-US" w:eastAsia="zh-CN"/>
        </w:rPr>
        <w:t>2、</w:t>
      </w:r>
      <w:r>
        <w:rPr>
          <w:rFonts w:hint="eastAsia" w:ascii="仿宋" w:hAnsi="仿宋" w:eastAsia="仿宋" w:cs="宋体"/>
          <w:kern w:val="0"/>
          <w:sz w:val="32"/>
          <w:szCs w:val="32"/>
        </w:rPr>
        <w:t>继续抓好公用经费控制。严格编制政府采购年初预算和计划，严格控制“三公”经费的规模和比例，把关“三公”经费支出的审核、审批，杜绝挪用和挤占其他预算资金行为；进一步细化“三公”经费的管理，合理压缩“三公”经费支出。</w:t>
      </w:r>
    </w:p>
    <w:p w14:paraId="25DCB4E0">
      <w:pPr>
        <w:numPr>
          <w:ilvl w:val="0"/>
          <w:numId w:val="0"/>
        </w:numPr>
        <w:shd w:val="clear" w:color="auto"/>
        <w:spacing w:line="64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对项目设计预算，尽量减少预算安排和实际支出金额的差异。</w:t>
      </w:r>
    </w:p>
    <w:p w14:paraId="2DF5B593">
      <w:pPr>
        <w:numPr>
          <w:ilvl w:val="0"/>
          <w:numId w:val="0"/>
        </w:numPr>
        <w:shd w:val="clear" w:color="auto"/>
        <w:spacing w:line="640" w:lineRule="exact"/>
        <w:ind w:firstLine="632" w:firstLineChars="200"/>
        <w:rPr>
          <w:rFonts w:hint="eastAsia" w:ascii="仿宋" w:hAnsi="仿宋" w:eastAsia="仿宋" w:cs="宋体"/>
          <w:kern w:val="0"/>
          <w:sz w:val="32"/>
          <w:szCs w:val="32"/>
        </w:rPr>
      </w:pPr>
      <w:r>
        <w:rPr>
          <w:rFonts w:hint="eastAsia" w:ascii="仿宋" w:hAnsi="仿宋" w:eastAsia="仿宋"/>
          <w:spacing w:val="-2"/>
          <w:sz w:val="32"/>
          <w:szCs w:val="32"/>
          <w:lang w:val="en-US" w:eastAsia="zh-CN"/>
        </w:rPr>
        <w:t>4、</w:t>
      </w:r>
      <w:r>
        <w:rPr>
          <w:rFonts w:hint="eastAsia" w:ascii="仿宋" w:hAnsi="仿宋" w:eastAsia="仿宋" w:cs="宋体"/>
          <w:kern w:val="0"/>
          <w:sz w:val="32"/>
          <w:szCs w:val="32"/>
        </w:rPr>
        <w:t>加强单位的内部管理工作，尽快建立健全相关制度、文件，并及时落实到位。加强单位财务管理，健全单位财务管理制度体系，规范单位财务行为。在费用报账支付时，按照预算规定的费用项目和用途进行资金使用审核、财务严格核算，杜绝超支现象的发生。特别要加强项目资金管理，从资金源头入手，落实责任，完善制度，合理使用，加强监管，做到既按照上级部门要求开展好工作，又严格遵守财经纪律，做好厉行节约工作，确保将有限的资金发挥最大的效益。</w:t>
      </w:r>
    </w:p>
    <w:p w14:paraId="2AF07B05">
      <w:pPr>
        <w:numPr>
          <w:ilvl w:val="0"/>
          <w:numId w:val="0"/>
        </w:numPr>
        <w:shd w:val="clear" w:color="auto"/>
        <w:spacing w:line="640" w:lineRule="exact"/>
        <w:ind w:firstLine="640" w:firstLineChars="200"/>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十、部门整体支出绩效自评结果拟应用和公开情况</w:t>
      </w:r>
    </w:p>
    <w:p w14:paraId="5A5699B7">
      <w:pPr>
        <w:numPr>
          <w:ilvl w:val="0"/>
          <w:numId w:val="0"/>
        </w:numPr>
        <w:shd w:val="clear" w:color="auto"/>
        <w:spacing w:line="640" w:lineRule="exact"/>
        <w:ind w:firstLine="640" w:firstLineChars="20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（一）</w:t>
      </w:r>
      <w:r>
        <w:rPr>
          <w:rFonts w:hint="eastAsia" w:ascii="仿宋" w:hAnsi="仿宋" w:eastAsia="仿宋" w:cs="仿宋"/>
          <w:b/>
          <w:bCs/>
          <w:spacing w:val="-2"/>
          <w:sz w:val="32"/>
          <w:szCs w:val="32"/>
          <w:lang w:val="en-US" w:eastAsia="zh-CN"/>
        </w:rPr>
        <w:t>绩效自评结果拟应用情况</w:t>
      </w:r>
    </w:p>
    <w:p w14:paraId="3BBB8E34">
      <w:pPr>
        <w:numPr>
          <w:ilvl w:val="0"/>
          <w:numId w:val="0"/>
        </w:numPr>
        <w:shd w:val="clear" w:color="auto"/>
        <w:spacing w:line="64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按要求及时公开本单位部门预算、决算和财政支出绩效评价情况，接受社会监督。在以后的工作中增强单位的绩效评价主体责任意识。切实加强项目整改落实，推动绩效评价结果与预算安排相结合，加大评价结果向社会公开的力度</w:t>
      </w:r>
    </w:p>
    <w:p w14:paraId="0501254D">
      <w:pPr>
        <w:numPr>
          <w:ilvl w:val="0"/>
          <w:numId w:val="0"/>
        </w:numPr>
        <w:shd w:val="clear" w:color="auto"/>
        <w:spacing w:line="640" w:lineRule="exact"/>
        <w:ind w:firstLine="640" w:firstLineChars="200"/>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lang w:eastAsia="zh-CN"/>
        </w:rPr>
        <w:t>（</w:t>
      </w:r>
      <w:r>
        <w:rPr>
          <w:rFonts w:hint="eastAsia" w:ascii="仿宋" w:hAnsi="仿宋" w:eastAsia="仿宋" w:cs="宋体"/>
          <w:b/>
          <w:bCs/>
          <w:kern w:val="0"/>
          <w:sz w:val="32"/>
          <w:szCs w:val="32"/>
          <w:lang w:val="en-US" w:eastAsia="zh-CN"/>
        </w:rPr>
        <w:t>二</w:t>
      </w:r>
      <w:r>
        <w:rPr>
          <w:rFonts w:hint="eastAsia" w:ascii="仿宋" w:hAnsi="仿宋" w:eastAsia="仿宋" w:cs="宋体"/>
          <w:b/>
          <w:bCs/>
          <w:kern w:val="0"/>
          <w:sz w:val="32"/>
          <w:szCs w:val="32"/>
          <w:lang w:eastAsia="zh-CN"/>
        </w:rPr>
        <w:t>）</w:t>
      </w:r>
      <w:r>
        <w:rPr>
          <w:rFonts w:hint="eastAsia" w:ascii="仿宋" w:hAnsi="仿宋" w:eastAsia="仿宋" w:cs="仿宋"/>
          <w:b/>
          <w:bCs/>
          <w:spacing w:val="-2"/>
          <w:sz w:val="32"/>
          <w:szCs w:val="32"/>
          <w:lang w:val="en-US" w:eastAsia="zh-CN"/>
        </w:rPr>
        <w:t>绩效自评公开情况</w:t>
      </w:r>
    </w:p>
    <w:p w14:paraId="76673FF3">
      <w:pPr>
        <w:numPr>
          <w:ilvl w:val="0"/>
          <w:numId w:val="0"/>
        </w:numPr>
        <w:shd w:val="clear" w:color="auto"/>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本单位自评报告由财政部门审核后在本单位公开公示栏中张贴公示，接受群众监督。</w:t>
      </w:r>
    </w:p>
    <w:p w14:paraId="1C2E0D92">
      <w:pPr>
        <w:pStyle w:val="14"/>
        <w:jc w:val="both"/>
        <w:rPr>
          <w:sz w:val="72"/>
          <w:szCs w:val="72"/>
        </w:rPr>
      </w:pPr>
      <w:bookmarkStart w:id="31" w:name="_GoBack"/>
      <w:bookmarkEnd w:id="31"/>
    </w:p>
    <w:p w14:paraId="3207A256">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F3F55"/>
    <w:multiLevelType w:val="singleLevel"/>
    <w:tmpl w:val="9DCF3F55"/>
    <w:lvl w:ilvl="0" w:tentative="0">
      <w:start w:val="4"/>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4BC70D1"/>
    <w:rsid w:val="1DB50D53"/>
    <w:rsid w:val="2CBB1927"/>
    <w:rsid w:val="2D8665E3"/>
    <w:rsid w:val="32596C52"/>
    <w:rsid w:val="4B0F6121"/>
    <w:rsid w:val="5777D4F5"/>
    <w:rsid w:val="5FC6BB1E"/>
    <w:rsid w:val="5FF720F1"/>
    <w:rsid w:val="737D59BA"/>
    <w:rsid w:val="77C37683"/>
    <w:rsid w:val="79FF515B"/>
    <w:rsid w:val="7A03445E"/>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 w:type="paragraph" w:customStyle="1" w:styleId="20">
    <w:name w:val="p3"/>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22">
    <w:name w:val="BodyText1I2"/>
    <w:basedOn w:val="23"/>
    <w:qFormat/>
    <w:uiPriority w:val="0"/>
    <w:pPr>
      <w:ind w:firstLine="420"/>
    </w:pPr>
  </w:style>
  <w:style w:type="paragraph" w:customStyle="1" w:styleId="23">
    <w:name w:val="BodyTextIndent"/>
    <w:basedOn w:val="1"/>
    <w:qFormat/>
    <w:uiPriority w:val="0"/>
    <w:pPr>
      <w:ind w:firstLine="720" w:firstLineChars="200"/>
      <w:textAlignment w:val="baseline"/>
    </w:pPr>
    <w:rPr>
      <w:rFonts w:eastAsia="仿宋_GB2312"/>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15173</Words>
  <Characters>23939</Characters>
  <Lines>63</Lines>
  <Paragraphs>18</Paragraphs>
  <TotalTime>0</TotalTime>
  <ScaleCrop>false</ScaleCrop>
  <LinksUpToDate>false</LinksUpToDate>
  <CharactersWithSpaces>24134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2024-09-20T00:47:00Z</cp:lastPrinted>
  <dcterms:modified xsi:type="dcterms:W3CDTF">2024-10-08T01:19:28Z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2FC10CAB14164171B9FDB1CA1C938553_12</vt:lpwstr>
  </property>
</Properties>
</file>