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lang w:eastAsia="zh-CN"/>
        </w:rPr>
      </w:pPr>
    </w:p>
    <w:p>
      <w:pPr>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jc w:val="center"/>
        <w:rPr>
          <w:rFonts w:hint="eastAsia" w:ascii="宋体" w:hAnsi="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均委</w:t>
      </w:r>
      <w:r>
        <w:rPr>
          <w:rFonts w:hint="eastAsia" w:ascii="仿宋_GB2312" w:hAnsi="仿宋_GB2312" w:eastAsia="仿宋_GB2312" w:cs="仿宋_GB2312"/>
          <w:color w:val="000000" w:themeColor="text1"/>
          <w:kern w:val="0"/>
          <w:sz w:val="32"/>
          <w:szCs w:val="32"/>
          <w14:textFill>
            <w14:solidFill>
              <w14:schemeClr w14:val="tx1"/>
            </w14:solidFill>
          </w14:textFill>
        </w:rPr>
        <w:t>发〔20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bookmarkStart w:id="0" w:name="_GoBack"/>
      <w:r>
        <w:rPr>
          <w:rFonts w:hint="eastAsia" w:ascii="方正小标宋_GBK" w:hAnsi="方正小标宋_GBK" w:eastAsia="方正小标宋_GBK" w:cs="方正小标宋_GBK"/>
          <w:b/>
          <w:bCs/>
          <w:sz w:val="44"/>
          <w:szCs w:val="44"/>
          <w:lang w:eastAsia="zh-CN"/>
        </w:rPr>
        <w:t>中共溆浦县均坪镇委员会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溆浦县均坪镇人民政府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pacing w:val="-11"/>
          <w:sz w:val="44"/>
          <w:szCs w:val="44"/>
          <w:lang w:val="en-US" w:eastAsia="zh-CN"/>
        </w:rPr>
      </w:pPr>
      <w:r>
        <w:rPr>
          <w:rFonts w:hint="eastAsia" w:ascii="方正小标宋_GBK" w:hAnsi="方正小标宋_GBK" w:eastAsia="方正小标宋_GBK" w:cs="方正小标宋_GBK"/>
          <w:b/>
          <w:bCs/>
          <w:spacing w:val="-11"/>
          <w:sz w:val="44"/>
          <w:szCs w:val="44"/>
          <w:lang w:val="en-US" w:eastAsia="zh-CN"/>
        </w:rPr>
        <w:t>印发《关于均坪镇“敲门行动”工作方案》的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通  知</w:t>
      </w:r>
    </w:p>
    <w:bookmarkEnd w:id="0"/>
    <w:p>
      <w:pPr>
        <w:keepNext w:val="0"/>
        <w:keepLines w:val="0"/>
        <w:pageBreakBefore w:val="0"/>
        <w:widowControl w:val="0"/>
        <w:kinsoku/>
        <w:overflowPunct/>
        <w:topLinePunct w:val="0"/>
        <w:autoSpaceDE/>
        <w:autoSpaceDN/>
        <w:bidi w:val="0"/>
        <w:adjustRightInd/>
        <w:snapToGrid/>
        <w:spacing w:line="636"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36"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村（社区）党支部、镇属各单位</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sz w:val="32"/>
          <w:szCs w:val="32"/>
          <w:lang w:eastAsia="zh-CN"/>
        </w:rPr>
        <w:t>均坪镇“敲门行动”工作方案</w:t>
      </w: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》已经镇党委研究通过，现</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印发</w:t>
      </w: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给</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你们，请</w:t>
      </w: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认真抓好贯彻落实</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left="4480" w:hanging="4480" w:hangingChars="14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中共溆浦县均坪镇委员会 </w:t>
      </w:r>
    </w:p>
    <w:p>
      <w:pPr>
        <w:ind w:left="4480" w:hanging="4480" w:hangingChars="14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2022年1月18日</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均坪镇“敲门行动”工作方案</w:t>
      </w:r>
    </w:p>
    <w:p>
      <w:pPr>
        <w:keepNext w:val="0"/>
        <w:keepLines w:val="0"/>
        <w:pageBreakBefore w:val="0"/>
        <w:widowControl w:val="0"/>
        <w:kinsoku/>
        <w:wordWrap/>
        <w:overflowPunct/>
        <w:topLinePunct w:val="0"/>
        <w:bidi w:val="0"/>
        <w:adjustRightInd/>
        <w:snapToGrid/>
        <w:spacing w:line="560" w:lineRule="exact"/>
        <w:textAlignment w:val="auto"/>
        <w:rPr>
          <w:rFonts w:hint="eastAsia" w:ascii="仿宋" w:hAnsi="仿宋" w:eastAsia="仿宋" w:cs="仿宋"/>
          <w:b w:val="0"/>
          <w:bCs w:val="0"/>
          <w:sz w:val="32"/>
          <w:szCs w:val="32"/>
          <w:lang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按照溆浦县疫情防控会议精神，结合我镇当前中心工作，经镇党委政府研究决定，在全镇范围内开展“敲门行动”。即:动员镇村干部、驻村工作队、党员、入党积极分子、志愿者、大学生、年轻公民等，分片包干、逐户敲门、面对面交流，上门入户开展</w:t>
      </w:r>
      <w:r>
        <w:rPr>
          <w:rFonts w:hint="eastAsia" w:ascii="仿宋_GB2312" w:hAnsi="仿宋_GB2312" w:eastAsia="仿宋_GB2312" w:cs="仿宋_GB2312"/>
          <w:color w:val="auto"/>
          <w:sz w:val="32"/>
          <w:szCs w:val="32"/>
          <w:shd w:val="clear" w:color="auto" w:fill="FFFFFF"/>
          <w:lang w:val="en-US" w:eastAsia="zh-CN"/>
        </w:rPr>
        <w:t>排查、</w:t>
      </w:r>
      <w:r>
        <w:rPr>
          <w:rFonts w:hint="eastAsia" w:ascii="仿宋_GB2312" w:hAnsi="仿宋_GB2312" w:eastAsia="仿宋_GB2312" w:cs="仿宋_GB2312"/>
          <w:color w:val="auto"/>
          <w:sz w:val="32"/>
          <w:szCs w:val="32"/>
          <w:shd w:val="clear" w:color="auto" w:fill="FFFFFF"/>
          <w:lang w:eastAsia="zh-CN"/>
        </w:rPr>
        <w:t>宣传，</w:t>
      </w:r>
      <w:r>
        <w:rPr>
          <w:rFonts w:hint="eastAsia" w:ascii="仿宋_GB2312" w:hAnsi="仿宋_GB2312" w:eastAsia="仿宋_GB2312" w:cs="仿宋_GB2312"/>
          <w:color w:val="auto"/>
          <w:sz w:val="32"/>
          <w:szCs w:val="32"/>
          <w:shd w:val="clear" w:color="auto" w:fill="FFFFFF"/>
          <w:lang w:val="en-US" w:eastAsia="zh-CN"/>
        </w:rPr>
        <w:t>确保</w:t>
      </w:r>
      <w:r>
        <w:rPr>
          <w:rFonts w:hint="eastAsia" w:ascii="仿宋_GB2312" w:hAnsi="仿宋_GB2312" w:eastAsia="仿宋_GB2312" w:cs="仿宋_GB2312"/>
          <w:color w:val="auto"/>
          <w:sz w:val="32"/>
          <w:szCs w:val="32"/>
          <w:shd w:val="clear" w:color="auto" w:fill="FFFFFF"/>
          <w:lang w:eastAsia="zh-CN"/>
        </w:rPr>
        <w:t>不漏一户宣传到位，不漏一人落实工作，进一步摸清底数、摸清实情，助推我镇</w:t>
      </w:r>
      <w:r>
        <w:rPr>
          <w:rFonts w:ascii="仿宋_GB2312" w:hAnsi="仿宋_GB2312" w:eastAsia="仿宋_GB2312" w:cs="仿宋_GB2312"/>
          <w:color w:val="000000"/>
          <w:kern w:val="0"/>
          <w:sz w:val="32"/>
          <w:szCs w:val="32"/>
          <w:lang w:val="en-US" w:eastAsia="zh-CN" w:bidi="ar"/>
        </w:rPr>
        <w:t>疫情防控</w:t>
      </w:r>
      <w:r>
        <w:rPr>
          <w:rFonts w:hint="eastAsia" w:ascii="仿宋_GB2312" w:hAnsi="仿宋_GB2312" w:eastAsia="仿宋_GB2312" w:cs="仿宋_GB2312"/>
          <w:color w:val="000000"/>
          <w:kern w:val="0"/>
          <w:sz w:val="32"/>
          <w:szCs w:val="32"/>
          <w:lang w:val="en-US" w:eastAsia="zh-CN" w:bidi="ar"/>
        </w:rPr>
        <w:t>等当前中心工作的稳步推进</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eastAsia="zh-CN"/>
        </w:rPr>
        <w:t>一、组织领导</w:t>
      </w:r>
      <w:r>
        <w:rPr>
          <w:rFonts w:hint="eastAsia" w:ascii="黑体" w:hAnsi="黑体" w:eastAsia="黑体" w:cs="黑体"/>
          <w:b/>
          <w:bCs/>
          <w:sz w:val="32"/>
          <w:szCs w:val="32"/>
          <w:lang w:val="en-US" w:eastAsia="zh-CN"/>
        </w:rPr>
        <w:t xml:space="preserve">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color w:val="auto"/>
          <w:sz w:val="32"/>
          <w:szCs w:val="32"/>
          <w:shd w:val="clear" w:color="auto" w:fill="FFFFFF"/>
          <w:lang w:eastAsia="zh-CN"/>
        </w:rPr>
        <w:t>成立由镇党委书记陈慧平任组长，镇长舒鹏</w:t>
      </w:r>
      <w:r>
        <w:rPr>
          <w:rFonts w:hint="eastAsia" w:ascii="仿宋_GB2312" w:hAnsi="仿宋_GB2312" w:eastAsia="仿宋_GB2312" w:cs="仿宋_GB2312"/>
          <w:color w:val="auto"/>
          <w:sz w:val="32"/>
          <w:szCs w:val="32"/>
          <w:shd w:val="clear" w:color="auto" w:fill="FFFFFF"/>
          <w:lang w:val="en-US" w:eastAsia="zh-CN"/>
        </w:rPr>
        <w:t>任常务副组长</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其余班子成员</w:t>
      </w:r>
      <w:r>
        <w:rPr>
          <w:rFonts w:hint="eastAsia" w:ascii="仿宋_GB2312" w:hAnsi="仿宋_GB2312" w:eastAsia="仿宋_GB2312" w:cs="仿宋_GB2312"/>
          <w:color w:val="auto"/>
          <w:sz w:val="32"/>
          <w:szCs w:val="32"/>
          <w:shd w:val="clear" w:color="auto" w:fill="FFFFFF"/>
          <w:lang w:eastAsia="zh-CN"/>
        </w:rPr>
        <w:t>任副组长，</w:t>
      </w:r>
      <w:r>
        <w:rPr>
          <w:rFonts w:hint="eastAsia" w:ascii="仿宋_GB2312" w:hAnsi="仿宋_GB2312" w:eastAsia="仿宋_GB2312" w:cs="仿宋_GB2312"/>
          <w:color w:val="auto"/>
          <w:sz w:val="32"/>
          <w:szCs w:val="32"/>
          <w:shd w:val="clear" w:color="auto" w:fill="FFFFFF"/>
          <w:lang w:val="en-US" w:eastAsia="zh-CN"/>
        </w:rPr>
        <w:t>镇党政办、镇党建办、镇经济发展办、镇应急办、镇自然资源和环境保护办、镇社会事务办、镇</w:t>
      </w:r>
      <w:r>
        <w:rPr>
          <w:rFonts w:hint="eastAsia" w:ascii="仿宋_GB2312" w:hAnsi="仿宋_GB2312" w:eastAsia="仿宋_GB2312" w:cs="仿宋_GB2312"/>
          <w:color w:val="auto"/>
          <w:sz w:val="32"/>
          <w:szCs w:val="32"/>
          <w:shd w:val="clear" w:color="auto" w:fill="FFFFFF"/>
          <w:lang w:eastAsia="zh-CN"/>
        </w:rPr>
        <w:t>农业综合服务中心、</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lang w:eastAsia="zh-CN"/>
        </w:rPr>
        <w:t>社会事务服务中心、</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lang w:eastAsia="zh-CN"/>
        </w:rPr>
        <w:t>政务中心、</w:t>
      </w:r>
      <w:r>
        <w:rPr>
          <w:rFonts w:hint="eastAsia" w:ascii="仿宋_GB2312" w:hAnsi="仿宋_GB2312" w:eastAsia="仿宋_GB2312" w:cs="仿宋_GB2312"/>
          <w:color w:val="auto"/>
          <w:sz w:val="32"/>
          <w:szCs w:val="32"/>
          <w:shd w:val="clear" w:color="auto" w:fill="FFFFFF"/>
          <w:lang w:val="en-US" w:eastAsia="zh-CN"/>
        </w:rPr>
        <w:t>镇</w:t>
      </w:r>
      <w:r>
        <w:rPr>
          <w:rFonts w:hint="eastAsia" w:ascii="仿宋_GB2312" w:hAnsi="仿宋_GB2312" w:eastAsia="仿宋_GB2312" w:cs="仿宋_GB2312"/>
          <w:color w:val="auto"/>
          <w:sz w:val="32"/>
          <w:szCs w:val="32"/>
          <w:shd w:val="clear" w:color="auto" w:fill="FFFFFF"/>
          <w:lang w:eastAsia="zh-CN"/>
        </w:rPr>
        <w:t>综合行政执法大队、财政所、派出所、司法所</w:t>
      </w:r>
      <w:r>
        <w:rPr>
          <w:rFonts w:hint="eastAsia" w:ascii="仿宋_GB2312" w:hAnsi="仿宋_GB2312" w:eastAsia="仿宋_GB2312" w:cs="仿宋_GB2312"/>
          <w:color w:val="auto"/>
          <w:sz w:val="32"/>
          <w:szCs w:val="32"/>
          <w:shd w:val="clear" w:color="auto" w:fill="FFFFFF"/>
          <w:lang w:val="en-US" w:eastAsia="zh-CN"/>
        </w:rPr>
        <w:t>等单位及各行政村主要负责人为</w:t>
      </w:r>
      <w:r>
        <w:rPr>
          <w:rFonts w:hint="eastAsia" w:ascii="仿宋" w:hAnsi="仿宋" w:eastAsia="仿宋" w:cs="仿宋"/>
          <w:b w:val="0"/>
          <w:bCs w:val="0"/>
          <w:sz w:val="32"/>
          <w:szCs w:val="32"/>
          <w:lang w:eastAsia="zh-CN"/>
        </w:rPr>
        <w:t>成员的“敲门行动”领导小组。领导小组下设办公室，由张圣喜</w:t>
      </w:r>
      <w:r>
        <w:rPr>
          <w:rFonts w:hint="eastAsia" w:ascii="仿宋" w:hAnsi="仿宋" w:eastAsia="仿宋" w:cs="仿宋"/>
          <w:b w:val="0"/>
          <w:bCs w:val="0"/>
          <w:sz w:val="32"/>
          <w:szCs w:val="32"/>
          <w:lang w:val="en-US" w:eastAsia="zh-CN"/>
        </w:rPr>
        <w:t>同志</w:t>
      </w:r>
      <w:r>
        <w:rPr>
          <w:rFonts w:hint="eastAsia" w:ascii="仿宋" w:hAnsi="仿宋" w:eastAsia="仿宋" w:cs="仿宋"/>
          <w:b w:val="0"/>
          <w:bCs w:val="0"/>
          <w:sz w:val="32"/>
          <w:szCs w:val="32"/>
          <w:lang w:eastAsia="zh-CN"/>
        </w:rPr>
        <w:t>任办公室主任，邓宗勇</w:t>
      </w:r>
      <w:r>
        <w:rPr>
          <w:rFonts w:hint="eastAsia" w:ascii="仿宋" w:hAnsi="仿宋" w:eastAsia="仿宋" w:cs="仿宋"/>
          <w:b w:val="0"/>
          <w:bCs w:val="0"/>
          <w:sz w:val="32"/>
          <w:szCs w:val="32"/>
          <w:lang w:val="en-US" w:eastAsia="zh-CN"/>
        </w:rPr>
        <w:t>同志</w:t>
      </w:r>
      <w:r>
        <w:rPr>
          <w:rFonts w:hint="eastAsia" w:ascii="仿宋" w:hAnsi="仿宋" w:eastAsia="仿宋" w:cs="仿宋"/>
          <w:b w:val="0"/>
          <w:bCs w:val="0"/>
          <w:sz w:val="32"/>
          <w:szCs w:val="32"/>
          <w:lang w:eastAsia="zh-CN"/>
        </w:rPr>
        <w:t>任办公室副主任，黄成、周凯伦、张英国、罗启蒙为办公室成员。</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黑体" w:hAnsi="黑体" w:eastAsia="黑体" w:cs="黑体"/>
          <w:b/>
          <w:bCs/>
          <w:color w:val="auto"/>
          <w:sz w:val="32"/>
          <w:szCs w:val="32"/>
          <w:shd w:val="clear" w:color="auto" w:fill="FFFFFF"/>
          <w:lang w:eastAsia="zh-CN"/>
        </w:rPr>
      </w:pPr>
      <w:r>
        <w:rPr>
          <w:rFonts w:hint="eastAsia" w:ascii="黑体" w:hAnsi="黑体" w:eastAsia="黑体" w:cs="黑体"/>
          <w:b/>
          <w:bCs/>
          <w:color w:val="auto"/>
          <w:sz w:val="32"/>
          <w:szCs w:val="32"/>
          <w:shd w:val="clear" w:color="auto" w:fill="FFFFFF"/>
          <w:lang w:val="en-US" w:eastAsia="zh-CN"/>
        </w:rPr>
        <w:t>二、</w:t>
      </w:r>
      <w:r>
        <w:rPr>
          <w:rFonts w:hint="eastAsia" w:ascii="黑体" w:hAnsi="黑体" w:eastAsia="黑体" w:cs="黑体"/>
          <w:b/>
          <w:bCs/>
          <w:color w:val="auto"/>
          <w:sz w:val="32"/>
          <w:szCs w:val="32"/>
          <w:shd w:val="clear" w:color="auto" w:fill="FFFFFF"/>
          <w:lang w:eastAsia="zh-CN"/>
        </w:rPr>
        <w:t>行动时间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2022年1月19日至2022年1月23日</w:t>
      </w:r>
    </w:p>
    <w:p>
      <w:pPr>
        <w:keepNext w:val="0"/>
        <w:keepLines w:val="0"/>
        <w:pageBreakBefore w:val="0"/>
        <w:widowControl w:val="0"/>
        <w:numPr>
          <w:ilvl w:val="0"/>
          <w:numId w:val="0"/>
        </w:numPr>
        <w:kinsoku/>
        <w:wordWrap/>
        <w:overflowPunct/>
        <w:topLinePunct w:val="0"/>
        <w:bidi w:val="0"/>
        <w:adjustRightInd/>
        <w:snapToGrid/>
        <w:spacing w:line="520" w:lineRule="exact"/>
        <w:ind w:firstLine="643" w:firstLineChars="200"/>
        <w:textAlignment w:val="auto"/>
        <w:rPr>
          <w:rFonts w:hint="eastAsia"/>
          <w:lang w:eastAsia="zh-CN"/>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lang w:eastAsia="zh-CN"/>
        </w:rPr>
        <w:t>工作任务</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联村领导包所联村、驻村干部包所驻村、村干部包网格，其他干部职工按照乡村振兴结对联系户名单和属地原则开展行动。确保不漏一户、不漏一人，宣传政策、排查数据并将有关情况及时上报。</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（一）疫情防控工作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color w:val="000000"/>
          <w:kern w:val="0"/>
          <w:sz w:val="32"/>
          <w:szCs w:val="32"/>
          <w:lang w:val="en-US" w:eastAsia="zh-CN" w:bidi="ar"/>
        </w:rPr>
        <w:t>1、加强对重点风险区域来溆人员的管控，实行严格查验制度，重点风险区域人员来溆需提前报批。</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原则上涉境外、国内高中风险地区均坪籍流动人员不得返乡；倡导省外低风险地区均坪籍流动人员不返乡，留在当地过节、过年，切实减少不必要的开支和把疫情带给家人朋友的风险。确需返乡的，必须严格落实报批（备）制度，自觉接受相应等级的管控措施：对入境人员、密切接触者、次密切接触者、无症状感染者、高中风险区返乡人员需在县集中隔离点隔离14天，隔离期满后回家再隔离7天，还要健康监测7天，并要进行核酸检测、落实防控措施。</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2、排查登记滞留在国内中高风险地区的所有外出人员，建立台账，实行“点对点”劝导滞留人员不返溆不返镇。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color w:val="000000"/>
          <w:kern w:val="0"/>
          <w:sz w:val="32"/>
          <w:szCs w:val="32"/>
          <w:lang w:val="en-US" w:eastAsia="zh-CN" w:bidi="ar"/>
        </w:rPr>
        <w:t>3、严防严控人员聚集和流动</w:t>
      </w:r>
      <w:r>
        <w:rPr>
          <w:rFonts w:hint="eastAsia" w:ascii="楷体" w:hAnsi="楷体" w:eastAsia="楷体" w:cs="楷体"/>
          <w:b/>
          <w:bCs/>
          <w:color w:val="000000"/>
          <w:kern w:val="0"/>
          <w:sz w:val="32"/>
          <w:szCs w:val="32"/>
          <w:lang w:val="en-US" w:eastAsia="zh-CN" w:bidi="ar"/>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尽量不举办大规模人员聚集性活动，提倡家庭聚餐聚会等不超过10人，提倡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喜事缓办、丧事简办、宴会不办</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，确需举办的尽可能缩小活动规模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严防人员扎堆聚集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红、白喜事人员达</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50人的，必须提前报备村委会和镇疫情防控指挥部，征得同意后方可举办</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。必须</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严格做好疫情防控工作，确保就餐人员落实扫码、现场测温和</w:t>
      </w:r>
      <w:r>
        <w:rPr>
          <w:rFonts w:hint="eastAsia" w:ascii="仿宋" w:hAnsi="仿宋" w:eastAsia="仿宋" w:cs="仿宋"/>
          <w:i w:val="0"/>
          <w:iCs w:val="0"/>
          <w:caps w:val="0"/>
          <w:color w:val="000000" w:themeColor="text1"/>
          <w:spacing w:val="-6"/>
          <w:sz w:val="32"/>
          <w:szCs w:val="32"/>
          <w:shd w:val="clear" w:fill="FFFFFF"/>
          <w14:textFill>
            <w14:solidFill>
              <w14:schemeClr w14:val="tx1"/>
            </w14:solidFill>
          </w14:textFill>
        </w:rPr>
        <w:t>佩戴口罩等措施后进入就餐场所，做好餐厅的通风消毒工作</w:t>
      </w:r>
      <w:r>
        <w:rPr>
          <w:rFonts w:hint="eastAsia" w:ascii="仿宋" w:hAnsi="仿宋" w:eastAsia="仿宋" w:cs="仿宋"/>
          <w:i w:val="0"/>
          <w:iCs w:val="0"/>
          <w:caps w:val="0"/>
          <w:color w:val="000000" w:themeColor="text1"/>
          <w:spacing w:val="-6"/>
          <w:sz w:val="32"/>
          <w:szCs w:val="32"/>
          <w:shd w:val="clear" w:fill="FFFFFF"/>
          <w:lang w:eastAsia="zh-CN"/>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28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000000"/>
          <w:kern w:val="0"/>
          <w:sz w:val="32"/>
          <w:szCs w:val="32"/>
          <w:lang w:val="en-US" w:eastAsia="zh-CN" w:bidi="ar"/>
        </w:rPr>
        <w:t>4、落实重点场所常态化防控措施。</w:t>
      </w:r>
      <w:r>
        <w:rPr>
          <w:rFonts w:hint="eastAsia" w:ascii="仿宋" w:hAnsi="仿宋" w:eastAsia="仿宋" w:cs="仿宋"/>
          <w:b w:val="0"/>
          <w:bCs w:val="0"/>
          <w:sz w:val="32"/>
          <w:szCs w:val="32"/>
          <w:lang w:val="en-US" w:eastAsia="zh-CN"/>
        </w:rPr>
        <w:t>坚持“口袋”战术，加强对车站、医院、药店、学校、餐馆、超市、物流、宗教场所等重点场所和公共交通工具的管理，落实科学佩戴口罩、测量体温、查验健康码、行程码和接种记录等措施。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color w:val="000000"/>
          <w:kern w:val="0"/>
          <w:sz w:val="32"/>
          <w:szCs w:val="32"/>
          <w:lang w:val="en-US" w:eastAsia="zh-CN" w:bidi="ar"/>
        </w:rPr>
        <w:t>5、严格落实返镇人员核酸查验。</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2022年3月15日前，所有发生确诊病例的省外返（来）溆人员都必须携带48小时内核酸检测阴性报告才能返溆，且返溆后24时之内再进行一次核酸检测，并居家自我隔离、健康监测14天。2022年3月15日后，即使没有本土病例报告省份的返溆人员也需持48小时内核酸检测阴性证明。</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000000"/>
          <w:kern w:val="0"/>
          <w:sz w:val="32"/>
          <w:szCs w:val="32"/>
          <w:lang w:val="en-US" w:eastAsia="zh-CN" w:bidi="ar"/>
        </w:rPr>
        <w:t>6、动态调整管控方式要密切关注疫情发展变化。</w:t>
      </w:r>
      <w:r>
        <w:rPr>
          <w:rFonts w:ascii="仿宋_GB2312" w:hAnsi="仿宋_GB2312" w:eastAsia="仿宋_GB2312" w:cs="仿宋_GB2312"/>
          <w:color w:val="000000"/>
          <w:kern w:val="0"/>
          <w:sz w:val="32"/>
          <w:szCs w:val="32"/>
          <w:lang w:val="en-US" w:eastAsia="zh-CN" w:bidi="ar"/>
        </w:rPr>
        <w:t>中高风险地区、封控区域调整变化，及时调整管控方式。要加强节假日</w:t>
      </w:r>
      <w:r>
        <w:rPr>
          <w:rFonts w:hint="eastAsia" w:ascii="仿宋_GB2312" w:hAnsi="仿宋_GB2312" w:eastAsia="仿宋_GB2312" w:cs="仿宋_GB2312"/>
          <w:color w:val="000000"/>
          <w:kern w:val="0"/>
          <w:sz w:val="32"/>
          <w:szCs w:val="32"/>
          <w:lang w:val="en-US" w:eastAsia="zh-CN" w:bidi="ar"/>
        </w:rPr>
        <w:t>返镇</w:t>
      </w:r>
      <w:r>
        <w:rPr>
          <w:rFonts w:ascii="仿宋_GB2312" w:hAnsi="仿宋_GB2312" w:eastAsia="仿宋_GB2312" w:cs="仿宋_GB2312"/>
          <w:color w:val="000000"/>
          <w:kern w:val="0"/>
          <w:sz w:val="32"/>
          <w:szCs w:val="32"/>
          <w:lang w:val="en-US" w:eastAsia="zh-CN" w:bidi="ar"/>
        </w:rPr>
        <w:t>人员的登记摸排和健康监测，落实高风险接触者、健康码红黄码人员、来自疫情发生地人员、涉疫群体等人员的防疫服务和管控，按要求做好隔离观察（健康监测）和核酸检测等工作。</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000000"/>
          <w:kern w:val="0"/>
          <w:sz w:val="32"/>
          <w:szCs w:val="32"/>
          <w:lang w:val="en-US" w:eastAsia="zh-CN" w:bidi="ar"/>
        </w:rPr>
        <w:t>7、加大疫情防控的宣传力度。</w:t>
      </w:r>
      <w:r>
        <w:rPr>
          <w:rFonts w:hint="eastAsia" w:ascii="仿宋" w:hAnsi="仿宋" w:eastAsia="仿宋" w:cs="仿宋"/>
          <w:b w:val="0"/>
          <w:bCs w:val="0"/>
          <w:sz w:val="32"/>
          <w:szCs w:val="32"/>
          <w:lang w:val="en-US" w:eastAsia="zh-CN"/>
        </w:rPr>
        <w:t>一是利用镇微信工作群、村为民服务微信群发布疫情防控相关提示，上门发放疫情防控温馨提示宣传单；二是“村村响</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响起来，早中晚播报疫情防控音频进行广泛宣传；三是通过宣传车、电喇叭、移动音箱进村组进行宣传。让疫情防控的各项政策宣传遍布到村到组到户，深入老百姓的心里，筑牢疫情防控人民防线。</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（二）疫苗加强针接种工作</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一是参照未接种加强针人员名单，“敲门”逐户逐人排查，通知其去就近接种点进行接种，登记好未接种人员姓名、去向及未接种原因；二是收集好县外省内和省外务工人员的接种证明。</w:t>
      </w:r>
    </w:p>
    <w:p>
      <w:pPr>
        <w:keepNext w:val="0"/>
        <w:keepLines w:val="0"/>
        <w:pageBreakBefore w:val="0"/>
        <w:widowControl w:val="0"/>
        <w:kinsoku/>
        <w:wordWrap/>
        <w:overflowPunct/>
        <w:topLinePunct w:val="0"/>
        <w:bidi w:val="0"/>
        <w:adjustRightInd/>
        <w:snapToGrid/>
        <w:spacing w:line="520" w:lineRule="exact"/>
        <w:ind w:firstLine="643" w:firstLineChars="200"/>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（三）安全生产工作</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消防安全：提高思想认识，压实责任落实，按照郑湘书记在全县安全会议上的要求，对自然院落、团寨，特别是重点人群要开展“敲门行动”，坚决不放过一个细节、不留下一处隐患；</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交通安全：做好安全劝导工作，禁止违规超载、非法营运、酒后驾驶等行为的出现；</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预防一氧化碳中毒：各村扎实开展宣传和排查，积极转发预防一氧化碳中毒的相关宣传信息，利用村村响每天播放，做好防范措施等。</w:t>
      </w:r>
    </w:p>
    <w:p>
      <w:pPr>
        <w:keepNext w:val="0"/>
        <w:keepLines w:val="0"/>
        <w:pageBreakBefore w:val="0"/>
        <w:widowControl w:val="0"/>
        <w:numPr>
          <w:ilvl w:val="0"/>
          <w:numId w:val="1"/>
        </w:numPr>
        <w:kinsoku/>
        <w:wordWrap/>
        <w:overflowPunct/>
        <w:topLinePunct w:val="0"/>
        <w:bidi w:val="0"/>
        <w:adjustRightInd/>
        <w:snapToGrid/>
        <w:spacing w:line="5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信访维稳工作</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严格落实“五包一”包保责任，责任上肩，措施要严。各村（社区）要加大排查化解矛盾纠纷力度，确保微事不出网格、小事不出村、大事不出镇、疑难杂症不出县。</w:t>
      </w:r>
    </w:p>
    <w:p>
      <w:pPr>
        <w:keepNext w:val="0"/>
        <w:keepLines w:val="0"/>
        <w:pageBreakBefore w:val="0"/>
        <w:widowControl w:val="0"/>
        <w:numPr>
          <w:ilvl w:val="0"/>
          <w:numId w:val="1"/>
        </w:numPr>
        <w:kinsoku/>
        <w:wordWrap/>
        <w:overflowPunct/>
        <w:topLinePunct w:val="0"/>
        <w:bidi w:val="0"/>
        <w:adjustRightInd/>
        <w:snapToGrid/>
        <w:spacing w:line="5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宣传工作</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关注推广溆浦发布、均坪“眼”抖音号。</w:t>
      </w:r>
    </w:p>
    <w:p>
      <w:pPr>
        <w:keepNext w:val="0"/>
        <w:keepLines w:val="0"/>
        <w:pageBreakBefore w:val="0"/>
        <w:widowControl w:val="0"/>
        <w:numPr>
          <w:ilvl w:val="0"/>
          <w:numId w:val="0"/>
        </w:numPr>
        <w:kinsoku/>
        <w:wordWrap/>
        <w:overflowPunct/>
        <w:topLinePunct w:val="0"/>
        <w:bidi w:val="0"/>
        <w:adjustRightInd/>
        <w:snapToGrid/>
        <w:spacing w:line="5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（六）征兵工作</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做好大学毕业生征兵报名摸底工作，做好政策宣传和讲解。统计好有参军志愿的人员名单，做好登记工作。</w:t>
      </w:r>
    </w:p>
    <w:p>
      <w:pPr>
        <w:keepNext w:val="0"/>
        <w:keepLines w:val="0"/>
        <w:pageBreakBefore w:val="0"/>
        <w:widowControl w:val="0"/>
        <w:numPr>
          <w:ilvl w:val="0"/>
          <w:numId w:val="0"/>
        </w:numPr>
        <w:kinsoku/>
        <w:wordWrap/>
        <w:overflowPunct/>
        <w:topLinePunct w:val="0"/>
        <w:bidi w:val="0"/>
        <w:adjustRightInd/>
        <w:snapToGrid/>
        <w:spacing w:line="520" w:lineRule="exact"/>
        <w:ind w:leftChars="200"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（七）其他工作</w:t>
      </w:r>
    </w:p>
    <w:p>
      <w:pPr>
        <w:keepNext w:val="0"/>
        <w:keepLines w:val="0"/>
        <w:pageBreakBefore w:val="0"/>
        <w:widowControl w:val="0"/>
        <w:numPr>
          <w:ilvl w:val="0"/>
          <w:numId w:val="0"/>
        </w:numPr>
        <w:kinsoku/>
        <w:wordWrap/>
        <w:overflowPunct/>
        <w:topLinePunct w:val="0"/>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四、工作措施</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在“敲门行动”中表现优异的在读大学生授予志愿者服务证书并向所在学校予以通报；对表现优异的党员进行全镇通报表扬；将参与行动表现优异的入党积极分子给予加分并纳入现实表现；对参与行动的其他人士给予全镇通报表扬和社会面宣传；各村（社区）开展“敲门行动”情况将纳入年底评先评优考核。</w:t>
      </w:r>
    </w:p>
    <w:p>
      <w:pPr>
        <w:pStyle w:val="2"/>
        <w:numPr>
          <w:ilvl w:val="0"/>
          <w:numId w:val="0"/>
        </w:numPr>
        <w:ind w:leftChars="200"/>
        <w:outlineLvl w:val="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317B1"/>
    <w:multiLevelType w:val="singleLevel"/>
    <w:tmpl w:val="BE3317B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42B5"/>
    <w:rsid w:val="060932EE"/>
    <w:rsid w:val="2DFC210C"/>
    <w:rsid w:val="3B9F1DE5"/>
    <w:rsid w:val="58212E2C"/>
    <w:rsid w:val="5A647E1E"/>
    <w:rsid w:val="774E16D5"/>
    <w:rsid w:val="786B7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Body Text Indent"/>
    <w:basedOn w:val="1"/>
    <w:qFormat/>
    <w:uiPriority w:val="99"/>
    <w:pPr>
      <w:ind w:firstLine="720" w:firstLineChars="200"/>
    </w:pPr>
    <w:rPr>
      <w:rFonts w:eastAsia="仿宋_GB2312"/>
      <w:sz w:val="36"/>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0"/>
    <w:pPr>
      <w:widowControl w:val="0"/>
      <w:jc w:val="both"/>
    </w:pPr>
    <w:rPr>
      <w:rFonts w:ascii="Calibri" w:hAnsi="Calibri" w:eastAsia="宋体" w:cs="Times New Roman"/>
      <w:kern w:val="2"/>
      <w:sz w:val="24"/>
      <w:szCs w:val="24"/>
      <w:lang w:val="en-US" w:eastAsia="zh-CN" w:bidi="ar-SA"/>
    </w:rPr>
  </w:style>
  <w:style w:type="paragraph" w:styleId="9">
    <w:name w:val="Body Text First Indent 2"/>
    <w:basedOn w:val="4"/>
    <w:next w:val="1"/>
    <w:qFormat/>
    <w:uiPriority w:val="99"/>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2022-01-13T22:24:00Z</dcterms:created>
  <dc:creator>Administrator</dc:creator>
  <cp:lastModifiedBy>Lily</cp:lastModifiedBy>
  <cp:lastPrinted>2022-01-19T02:43:00Z</cp:lastPrinted>
  <dcterms:modified xsi:type="dcterms:W3CDTF">2022-01-24T02:38:05Z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8FA8FC57ED614FE7A50E3DF7207B931B</vt:lpwstr>
  </property>
</Properties>
</file>