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3E59E">
      <w:pPr>
        <w:pStyle w:val="13"/>
        <w:shd w:val="clear"/>
        <w:jc w:val="both"/>
        <w:rPr>
          <w:rFonts w:hAnsi="黑体"/>
          <w:sz w:val="36"/>
          <w:szCs w:val="36"/>
        </w:rPr>
      </w:pPr>
      <w:r>
        <w:rPr>
          <w:rFonts w:hint="eastAsia" w:hAnsi="黑体"/>
          <w:sz w:val="36"/>
          <w:szCs w:val="36"/>
        </w:rPr>
        <w:t>附件1</w:t>
      </w:r>
    </w:p>
    <w:p w14:paraId="44E13C75">
      <w:pPr>
        <w:pStyle w:val="13"/>
        <w:shd w:val="clear"/>
        <w:jc w:val="center"/>
        <w:rPr>
          <w:rFonts w:ascii="Times New Roman" w:hAnsi="Times New Roman" w:cs="Times New Roman"/>
          <w:sz w:val="56"/>
          <w:szCs w:val="56"/>
        </w:rPr>
      </w:pPr>
    </w:p>
    <w:p w14:paraId="503CB922">
      <w:pPr>
        <w:pStyle w:val="13"/>
        <w:shd w:val="clear"/>
        <w:jc w:val="center"/>
        <w:rPr>
          <w:rFonts w:ascii="Times New Roman" w:hAnsi="Times New Roman" w:cs="Times New Roman"/>
          <w:sz w:val="84"/>
          <w:szCs w:val="84"/>
        </w:rPr>
      </w:pPr>
    </w:p>
    <w:p w14:paraId="4B626E8C">
      <w:pPr>
        <w:pStyle w:val="13"/>
        <w:shd w:val="clear"/>
        <w:jc w:val="center"/>
        <w:rPr>
          <w:rFonts w:ascii="Times New Roman" w:hAnsi="Times New Roman" w:cs="Times New Roman"/>
          <w:sz w:val="84"/>
          <w:szCs w:val="84"/>
        </w:rPr>
      </w:pPr>
    </w:p>
    <w:p w14:paraId="57CBE71B">
      <w:pPr>
        <w:pStyle w:val="13"/>
        <w:shd w:val="clear"/>
        <w:jc w:val="center"/>
        <w:rPr>
          <w:rFonts w:hint="eastAsia" w:asciiTheme="majorEastAsia" w:hAnsiTheme="majorEastAsia" w:eastAsiaTheme="majorEastAsia" w:cstheme="majorEastAsia"/>
          <w:b/>
          <w:bCs/>
          <w:sz w:val="56"/>
          <w:szCs w:val="56"/>
        </w:rPr>
      </w:pPr>
      <w:r>
        <w:rPr>
          <w:rFonts w:hint="eastAsia" w:asciiTheme="majorEastAsia" w:hAnsiTheme="majorEastAsia" w:eastAsiaTheme="majorEastAsia" w:cstheme="majorEastAsia"/>
          <w:b/>
          <w:bCs/>
          <w:sz w:val="56"/>
          <w:szCs w:val="56"/>
        </w:rPr>
        <w:t>2024年度</w:t>
      </w:r>
    </w:p>
    <w:p w14:paraId="3A066993">
      <w:pPr>
        <w:pStyle w:val="13"/>
        <w:shd w:val="clear"/>
        <w:jc w:val="center"/>
        <w:rPr>
          <w:rFonts w:ascii="Times New Roman" w:hAnsi="Times New Roman" w:eastAsia="方正小标宋简体" w:cs="Times New Roman"/>
          <w:b/>
          <w:bCs/>
          <w:sz w:val="56"/>
          <w:szCs w:val="56"/>
        </w:rPr>
      </w:pPr>
      <w:r>
        <w:rPr>
          <w:rFonts w:hint="eastAsia" w:asciiTheme="majorEastAsia" w:hAnsiTheme="majorEastAsia" w:eastAsiaTheme="majorEastAsia" w:cstheme="majorEastAsia"/>
          <w:b/>
          <w:bCs/>
          <w:sz w:val="56"/>
          <w:szCs w:val="56"/>
          <w:lang w:val="en-US" w:eastAsia="zh-CN"/>
        </w:rPr>
        <w:t>溆浦县舒溶溪乡中学部门</w:t>
      </w:r>
      <w:r>
        <w:rPr>
          <w:rFonts w:hint="eastAsia" w:asciiTheme="majorEastAsia" w:hAnsiTheme="majorEastAsia" w:eastAsiaTheme="majorEastAsia" w:cstheme="majorEastAsia"/>
          <w:b/>
          <w:bCs/>
          <w:sz w:val="56"/>
          <w:szCs w:val="56"/>
        </w:rPr>
        <w:t>决算</w:t>
      </w:r>
    </w:p>
    <w:p w14:paraId="2CBDC206">
      <w:pPr>
        <w:pStyle w:val="13"/>
        <w:shd w:val="clear"/>
        <w:jc w:val="center"/>
        <w:rPr>
          <w:rFonts w:ascii="Times New Roman" w:hAnsi="Times New Roman" w:eastAsia="方正小标宋简体" w:cs="Times New Roman"/>
          <w:b/>
          <w:bCs/>
          <w:sz w:val="72"/>
          <w:szCs w:val="72"/>
        </w:rPr>
      </w:pPr>
    </w:p>
    <w:p w14:paraId="2E077E0C">
      <w:pPr>
        <w:pStyle w:val="13"/>
        <w:shd w:val="clear"/>
        <w:jc w:val="center"/>
        <w:rPr>
          <w:rFonts w:ascii="Times New Roman" w:hAnsi="Times New Roman" w:cs="Times New Roman"/>
          <w:sz w:val="56"/>
          <w:szCs w:val="56"/>
        </w:rPr>
      </w:pPr>
    </w:p>
    <w:p w14:paraId="0C2AEE4C">
      <w:pPr>
        <w:pStyle w:val="13"/>
        <w:shd w:val="clear"/>
        <w:rPr>
          <w:rFonts w:ascii="Times New Roman" w:hAnsi="Times New Roman" w:cs="Times New Roman"/>
          <w:sz w:val="56"/>
          <w:szCs w:val="56"/>
        </w:rPr>
      </w:pPr>
    </w:p>
    <w:p w14:paraId="349C429D">
      <w:pPr>
        <w:pStyle w:val="13"/>
        <w:shd w:val="clear"/>
        <w:jc w:val="center"/>
        <w:rPr>
          <w:rFonts w:ascii="Times New Roman" w:hAnsi="Times New Roman" w:cs="Times New Roman"/>
          <w:sz w:val="32"/>
          <w:szCs w:val="32"/>
        </w:rPr>
      </w:pPr>
    </w:p>
    <w:p w14:paraId="641A82BF">
      <w:pPr>
        <w:pStyle w:val="13"/>
        <w:shd w:val="clear"/>
        <w:jc w:val="center"/>
        <w:rPr>
          <w:rFonts w:ascii="Times New Roman" w:hAnsi="Times New Roman" w:cs="Times New Roman"/>
          <w:sz w:val="32"/>
          <w:szCs w:val="32"/>
        </w:rPr>
      </w:pPr>
    </w:p>
    <w:p w14:paraId="486B7518">
      <w:pPr>
        <w:pStyle w:val="13"/>
        <w:shd w:val="clear"/>
        <w:jc w:val="center"/>
        <w:rPr>
          <w:rFonts w:ascii="Times New Roman" w:hAnsi="Times New Roman" w:cs="Times New Roman"/>
          <w:sz w:val="32"/>
          <w:szCs w:val="32"/>
        </w:rPr>
      </w:pPr>
    </w:p>
    <w:p w14:paraId="0BAE3CE3">
      <w:pPr>
        <w:pStyle w:val="13"/>
        <w:shd w:val="clear"/>
        <w:jc w:val="center"/>
        <w:rPr>
          <w:rFonts w:ascii="Times New Roman" w:hAnsi="Times New Roman" w:cs="Times New Roman"/>
          <w:sz w:val="32"/>
          <w:szCs w:val="32"/>
        </w:rPr>
      </w:pPr>
    </w:p>
    <w:p w14:paraId="499DEC96">
      <w:pPr>
        <w:pStyle w:val="13"/>
        <w:shd w:val="clear"/>
        <w:jc w:val="center"/>
        <w:rPr>
          <w:rFonts w:ascii="Times New Roman" w:hAnsi="Times New Roman" w:cs="Times New Roman"/>
          <w:sz w:val="32"/>
          <w:szCs w:val="32"/>
        </w:rPr>
      </w:pPr>
    </w:p>
    <w:p w14:paraId="737E678C">
      <w:pPr>
        <w:pStyle w:val="13"/>
        <w:shd w:val="clear"/>
        <w:jc w:val="center"/>
        <w:rPr>
          <w:rFonts w:ascii="Times New Roman" w:hAnsi="Times New Roman" w:cs="Times New Roman"/>
          <w:sz w:val="32"/>
          <w:szCs w:val="32"/>
        </w:rPr>
      </w:pPr>
    </w:p>
    <w:p w14:paraId="77F1455F">
      <w:pPr>
        <w:pStyle w:val="13"/>
        <w:shd w:val="clear"/>
        <w:spacing w:line="540" w:lineRule="exact"/>
        <w:jc w:val="center"/>
        <w:rPr>
          <w:rFonts w:ascii="Times New Roman" w:hAnsi="Times New Roman" w:cs="Times New Roman"/>
          <w:sz w:val="56"/>
          <w:szCs w:val="56"/>
        </w:rPr>
      </w:pPr>
    </w:p>
    <w:p w14:paraId="1BB19849">
      <w:pPr>
        <w:shd w:val="clea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92AB913">
      <w:pPr>
        <w:pStyle w:val="13"/>
        <w:shd w:val="clear"/>
        <w:spacing w:line="600" w:lineRule="exact"/>
        <w:jc w:val="both"/>
        <w:rPr>
          <w:rFonts w:ascii="Times New Roman" w:hAnsi="Times New Roman" w:cs="Times New Roman"/>
          <w:b/>
          <w:sz w:val="36"/>
          <w:szCs w:val="28"/>
        </w:rPr>
      </w:pPr>
    </w:p>
    <w:p w14:paraId="1AD7665A">
      <w:pPr>
        <w:pStyle w:val="13"/>
        <w:shd w:val="clear"/>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B4DE4E2">
      <w:pPr>
        <w:pStyle w:val="13"/>
        <w:shd w:val="clear"/>
        <w:spacing w:line="600" w:lineRule="exact"/>
        <w:jc w:val="center"/>
        <w:rPr>
          <w:rFonts w:ascii="Times New Roman" w:hAnsi="Times New Roman" w:cs="Times New Roman"/>
          <w:b/>
          <w:sz w:val="36"/>
          <w:szCs w:val="28"/>
        </w:rPr>
      </w:pPr>
    </w:p>
    <w:p w14:paraId="61A011F8">
      <w:pPr>
        <w:pStyle w:val="13"/>
        <w:shd w:val="clear"/>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溆浦县舒溶溪乡中学</w:t>
      </w:r>
      <w:r>
        <w:rPr>
          <w:rFonts w:ascii="Times New Roman" w:hAnsi="Times New Roman" w:cs="Times New Roman"/>
          <w:bCs/>
          <w:sz w:val="32"/>
          <w:szCs w:val="32"/>
        </w:rPr>
        <w:t>概况</w:t>
      </w:r>
    </w:p>
    <w:p w14:paraId="2958D4C2">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224B105">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253ACA5">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585BB493">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F40740B">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0ABBB14">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27674EC">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3F2D361">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00A96ED">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C60BBCE">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0595001">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AB1C97F">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4F42D22">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5363BD09">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90B721F">
      <w:pPr>
        <w:shd w:val="clea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DCE5D8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0AC5916">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C84EB58">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A34D80B">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2BCDEFD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4788EF8">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992CC3C">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A2AEF0D">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0DACAE08">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EA61D59">
      <w:pPr>
        <w:shd w:val="clea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107F30EF">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13C0F902">
      <w:pPr>
        <w:pStyle w:val="13"/>
        <w:shd w:val="clear"/>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6A81BB26">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1D6E6362">
      <w:pPr>
        <w:pStyle w:val="13"/>
        <w:shd w:val="clear"/>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7E59737E">
      <w:pPr>
        <w:pStyle w:val="13"/>
        <w:shd w:val="clear"/>
        <w:spacing w:line="600" w:lineRule="exact"/>
        <w:rPr>
          <w:rFonts w:ascii="Times New Roman" w:hAnsi="Times New Roman" w:cs="Times New Roman"/>
          <w:bCs/>
          <w:sz w:val="28"/>
          <w:szCs w:val="28"/>
        </w:rPr>
      </w:pPr>
    </w:p>
    <w:p w14:paraId="1F3E9D61">
      <w:pPr>
        <w:shd w:val="clear"/>
        <w:jc w:val="center"/>
        <w:rPr>
          <w:rFonts w:ascii="Times New Roman" w:hAnsi="Times New Roman" w:cs="Times New Roman"/>
          <w:sz w:val="72"/>
          <w:szCs w:val="72"/>
        </w:rPr>
      </w:pPr>
    </w:p>
    <w:p w14:paraId="65C22583">
      <w:pPr>
        <w:shd w:val="clear"/>
        <w:jc w:val="center"/>
        <w:rPr>
          <w:rFonts w:ascii="Times New Roman" w:hAnsi="Times New Roman" w:cs="Times New Roman"/>
          <w:sz w:val="72"/>
          <w:szCs w:val="72"/>
        </w:rPr>
      </w:pPr>
    </w:p>
    <w:p w14:paraId="2609B478">
      <w:pPr>
        <w:shd w:val="clear"/>
        <w:jc w:val="center"/>
        <w:rPr>
          <w:rFonts w:ascii="Times New Roman" w:hAnsi="Times New Roman" w:cs="Times New Roman"/>
          <w:sz w:val="72"/>
          <w:szCs w:val="72"/>
        </w:rPr>
      </w:pPr>
    </w:p>
    <w:p w14:paraId="38129EB9">
      <w:pPr>
        <w:pStyle w:val="7"/>
        <w:shd w:val="clear"/>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3E5C1C65">
      <w:pPr>
        <w:shd w:val="clear"/>
        <w:rPr>
          <w:rFonts w:ascii="Times New Roman" w:hAnsi="Times New Roman" w:eastAsia="方正小标宋_GBK" w:cs="Times New Roman"/>
          <w:sz w:val="72"/>
          <w:szCs w:val="72"/>
        </w:rPr>
      </w:pPr>
    </w:p>
    <w:p w14:paraId="629D0183">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B390E60">
      <w:pPr>
        <w:pStyle w:val="13"/>
        <w:shd w:val="clear"/>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溆浦县舒溶溪乡中学</w:t>
      </w:r>
      <w:r>
        <w:rPr>
          <w:rFonts w:ascii="Times New Roman" w:hAnsi="Times New Roman" w:eastAsia="方正小标宋_GBK" w:cs="Times New Roman"/>
          <w:sz w:val="52"/>
          <w:szCs w:val="52"/>
        </w:rPr>
        <w:t>概况</w:t>
      </w:r>
    </w:p>
    <w:p w14:paraId="11D425DE">
      <w:pPr>
        <w:pStyle w:val="3"/>
        <w:shd w:val="clear"/>
        <w:ind w:left="0" w:leftChars="0" w:firstLine="0" w:firstLineChars="0"/>
        <w:rPr>
          <w:rFonts w:ascii="Times New Roman" w:hAnsi="Times New Roman" w:cs="Times New Roman"/>
        </w:rPr>
      </w:pPr>
    </w:p>
    <w:p w14:paraId="7F51A8EC">
      <w:pPr>
        <w:pStyle w:val="14"/>
        <w:shd w:val="clear"/>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4A49D55">
      <w:pPr>
        <w:shd w:val="clear"/>
        <w:spacing w:line="600" w:lineRule="exact"/>
        <w:ind w:firstLine="800" w:firstLineChars="250"/>
        <w:jc w:val="left"/>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全面贯彻执行党和国家有关学生教育的方针、政策及相关的法律法规，坚持依法治教、依法治学，执行国家教育教学标准，贯彻执行县教育局的行政规章制度，保证教育教学质量。</w:t>
      </w:r>
    </w:p>
    <w:p w14:paraId="734F5E3C">
      <w:pPr>
        <w:shd w:val="clea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加强学校领导班子和教职工队伍建设，不断提高队伍素质。</w:t>
      </w:r>
    </w:p>
    <w:p w14:paraId="42584AD3">
      <w:pPr>
        <w:shd w:val="clea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rPr>
        <w:t>遵循学生身心发展规律和社会发展要求，培养学生良好的行为习惯，引导学生从小逐步树立正确的世界观、人生观和价值观。</w:t>
      </w:r>
    </w:p>
    <w:p w14:paraId="0F9EE70F">
      <w:pPr>
        <w:shd w:val="clea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rPr>
        <w:t>遵循教学规律，深化课堂教育改革，减轻学生课业负担，全面提高教育教学质量，促进学生全面发展。</w:t>
      </w:r>
    </w:p>
    <w:p w14:paraId="058008C8">
      <w:pPr>
        <w:shd w:val="clear"/>
        <w:spacing w:line="600" w:lineRule="exact"/>
        <w:ind w:firstLine="800" w:firstLineChars="2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五）</w:t>
      </w:r>
      <w:r>
        <w:rPr>
          <w:rFonts w:hint="eastAsia" w:ascii="Times New Roman" w:hAnsi="Times New Roman" w:eastAsia="仿宋_GB2312" w:cs="Times New Roman"/>
          <w:sz w:val="32"/>
          <w:szCs w:val="32"/>
        </w:rPr>
        <w:t>做好校园安全工作，开展师生安全教育，健全安全应急机制，定期进行安全隐患排查，确保师生在校期间的安全。</w:t>
      </w:r>
    </w:p>
    <w:p w14:paraId="7DFAD2C7">
      <w:pPr>
        <w:shd w:val="clea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六）</w:t>
      </w:r>
      <w:r>
        <w:rPr>
          <w:rFonts w:hint="eastAsia" w:ascii="Times New Roman" w:hAnsi="Times New Roman" w:eastAsia="仿宋_GB2312" w:cs="Times New Roman"/>
          <w:sz w:val="32"/>
          <w:szCs w:val="32"/>
        </w:rPr>
        <w:t>做好初中学历教育及相关的社会服务，促进基础教育发展。</w:t>
      </w:r>
    </w:p>
    <w:p w14:paraId="5F13F645">
      <w:pPr>
        <w:widowControl/>
        <w:shd w:val="clear"/>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D45BAD2">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本单位为县教育局下属二级预算单位，属于财政全额拨款的事业单位，内设校办、教导处、总务处、督导室等机构。共有编制人数25人，实有在职人数28人，在校学生人数343人。</w:t>
      </w:r>
    </w:p>
    <w:p w14:paraId="14459030">
      <w:pPr>
        <w:widowControl/>
        <w:shd w:val="clear"/>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溆浦县舒溶溪乡中学只有本级，没有其他</w:t>
      </w:r>
      <w:r>
        <w:rPr>
          <w:rFonts w:hint="eastAsia" w:ascii="Times New Roman" w:hAnsi="Times New Roman" w:eastAsia="仿宋_GB2312" w:cs="Times New Roman"/>
          <w:bCs/>
          <w:kern w:val="0"/>
          <w:sz w:val="32"/>
          <w:szCs w:val="32"/>
          <w:lang w:val="en-US" w:eastAsia="zh-CN"/>
        </w:rPr>
        <w:t>决算</w:t>
      </w:r>
      <w:r>
        <w:rPr>
          <w:rFonts w:hint="eastAsia" w:ascii="Times New Roman" w:hAnsi="Times New Roman" w:eastAsia="仿宋_GB2312" w:cs="Times New Roman"/>
          <w:bCs/>
          <w:kern w:val="0"/>
          <w:sz w:val="32"/>
          <w:szCs w:val="32"/>
        </w:rPr>
        <w:t>单位，因此本部门</w:t>
      </w:r>
      <w:r>
        <w:rPr>
          <w:rFonts w:hint="eastAsia" w:ascii="Times New Roman" w:hAnsi="Times New Roman" w:eastAsia="仿宋_GB2312" w:cs="Times New Roman"/>
          <w:bCs/>
          <w:kern w:val="0"/>
          <w:sz w:val="32"/>
          <w:szCs w:val="32"/>
          <w:lang w:val="en-US" w:eastAsia="zh-CN"/>
        </w:rPr>
        <w:t>决算</w:t>
      </w:r>
      <w:r>
        <w:rPr>
          <w:rFonts w:hint="eastAsia" w:ascii="Times New Roman" w:hAnsi="Times New Roman" w:eastAsia="仿宋_GB2312" w:cs="Times New Roman"/>
          <w:bCs/>
          <w:kern w:val="0"/>
          <w:sz w:val="32"/>
          <w:szCs w:val="32"/>
        </w:rPr>
        <w:t>仅含本级</w:t>
      </w:r>
      <w:r>
        <w:rPr>
          <w:rFonts w:hint="eastAsia" w:ascii="Times New Roman" w:hAnsi="Times New Roman" w:eastAsia="仿宋_GB2312" w:cs="Times New Roman"/>
          <w:bCs/>
          <w:kern w:val="0"/>
          <w:sz w:val="32"/>
          <w:szCs w:val="32"/>
          <w:lang w:val="en-US" w:eastAsia="zh-CN"/>
        </w:rPr>
        <w:t>决算</w:t>
      </w:r>
      <w:r>
        <w:rPr>
          <w:rFonts w:hint="eastAsia" w:ascii="Times New Roman" w:hAnsi="Times New Roman" w:eastAsia="仿宋_GB2312" w:cs="Times New Roman"/>
          <w:bCs/>
          <w:kern w:val="0"/>
          <w:sz w:val="32"/>
          <w:szCs w:val="32"/>
        </w:rPr>
        <w:t>。</w:t>
      </w:r>
    </w:p>
    <w:p w14:paraId="20178DA2">
      <w:pPr>
        <w:shd w:val="clear"/>
        <w:jc w:val="left"/>
        <w:rPr>
          <w:rFonts w:ascii="Times New Roman" w:hAnsi="Times New Roman" w:eastAsia="仿宋_GB2312" w:cs="Times New Roman"/>
          <w:sz w:val="28"/>
          <w:szCs w:val="32"/>
        </w:rPr>
      </w:pPr>
    </w:p>
    <w:p w14:paraId="142D7E90">
      <w:pPr>
        <w:shd w:val="clear"/>
        <w:jc w:val="center"/>
        <w:rPr>
          <w:rFonts w:ascii="Times New Roman" w:hAnsi="Times New Roman" w:eastAsia="黑体" w:cs="Times New Roman"/>
          <w:sz w:val="28"/>
          <w:szCs w:val="28"/>
        </w:rPr>
      </w:pPr>
    </w:p>
    <w:p w14:paraId="2C66B519">
      <w:pPr>
        <w:shd w:val="clear"/>
        <w:jc w:val="center"/>
        <w:rPr>
          <w:rFonts w:ascii="Times New Roman" w:hAnsi="Times New Roman" w:eastAsia="黑体" w:cs="Times New Roman"/>
          <w:sz w:val="28"/>
          <w:szCs w:val="28"/>
        </w:rPr>
      </w:pPr>
    </w:p>
    <w:p w14:paraId="24CB0B45">
      <w:pPr>
        <w:shd w:val="clear"/>
        <w:jc w:val="center"/>
        <w:rPr>
          <w:rFonts w:ascii="Times New Roman" w:hAnsi="Times New Roman" w:eastAsia="黑体" w:cs="Times New Roman"/>
          <w:sz w:val="28"/>
          <w:szCs w:val="28"/>
        </w:rPr>
      </w:pPr>
    </w:p>
    <w:p w14:paraId="7980B2A9">
      <w:pPr>
        <w:shd w:val="clear"/>
        <w:jc w:val="center"/>
        <w:rPr>
          <w:rFonts w:ascii="Times New Roman" w:hAnsi="Times New Roman" w:eastAsia="黑体" w:cs="Times New Roman"/>
          <w:sz w:val="28"/>
          <w:szCs w:val="28"/>
        </w:rPr>
      </w:pPr>
    </w:p>
    <w:p w14:paraId="4F2BEBEB">
      <w:pPr>
        <w:shd w:val="clear"/>
        <w:jc w:val="center"/>
        <w:rPr>
          <w:rFonts w:ascii="Times New Roman" w:hAnsi="Times New Roman" w:eastAsia="黑体" w:cs="Times New Roman"/>
          <w:sz w:val="28"/>
          <w:szCs w:val="28"/>
        </w:rPr>
      </w:pPr>
    </w:p>
    <w:p w14:paraId="41865578">
      <w:pPr>
        <w:pStyle w:val="7"/>
        <w:shd w:val="clear"/>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8FC32DB">
      <w:pPr>
        <w:pStyle w:val="13"/>
        <w:shd w:val="clea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72E40974">
      <w:pPr>
        <w:widowControl/>
        <w:shd w:val="clear"/>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4EDD7A13">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88FB035">
      <w:pPr>
        <w:widowControl/>
        <w:shd w:val="clear"/>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40"/>
        <w:gridCol w:w="946"/>
        <w:gridCol w:w="1438"/>
        <w:gridCol w:w="4388"/>
        <w:gridCol w:w="946"/>
        <w:gridCol w:w="1438"/>
      </w:tblGrid>
      <w:tr w14:paraId="295567FC">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343A">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589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0924E1E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62B2">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60EA">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AB6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4A01">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6E06">
            <w:pPr>
              <w:widowControl/>
              <w:shd w:val="clear"/>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6F8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510E0F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4CF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B2F4">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9F80">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624B">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62B0">
            <w:pPr>
              <w:shd w:val="clea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3487">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68AD866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1A92">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A453D">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54BA">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2603">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060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D41D">
            <w:pPr>
              <w:shd w:val="clear"/>
              <w:jc w:val="right"/>
              <w:rPr>
                <w:rFonts w:ascii="Times New Roman" w:hAnsi="Times New Roman" w:eastAsia="仿宋_GB2312" w:cs="Times New Roman"/>
                <w:color w:val="000000"/>
                <w:sz w:val="22"/>
              </w:rPr>
            </w:pPr>
          </w:p>
        </w:tc>
      </w:tr>
      <w:tr w14:paraId="041897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1A81">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4BBE">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F0AB">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5B32">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6A90">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B9D2">
            <w:pPr>
              <w:shd w:val="clear"/>
              <w:jc w:val="right"/>
              <w:rPr>
                <w:rFonts w:ascii="Times New Roman" w:hAnsi="Times New Roman" w:eastAsia="仿宋_GB2312" w:cs="Times New Roman"/>
                <w:color w:val="000000"/>
                <w:sz w:val="22"/>
              </w:rPr>
            </w:pPr>
          </w:p>
        </w:tc>
      </w:tr>
      <w:tr w14:paraId="608A987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322B">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2F8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BAD3">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D2F0">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AED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A024">
            <w:pPr>
              <w:shd w:val="clear"/>
              <w:jc w:val="right"/>
              <w:rPr>
                <w:rFonts w:ascii="Times New Roman" w:hAnsi="Times New Roman" w:eastAsia="仿宋_GB2312" w:cs="Times New Roman"/>
                <w:color w:val="000000"/>
                <w:sz w:val="22"/>
              </w:rPr>
            </w:pPr>
          </w:p>
        </w:tc>
      </w:tr>
      <w:tr w14:paraId="0A144046">
        <w:tblPrEx>
          <w:tblCellMar>
            <w:top w:w="0" w:type="dxa"/>
            <w:left w:w="108" w:type="dxa"/>
            <w:bottom w:w="0" w:type="dxa"/>
            <w:right w:w="108" w:type="dxa"/>
          </w:tblCellMar>
        </w:tblPrEx>
        <w:trPr>
          <w:trHeight w:val="335"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63E8">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35FF">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09A3">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C39F">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74B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BD4D">
            <w:pPr>
              <w:shd w:val="clear"/>
              <w:jc w:val="right"/>
              <w:rPr>
                <w:rFonts w:ascii="Times New Roman" w:hAnsi="Times New Roman" w:eastAsia="仿宋_GB2312" w:cs="Times New Roman"/>
                <w:color w:val="000000"/>
                <w:sz w:val="22"/>
              </w:rPr>
            </w:pPr>
          </w:p>
        </w:tc>
      </w:tr>
      <w:tr w14:paraId="72FB94F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0211">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E5D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E9F6">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700C">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442D">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3138">
            <w:pPr>
              <w:shd w:val="clea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570.85</w:t>
            </w:r>
          </w:p>
        </w:tc>
      </w:tr>
      <w:tr w14:paraId="69BD615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2C6D">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5E8A">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421D">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4A74">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907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E43F">
            <w:pPr>
              <w:shd w:val="clear"/>
              <w:jc w:val="right"/>
              <w:rPr>
                <w:rFonts w:ascii="Times New Roman" w:hAnsi="Times New Roman" w:eastAsia="仿宋_GB2312" w:cs="Times New Roman"/>
                <w:color w:val="000000"/>
                <w:sz w:val="22"/>
              </w:rPr>
            </w:pPr>
          </w:p>
        </w:tc>
      </w:tr>
      <w:tr w14:paraId="1008080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26EA">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BBE7">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F71A">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2349">
            <w:pPr>
              <w:widowControl/>
              <w:shd w:val="clear"/>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val="en-US" w:eastAsia="zh-CN"/>
              </w:rPr>
              <w:t>七、</w:t>
            </w:r>
            <w:r>
              <w:rPr>
                <w:rFonts w:hint="eastAsia" w:ascii="Times New Roman" w:hAnsi="Times New Roman" w:eastAsia="仿宋_GB2312" w:cs="Times New Roman"/>
                <w:color w:val="000000"/>
                <w:kern w:val="0"/>
                <w:sz w:val="24"/>
                <w:szCs w:val="24"/>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A2E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A018">
            <w:pPr>
              <w:shd w:val="clea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w:t>
            </w:r>
          </w:p>
        </w:tc>
      </w:tr>
      <w:tr w14:paraId="170EEE5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1A50">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53A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6838">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E1C2">
            <w:pPr>
              <w:shd w:val="clea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572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22E3">
            <w:pPr>
              <w:shd w:val="clear"/>
              <w:jc w:val="center"/>
              <w:rPr>
                <w:rFonts w:ascii="Times New Roman" w:hAnsi="Times New Roman" w:eastAsia="仿宋_GB2312" w:cs="Times New Roman"/>
                <w:color w:val="000000"/>
                <w:sz w:val="22"/>
              </w:rPr>
            </w:pPr>
          </w:p>
        </w:tc>
      </w:tr>
      <w:tr w14:paraId="55773F9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8EC0">
            <w:pPr>
              <w:shd w:val="clea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51C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3892">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7A7F">
            <w:pPr>
              <w:shd w:val="clea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4F84">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36D40">
            <w:pPr>
              <w:shd w:val="clear"/>
              <w:rPr>
                <w:rFonts w:ascii="Times New Roman" w:hAnsi="Times New Roman" w:eastAsia="仿宋_GB2312" w:cs="Times New Roman"/>
                <w:b/>
                <w:color w:val="000000"/>
                <w:sz w:val="22"/>
              </w:rPr>
            </w:pPr>
          </w:p>
        </w:tc>
      </w:tr>
      <w:tr w14:paraId="3BBA47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2BF7">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5F6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D189">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571.89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B7FB">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C52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9D04">
            <w:pPr>
              <w:shd w:val="clea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571.89</w:t>
            </w:r>
          </w:p>
        </w:tc>
      </w:tr>
      <w:tr w14:paraId="0014E9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1580">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A4D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26D1">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4FFE">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E70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50F3">
            <w:pPr>
              <w:shd w:val="clear"/>
              <w:jc w:val="right"/>
              <w:rPr>
                <w:rFonts w:ascii="Times New Roman" w:hAnsi="Times New Roman" w:eastAsia="仿宋_GB2312" w:cs="Times New Roman"/>
                <w:color w:val="000000"/>
                <w:sz w:val="22"/>
              </w:rPr>
            </w:pPr>
          </w:p>
        </w:tc>
      </w:tr>
      <w:tr w14:paraId="71CED6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5223">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E29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38BD">
            <w:pPr>
              <w:shd w:val="clea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0CEB">
            <w:pPr>
              <w:widowControl/>
              <w:shd w:val="clear"/>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7C5B">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ECD8">
            <w:pPr>
              <w:shd w:val="clear"/>
              <w:jc w:val="right"/>
              <w:rPr>
                <w:rFonts w:ascii="Times New Roman" w:hAnsi="Times New Roman" w:eastAsia="仿宋_GB2312" w:cs="Times New Roman"/>
                <w:color w:val="000000"/>
                <w:sz w:val="22"/>
              </w:rPr>
            </w:pPr>
          </w:p>
        </w:tc>
      </w:tr>
      <w:tr w14:paraId="416EDA6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9214">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F25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26F5">
            <w:pPr>
              <w:shd w:val="clea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571.89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F098">
            <w:pPr>
              <w:widowControl/>
              <w:shd w:val="clear"/>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4A76">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BED6">
            <w:pPr>
              <w:shd w:val="clea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571.89</w:t>
            </w:r>
          </w:p>
        </w:tc>
      </w:tr>
    </w:tbl>
    <w:p w14:paraId="1F243B62">
      <w:pPr>
        <w:widowControl/>
        <w:shd w:val="clear"/>
        <w:jc w:val="left"/>
        <w:textAlignment w:val="center"/>
        <w:rPr>
          <w:rFonts w:ascii="Times New Roman" w:hAnsi="Times New Roman" w:eastAsia="宋体" w:cs="Times New Roman"/>
          <w:color w:val="000000"/>
          <w:kern w:val="0"/>
          <w:sz w:val="24"/>
          <w:szCs w:val="24"/>
        </w:rPr>
      </w:pPr>
    </w:p>
    <w:p w14:paraId="3A25FE93">
      <w:pPr>
        <w:widowControl/>
        <w:shd w:val="clear"/>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244C47E3">
      <w:pPr>
        <w:shd w:val="clea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7779D99">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36D9C289">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46CC87C0">
      <w:pPr>
        <w:shd w:val="clea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tbl>
      <w:tblPr>
        <w:tblStyle w:val="9"/>
        <w:tblpPr w:leftFromText="180" w:rightFromText="180" w:vertAnchor="text" w:horzAnchor="page" w:tblpX="1690" w:tblpY="443"/>
        <w:tblOverlap w:val="never"/>
        <w:tblW w:w="13494" w:type="dxa"/>
        <w:tblInd w:w="0" w:type="dxa"/>
        <w:tblLayout w:type="fixed"/>
        <w:tblCellMar>
          <w:top w:w="0" w:type="dxa"/>
          <w:left w:w="0" w:type="dxa"/>
          <w:bottom w:w="0" w:type="dxa"/>
          <w:right w:w="0" w:type="dxa"/>
        </w:tblCellMar>
      </w:tblPr>
      <w:tblGrid>
        <w:gridCol w:w="1735"/>
        <w:gridCol w:w="1198"/>
        <w:gridCol w:w="1509"/>
        <w:gridCol w:w="1509"/>
        <w:gridCol w:w="1509"/>
        <w:gridCol w:w="1509"/>
        <w:gridCol w:w="1509"/>
        <w:gridCol w:w="1744"/>
        <w:gridCol w:w="1272"/>
      </w:tblGrid>
      <w:tr w14:paraId="0B81046B">
        <w:tblPrEx>
          <w:tblCellMar>
            <w:top w:w="0" w:type="dxa"/>
            <w:left w:w="0" w:type="dxa"/>
            <w:bottom w:w="0" w:type="dxa"/>
            <w:right w:w="0" w:type="dxa"/>
          </w:tblCellMar>
        </w:tblPrEx>
        <w:trPr>
          <w:trHeight w:val="301" w:hRule="atLeast"/>
        </w:trPr>
        <w:tc>
          <w:tcPr>
            <w:tcW w:w="2933"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9F754CE">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E125B19">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E7A3DB5">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91AAC74">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C011542">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5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62D1C2A">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7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D94C003">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2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4DE9D50">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3B38C5E">
        <w:tblPrEx>
          <w:tblCellMar>
            <w:top w:w="0" w:type="dxa"/>
            <w:left w:w="0" w:type="dxa"/>
            <w:bottom w:w="0" w:type="dxa"/>
            <w:right w:w="0" w:type="dxa"/>
          </w:tblCellMar>
        </w:tblPrEx>
        <w:trPr>
          <w:trHeight w:val="312" w:hRule="exact"/>
        </w:trPr>
        <w:tc>
          <w:tcPr>
            <w:tcW w:w="17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AF4579F">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198"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BE68144">
            <w:pPr>
              <w:shd w:val="clea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8C283E">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30BCC6">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1A4C01">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128CAE">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83534F">
            <w:pPr>
              <w:shd w:val="clear"/>
              <w:rPr>
                <w:rFonts w:ascii="Times New Roman" w:hAnsi="Times New Roman" w:eastAsia="仿宋_GB2312" w:cs="Times New Roman"/>
                <w:sz w:val="24"/>
                <w:szCs w:val="24"/>
              </w:rPr>
            </w:pPr>
          </w:p>
        </w:tc>
        <w:tc>
          <w:tcPr>
            <w:tcW w:w="1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9CAFA2">
            <w:pPr>
              <w:shd w:val="clear"/>
              <w:rPr>
                <w:rFonts w:ascii="Times New Roman" w:hAnsi="Times New Roman" w:eastAsia="仿宋_GB2312" w:cs="Times New Roman"/>
                <w:sz w:val="24"/>
                <w:szCs w:val="24"/>
              </w:rPr>
            </w:pPr>
          </w:p>
        </w:tc>
        <w:tc>
          <w:tcPr>
            <w:tcW w:w="127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D6248A">
            <w:pPr>
              <w:shd w:val="clear"/>
              <w:rPr>
                <w:rFonts w:ascii="Times New Roman" w:hAnsi="Times New Roman" w:eastAsia="仿宋_GB2312" w:cs="Times New Roman"/>
                <w:sz w:val="24"/>
                <w:szCs w:val="24"/>
              </w:rPr>
            </w:pPr>
          </w:p>
        </w:tc>
      </w:tr>
      <w:tr w14:paraId="28A1E094">
        <w:tblPrEx>
          <w:tblCellMar>
            <w:top w:w="0" w:type="dxa"/>
            <w:left w:w="0" w:type="dxa"/>
            <w:bottom w:w="0" w:type="dxa"/>
            <w:right w:w="0" w:type="dxa"/>
          </w:tblCellMar>
        </w:tblPrEx>
        <w:trPr>
          <w:trHeight w:val="312" w:hRule="atLeast"/>
        </w:trPr>
        <w:tc>
          <w:tcPr>
            <w:tcW w:w="17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EE3EB8">
            <w:pPr>
              <w:shd w:val="clear"/>
              <w:rPr>
                <w:rFonts w:ascii="Times New Roman" w:hAnsi="Times New Roman" w:eastAsia="仿宋_GB2312" w:cs="Times New Roman"/>
                <w:sz w:val="24"/>
                <w:szCs w:val="24"/>
              </w:rPr>
            </w:pPr>
          </w:p>
        </w:tc>
        <w:tc>
          <w:tcPr>
            <w:tcW w:w="1198" w:type="dxa"/>
            <w:vMerge w:val="continue"/>
            <w:tcBorders>
              <w:top w:val="nil"/>
              <w:left w:val="single" w:color="auto" w:sz="4" w:space="0"/>
              <w:bottom w:val="single" w:color="auto" w:sz="4" w:space="0"/>
              <w:right w:val="single" w:color="auto" w:sz="4" w:space="0"/>
            </w:tcBorders>
            <w:shd w:val="clear" w:color="auto" w:fill="auto"/>
            <w:vAlign w:val="center"/>
          </w:tcPr>
          <w:p w14:paraId="363FB4C7">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6C5A26">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6BE3E1">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2A95FF">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CB2AE2">
            <w:pPr>
              <w:shd w:val="clear"/>
              <w:rPr>
                <w:rFonts w:ascii="Times New Roman" w:hAnsi="Times New Roman" w:eastAsia="仿宋_GB2312" w:cs="Times New Roman"/>
                <w:sz w:val="24"/>
                <w:szCs w:val="24"/>
              </w:rPr>
            </w:pPr>
          </w:p>
        </w:tc>
        <w:tc>
          <w:tcPr>
            <w:tcW w:w="15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6759C1">
            <w:pPr>
              <w:shd w:val="clear"/>
              <w:rPr>
                <w:rFonts w:ascii="Times New Roman" w:hAnsi="Times New Roman" w:eastAsia="仿宋_GB2312" w:cs="Times New Roman"/>
                <w:sz w:val="24"/>
                <w:szCs w:val="24"/>
              </w:rPr>
            </w:pPr>
          </w:p>
        </w:tc>
        <w:tc>
          <w:tcPr>
            <w:tcW w:w="17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2FCE2A">
            <w:pPr>
              <w:shd w:val="clear"/>
              <w:rPr>
                <w:rFonts w:ascii="Times New Roman" w:hAnsi="Times New Roman" w:eastAsia="仿宋_GB2312" w:cs="Times New Roman"/>
                <w:sz w:val="24"/>
                <w:szCs w:val="24"/>
              </w:rPr>
            </w:pPr>
          </w:p>
        </w:tc>
        <w:tc>
          <w:tcPr>
            <w:tcW w:w="127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4EE0F3">
            <w:pPr>
              <w:shd w:val="clear"/>
              <w:rPr>
                <w:rFonts w:ascii="Times New Roman" w:hAnsi="Times New Roman" w:eastAsia="仿宋_GB2312" w:cs="Times New Roman"/>
                <w:sz w:val="24"/>
                <w:szCs w:val="24"/>
              </w:rPr>
            </w:pPr>
          </w:p>
        </w:tc>
      </w:tr>
      <w:tr w14:paraId="0A5FAA98">
        <w:tblPrEx>
          <w:tblCellMar>
            <w:top w:w="0" w:type="dxa"/>
            <w:left w:w="0" w:type="dxa"/>
            <w:bottom w:w="0" w:type="dxa"/>
            <w:right w:w="0" w:type="dxa"/>
          </w:tblCellMar>
        </w:tblPrEx>
        <w:trPr>
          <w:trHeight w:val="301" w:hRule="atLeast"/>
        </w:trPr>
        <w:tc>
          <w:tcPr>
            <w:tcW w:w="2933"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D886A5">
            <w:pPr>
              <w:shd w:val="clea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AC59C4">
            <w:pPr>
              <w:shd w:val="clea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8B4B02">
            <w:pPr>
              <w:shd w:val="clea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125727">
            <w:pPr>
              <w:shd w:val="clea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28FDCC">
            <w:pPr>
              <w:shd w:val="clea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20F68E">
            <w:pPr>
              <w:shd w:val="clea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26E519">
            <w:pPr>
              <w:shd w:val="clea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0C7CE3">
            <w:pPr>
              <w:shd w:val="clea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EAF5FF6">
        <w:tblPrEx>
          <w:tblCellMar>
            <w:top w:w="0" w:type="dxa"/>
            <w:left w:w="0" w:type="dxa"/>
            <w:bottom w:w="0" w:type="dxa"/>
            <w:right w:w="0" w:type="dxa"/>
          </w:tblCellMar>
        </w:tblPrEx>
        <w:trPr>
          <w:trHeight w:val="301" w:hRule="atLeast"/>
        </w:trPr>
        <w:tc>
          <w:tcPr>
            <w:tcW w:w="2933"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80138D">
            <w:pPr>
              <w:shd w:val="clea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D0AB7C">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571.89</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CD28BC">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545.29</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D84E6C">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D37837">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5B8E81">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29929F">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6D2F0F">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26.60</w:t>
            </w:r>
          </w:p>
        </w:tc>
      </w:tr>
      <w:tr w14:paraId="73455E66">
        <w:tblPrEx>
          <w:tblCellMar>
            <w:top w:w="0" w:type="dxa"/>
            <w:left w:w="0" w:type="dxa"/>
            <w:bottom w:w="0" w:type="dxa"/>
            <w:right w:w="0" w:type="dxa"/>
          </w:tblCellMar>
        </w:tblPrEx>
        <w:trPr>
          <w:trHeight w:val="301"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6B4F6F">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5DE97A">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教育支出</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4BAD5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570.85</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7F28F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544.25</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B3E42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5393D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A52CF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DE775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D6A68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26.60</w:t>
            </w:r>
          </w:p>
        </w:tc>
      </w:tr>
      <w:tr w14:paraId="650F0478">
        <w:tblPrEx>
          <w:tblCellMar>
            <w:top w:w="0" w:type="dxa"/>
            <w:left w:w="0" w:type="dxa"/>
            <w:bottom w:w="0" w:type="dxa"/>
            <w:right w:w="0" w:type="dxa"/>
          </w:tblCellMar>
        </w:tblPrEx>
        <w:trPr>
          <w:trHeight w:val="90"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BA151A">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9F748E">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教育管理事务</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0B733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AC834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7FAC5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0417E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EEF20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40E1E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E9B56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BC4951E">
        <w:tblPrEx>
          <w:tblCellMar>
            <w:top w:w="0" w:type="dxa"/>
            <w:left w:w="0" w:type="dxa"/>
            <w:bottom w:w="0" w:type="dxa"/>
            <w:right w:w="0" w:type="dxa"/>
          </w:tblCellMar>
        </w:tblPrEx>
        <w:trPr>
          <w:trHeight w:val="580"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A6CBBD">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20F754">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4A05D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B08E7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250B5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A8084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B7D1D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650C0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030D5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72B16E4">
        <w:tblPrEx>
          <w:tblCellMar>
            <w:top w:w="0" w:type="dxa"/>
            <w:left w:w="0" w:type="dxa"/>
            <w:bottom w:w="0" w:type="dxa"/>
            <w:right w:w="0" w:type="dxa"/>
          </w:tblCellMar>
        </w:tblPrEx>
        <w:trPr>
          <w:trHeight w:val="301"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B8FB5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D686D4">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普通教育</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725EE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451.40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544FF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424.80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4F130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95153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CEB2F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A9A62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3820E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26.60</w:t>
            </w:r>
          </w:p>
        </w:tc>
      </w:tr>
      <w:tr w14:paraId="73D88128">
        <w:tblPrEx>
          <w:tblCellMar>
            <w:top w:w="0" w:type="dxa"/>
            <w:left w:w="0" w:type="dxa"/>
            <w:bottom w:w="0" w:type="dxa"/>
            <w:right w:w="0" w:type="dxa"/>
          </w:tblCellMar>
        </w:tblPrEx>
        <w:trPr>
          <w:trHeight w:val="301"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2FAF2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AF89F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890B4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450.71</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362BF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424.11</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1971C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A89C1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71679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107ED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AEE08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26.60</w:t>
            </w:r>
          </w:p>
        </w:tc>
      </w:tr>
      <w:tr w14:paraId="2EED6403">
        <w:tblPrEx>
          <w:tblCellMar>
            <w:top w:w="0" w:type="dxa"/>
            <w:left w:w="0" w:type="dxa"/>
            <w:bottom w:w="0" w:type="dxa"/>
            <w:right w:w="0" w:type="dxa"/>
          </w:tblCellMar>
        </w:tblPrEx>
        <w:trPr>
          <w:trHeight w:val="580" w:hRule="atLeast"/>
        </w:trPr>
        <w:tc>
          <w:tcPr>
            <w:tcW w:w="17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9AF28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1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26E893">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51EB2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D6225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74F4F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D7245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67409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766E3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30F68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6728E7A">
        <w:tblPrEx>
          <w:tblCellMar>
            <w:top w:w="0" w:type="dxa"/>
            <w:left w:w="0" w:type="dxa"/>
            <w:bottom w:w="0" w:type="dxa"/>
            <w:right w:w="0" w:type="dxa"/>
          </w:tblCellMar>
        </w:tblPrEx>
        <w:trPr>
          <w:trHeight w:val="567" w:hRule="atLeast"/>
        </w:trPr>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0E2FDF3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3F9383F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44A90BF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12F15AD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41FC230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2EAB33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4011AA5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2BC212D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63FC0EC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AF8B8D">
        <w:tblPrEx>
          <w:tblCellMar>
            <w:top w:w="0" w:type="dxa"/>
            <w:left w:w="0" w:type="dxa"/>
            <w:bottom w:w="0" w:type="dxa"/>
            <w:right w:w="0" w:type="dxa"/>
          </w:tblCellMar>
        </w:tblPrEx>
        <w:trPr>
          <w:trHeight w:val="567" w:hRule="atLeast"/>
        </w:trPr>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60EB3FA4">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5BE381B7">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5BDACB8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37881F3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6D8AB9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0ACC31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5EB2281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6A3D00D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2B0FBED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5801248">
        <w:tblPrEx>
          <w:tblCellMar>
            <w:top w:w="0" w:type="dxa"/>
            <w:left w:w="0" w:type="dxa"/>
            <w:bottom w:w="0" w:type="dxa"/>
            <w:right w:w="0" w:type="dxa"/>
          </w:tblCellMar>
        </w:tblPrEx>
        <w:trPr>
          <w:trHeight w:val="567" w:hRule="atLeast"/>
        </w:trPr>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481C8BED">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2725B266">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9A9B4B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7701AB1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6A99ECA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0D95373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EF8CC6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2D1AFF1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306E91A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3891174">
        <w:tblPrEx>
          <w:tblCellMar>
            <w:top w:w="0" w:type="dxa"/>
            <w:left w:w="0" w:type="dxa"/>
            <w:bottom w:w="0" w:type="dxa"/>
            <w:right w:w="0" w:type="dxa"/>
          </w:tblCellMar>
        </w:tblPrEx>
        <w:trPr>
          <w:trHeight w:val="288" w:hRule="atLeast"/>
        </w:trPr>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01D0BED8">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0814A783">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677F4DC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9508C3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2EACDD2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49FCD67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74A4975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35F4B01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76FE799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CB56DE">
        <w:tblPrEx>
          <w:tblCellMar>
            <w:top w:w="0" w:type="dxa"/>
            <w:left w:w="0" w:type="dxa"/>
            <w:bottom w:w="0" w:type="dxa"/>
            <w:right w:w="0" w:type="dxa"/>
          </w:tblCellMar>
        </w:tblPrEx>
        <w:trPr>
          <w:trHeight w:val="297" w:hRule="atLeast"/>
        </w:trPr>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189E9E3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37243B9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37B9D77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0A90AFA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7867D68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305E3B6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509" w:type="dxa"/>
            <w:tcBorders>
              <w:top w:val="single" w:color="auto" w:sz="4" w:space="0"/>
              <w:left w:val="single" w:color="auto" w:sz="4" w:space="0"/>
              <w:bottom w:val="single" w:color="auto" w:sz="4" w:space="0"/>
              <w:right w:val="single" w:color="auto" w:sz="4" w:space="0"/>
            </w:tcBorders>
            <w:shd w:val="clear" w:color="auto" w:fill="auto"/>
            <w:vAlign w:val="center"/>
          </w:tcPr>
          <w:p w14:paraId="406AF2A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6872468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72" w:type="dxa"/>
            <w:tcBorders>
              <w:top w:val="single" w:color="auto" w:sz="4" w:space="0"/>
              <w:left w:val="single" w:color="auto" w:sz="4" w:space="0"/>
              <w:bottom w:val="single" w:color="auto" w:sz="4" w:space="0"/>
              <w:right w:val="single" w:color="auto" w:sz="4" w:space="0"/>
            </w:tcBorders>
            <w:shd w:val="clear" w:color="auto" w:fill="auto"/>
            <w:vAlign w:val="center"/>
          </w:tcPr>
          <w:p w14:paraId="2A8D979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bl>
    <w:p w14:paraId="5A58C87D">
      <w:pPr>
        <w:shd w:val="clear"/>
        <w:tabs>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p w14:paraId="35CCC911">
      <w:pPr>
        <w:shd w:val="clea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8B40639">
      <w:pPr>
        <w:widowControl/>
        <w:shd w:val="clear"/>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29731E0E">
      <w:pPr>
        <w:widowControl/>
        <w:shd w:val="clear"/>
        <w:jc w:val="center"/>
        <w:textAlignment w:val="center"/>
        <w:rPr>
          <w:rFonts w:ascii="Times New Roman" w:hAnsi="Times New Roman" w:eastAsia="黑体" w:cs="Times New Roman"/>
          <w:color w:val="000000"/>
          <w:kern w:val="0"/>
          <w:sz w:val="32"/>
          <w:szCs w:val="32"/>
        </w:rPr>
      </w:pPr>
    </w:p>
    <w:p w14:paraId="79EDF2D6">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6BAADF0C">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4E425A5">
      <w:pPr>
        <w:widowControl/>
        <w:shd w:val="clear"/>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7"/>
        <w:gridCol w:w="2463"/>
        <w:gridCol w:w="1686"/>
        <w:gridCol w:w="1150"/>
        <w:gridCol w:w="1150"/>
        <w:gridCol w:w="1689"/>
        <w:gridCol w:w="1150"/>
        <w:gridCol w:w="2500"/>
      </w:tblGrid>
      <w:tr w14:paraId="52B8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72" w:type="pct"/>
            <w:gridSpan w:val="2"/>
            <w:shd w:val="clear" w:color="auto" w:fill="auto"/>
            <w:vAlign w:val="center"/>
          </w:tcPr>
          <w:p w14:paraId="199796B7">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601" w:type="pct"/>
            <w:vMerge w:val="restart"/>
            <w:shd w:val="clear" w:color="auto" w:fill="auto"/>
            <w:vAlign w:val="center"/>
          </w:tcPr>
          <w:p w14:paraId="77721961">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10" w:type="pct"/>
            <w:vMerge w:val="restart"/>
            <w:shd w:val="clear" w:color="auto" w:fill="auto"/>
            <w:vAlign w:val="center"/>
          </w:tcPr>
          <w:p w14:paraId="2AD82194">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10" w:type="pct"/>
            <w:vMerge w:val="restart"/>
            <w:shd w:val="clear" w:color="auto" w:fill="auto"/>
            <w:vAlign w:val="center"/>
          </w:tcPr>
          <w:p w14:paraId="08F5ADA6">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02" w:type="pct"/>
            <w:vMerge w:val="restart"/>
            <w:shd w:val="clear" w:color="auto" w:fill="auto"/>
            <w:vAlign w:val="center"/>
          </w:tcPr>
          <w:p w14:paraId="7A3FBDE1">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10" w:type="pct"/>
            <w:vMerge w:val="restart"/>
            <w:shd w:val="clear" w:color="auto" w:fill="auto"/>
            <w:vAlign w:val="center"/>
          </w:tcPr>
          <w:p w14:paraId="4CADE3AE">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91" w:type="pct"/>
            <w:vMerge w:val="restart"/>
            <w:shd w:val="clear" w:color="auto" w:fill="auto"/>
            <w:vAlign w:val="center"/>
          </w:tcPr>
          <w:p w14:paraId="752FC75A">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2BA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794" w:type="pct"/>
            <w:vMerge w:val="restart"/>
            <w:shd w:val="clear" w:color="auto" w:fill="auto"/>
            <w:vAlign w:val="center"/>
          </w:tcPr>
          <w:p w14:paraId="6BE89941">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78" w:type="pct"/>
            <w:vMerge w:val="restart"/>
            <w:shd w:val="clear" w:color="auto" w:fill="auto"/>
            <w:vAlign w:val="center"/>
          </w:tcPr>
          <w:p w14:paraId="763E0D2A">
            <w:pPr>
              <w:widowControl/>
              <w:shd w:val="clear"/>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01" w:type="pct"/>
            <w:vMerge w:val="continue"/>
            <w:shd w:val="clear" w:color="auto" w:fill="auto"/>
            <w:vAlign w:val="center"/>
          </w:tcPr>
          <w:p w14:paraId="4318C714">
            <w:pPr>
              <w:widowControl/>
              <w:shd w:val="clear"/>
              <w:jc w:val="left"/>
              <w:rPr>
                <w:rFonts w:ascii="Times New Roman" w:hAnsi="Times New Roman" w:eastAsia="仿宋_GB2312" w:cs="Times New Roman"/>
                <w:b/>
                <w:bCs/>
                <w:kern w:val="0"/>
                <w:sz w:val="24"/>
                <w:szCs w:val="24"/>
              </w:rPr>
            </w:pPr>
          </w:p>
        </w:tc>
        <w:tc>
          <w:tcPr>
            <w:tcW w:w="410" w:type="pct"/>
            <w:vMerge w:val="continue"/>
            <w:shd w:val="clear" w:color="auto" w:fill="auto"/>
            <w:vAlign w:val="center"/>
          </w:tcPr>
          <w:p w14:paraId="319BAD7B">
            <w:pPr>
              <w:widowControl/>
              <w:shd w:val="clear"/>
              <w:jc w:val="left"/>
              <w:rPr>
                <w:rFonts w:ascii="Times New Roman" w:hAnsi="Times New Roman" w:eastAsia="仿宋_GB2312" w:cs="Times New Roman"/>
                <w:b/>
                <w:bCs/>
                <w:kern w:val="0"/>
                <w:sz w:val="24"/>
                <w:szCs w:val="24"/>
              </w:rPr>
            </w:pPr>
          </w:p>
        </w:tc>
        <w:tc>
          <w:tcPr>
            <w:tcW w:w="410" w:type="pct"/>
            <w:vMerge w:val="continue"/>
            <w:shd w:val="clear" w:color="auto" w:fill="auto"/>
            <w:vAlign w:val="center"/>
          </w:tcPr>
          <w:p w14:paraId="3C50B16A">
            <w:pPr>
              <w:widowControl/>
              <w:shd w:val="clear"/>
              <w:jc w:val="left"/>
              <w:rPr>
                <w:rFonts w:ascii="Times New Roman" w:hAnsi="Times New Roman" w:eastAsia="仿宋_GB2312" w:cs="Times New Roman"/>
                <w:b/>
                <w:bCs/>
                <w:kern w:val="0"/>
                <w:sz w:val="24"/>
                <w:szCs w:val="24"/>
              </w:rPr>
            </w:pPr>
          </w:p>
        </w:tc>
        <w:tc>
          <w:tcPr>
            <w:tcW w:w="602" w:type="pct"/>
            <w:vMerge w:val="continue"/>
            <w:shd w:val="clear" w:color="auto" w:fill="auto"/>
            <w:vAlign w:val="center"/>
          </w:tcPr>
          <w:p w14:paraId="287801A1">
            <w:pPr>
              <w:widowControl/>
              <w:shd w:val="clear"/>
              <w:jc w:val="left"/>
              <w:rPr>
                <w:rFonts w:ascii="Times New Roman" w:hAnsi="Times New Roman" w:eastAsia="仿宋_GB2312" w:cs="Times New Roman"/>
                <w:b/>
                <w:bCs/>
                <w:kern w:val="0"/>
                <w:sz w:val="24"/>
                <w:szCs w:val="24"/>
              </w:rPr>
            </w:pPr>
          </w:p>
        </w:tc>
        <w:tc>
          <w:tcPr>
            <w:tcW w:w="410" w:type="pct"/>
            <w:vMerge w:val="continue"/>
            <w:shd w:val="clear" w:color="auto" w:fill="auto"/>
            <w:vAlign w:val="center"/>
          </w:tcPr>
          <w:p w14:paraId="482BD991">
            <w:pPr>
              <w:widowControl/>
              <w:shd w:val="clear"/>
              <w:jc w:val="left"/>
              <w:rPr>
                <w:rFonts w:ascii="Times New Roman" w:hAnsi="Times New Roman" w:eastAsia="仿宋_GB2312" w:cs="Times New Roman"/>
                <w:b/>
                <w:bCs/>
                <w:kern w:val="0"/>
                <w:sz w:val="24"/>
                <w:szCs w:val="24"/>
              </w:rPr>
            </w:pPr>
          </w:p>
        </w:tc>
        <w:tc>
          <w:tcPr>
            <w:tcW w:w="891" w:type="pct"/>
            <w:vMerge w:val="continue"/>
            <w:shd w:val="clear" w:color="auto" w:fill="auto"/>
            <w:vAlign w:val="center"/>
          </w:tcPr>
          <w:p w14:paraId="25B2716B">
            <w:pPr>
              <w:widowControl/>
              <w:shd w:val="clear"/>
              <w:jc w:val="left"/>
              <w:rPr>
                <w:rFonts w:ascii="Times New Roman" w:hAnsi="Times New Roman" w:eastAsia="仿宋_GB2312" w:cs="Times New Roman"/>
                <w:b/>
                <w:bCs/>
                <w:kern w:val="0"/>
                <w:sz w:val="24"/>
                <w:szCs w:val="24"/>
              </w:rPr>
            </w:pPr>
          </w:p>
        </w:tc>
      </w:tr>
      <w:tr w14:paraId="36DC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vMerge w:val="continue"/>
            <w:shd w:val="clear" w:color="auto" w:fill="auto"/>
            <w:vAlign w:val="center"/>
          </w:tcPr>
          <w:p w14:paraId="25D7D8FC">
            <w:pPr>
              <w:widowControl/>
              <w:shd w:val="clear"/>
              <w:jc w:val="left"/>
              <w:rPr>
                <w:rFonts w:ascii="Times New Roman" w:hAnsi="Times New Roman" w:eastAsia="仿宋_GB2312" w:cs="Times New Roman"/>
                <w:kern w:val="0"/>
                <w:sz w:val="24"/>
                <w:szCs w:val="24"/>
              </w:rPr>
            </w:pPr>
          </w:p>
        </w:tc>
        <w:tc>
          <w:tcPr>
            <w:tcW w:w="878" w:type="pct"/>
            <w:vMerge w:val="continue"/>
            <w:shd w:val="clear" w:color="auto" w:fill="auto"/>
            <w:vAlign w:val="center"/>
          </w:tcPr>
          <w:p w14:paraId="508ED490">
            <w:pPr>
              <w:widowControl/>
              <w:shd w:val="clear"/>
              <w:jc w:val="left"/>
              <w:rPr>
                <w:rFonts w:ascii="Times New Roman" w:hAnsi="Times New Roman" w:eastAsia="仿宋_GB2312" w:cs="Times New Roman"/>
                <w:kern w:val="0"/>
                <w:sz w:val="24"/>
                <w:szCs w:val="24"/>
              </w:rPr>
            </w:pPr>
          </w:p>
        </w:tc>
        <w:tc>
          <w:tcPr>
            <w:tcW w:w="601" w:type="pct"/>
            <w:vMerge w:val="continue"/>
            <w:shd w:val="clear" w:color="auto" w:fill="auto"/>
            <w:vAlign w:val="center"/>
          </w:tcPr>
          <w:p w14:paraId="06A01CED">
            <w:pPr>
              <w:widowControl/>
              <w:shd w:val="clear"/>
              <w:jc w:val="left"/>
              <w:rPr>
                <w:rFonts w:ascii="Times New Roman" w:hAnsi="Times New Roman" w:eastAsia="仿宋_GB2312" w:cs="Times New Roman"/>
                <w:kern w:val="0"/>
                <w:sz w:val="24"/>
                <w:szCs w:val="24"/>
              </w:rPr>
            </w:pPr>
          </w:p>
        </w:tc>
        <w:tc>
          <w:tcPr>
            <w:tcW w:w="410" w:type="pct"/>
            <w:vMerge w:val="continue"/>
            <w:shd w:val="clear" w:color="auto" w:fill="auto"/>
            <w:vAlign w:val="center"/>
          </w:tcPr>
          <w:p w14:paraId="1E2B9640">
            <w:pPr>
              <w:widowControl/>
              <w:shd w:val="clear"/>
              <w:jc w:val="left"/>
              <w:rPr>
                <w:rFonts w:ascii="Times New Roman" w:hAnsi="Times New Roman" w:eastAsia="仿宋_GB2312" w:cs="Times New Roman"/>
                <w:kern w:val="0"/>
                <w:sz w:val="24"/>
                <w:szCs w:val="24"/>
              </w:rPr>
            </w:pPr>
          </w:p>
        </w:tc>
        <w:tc>
          <w:tcPr>
            <w:tcW w:w="410" w:type="pct"/>
            <w:vMerge w:val="continue"/>
            <w:shd w:val="clear" w:color="auto" w:fill="auto"/>
            <w:vAlign w:val="center"/>
          </w:tcPr>
          <w:p w14:paraId="65535950">
            <w:pPr>
              <w:widowControl/>
              <w:shd w:val="clear"/>
              <w:jc w:val="left"/>
              <w:rPr>
                <w:rFonts w:ascii="Times New Roman" w:hAnsi="Times New Roman" w:eastAsia="仿宋_GB2312" w:cs="Times New Roman"/>
                <w:kern w:val="0"/>
                <w:sz w:val="24"/>
                <w:szCs w:val="24"/>
              </w:rPr>
            </w:pPr>
          </w:p>
        </w:tc>
        <w:tc>
          <w:tcPr>
            <w:tcW w:w="602" w:type="pct"/>
            <w:vMerge w:val="continue"/>
            <w:shd w:val="clear" w:color="auto" w:fill="auto"/>
            <w:vAlign w:val="center"/>
          </w:tcPr>
          <w:p w14:paraId="121C42B8">
            <w:pPr>
              <w:widowControl/>
              <w:shd w:val="clear"/>
              <w:jc w:val="left"/>
              <w:rPr>
                <w:rFonts w:ascii="Times New Roman" w:hAnsi="Times New Roman" w:eastAsia="仿宋_GB2312" w:cs="Times New Roman"/>
                <w:kern w:val="0"/>
                <w:sz w:val="24"/>
                <w:szCs w:val="24"/>
              </w:rPr>
            </w:pPr>
          </w:p>
        </w:tc>
        <w:tc>
          <w:tcPr>
            <w:tcW w:w="410" w:type="pct"/>
            <w:vMerge w:val="continue"/>
            <w:shd w:val="clear" w:color="auto" w:fill="auto"/>
            <w:vAlign w:val="center"/>
          </w:tcPr>
          <w:p w14:paraId="5976C82B">
            <w:pPr>
              <w:widowControl/>
              <w:shd w:val="clear"/>
              <w:jc w:val="left"/>
              <w:rPr>
                <w:rFonts w:ascii="Times New Roman" w:hAnsi="Times New Roman" w:eastAsia="仿宋_GB2312" w:cs="Times New Roman"/>
                <w:kern w:val="0"/>
                <w:sz w:val="24"/>
                <w:szCs w:val="24"/>
              </w:rPr>
            </w:pPr>
          </w:p>
        </w:tc>
        <w:tc>
          <w:tcPr>
            <w:tcW w:w="891" w:type="pct"/>
            <w:vMerge w:val="continue"/>
            <w:shd w:val="clear" w:color="auto" w:fill="auto"/>
            <w:vAlign w:val="center"/>
          </w:tcPr>
          <w:p w14:paraId="1240A2EF">
            <w:pPr>
              <w:widowControl/>
              <w:shd w:val="clear"/>
              <w:jc w:val="left"/>
              <w:rPr>
                <w:rFonts w:ascii="Times New Roman" w:hAnsi="Times New Roman" w:eastAsia="仿宋_GB2312" w:cs="Times New Roman"/>
                <w:kern w:val="0"/>
                <w:sz w:val="24"/>
                <w:szCs w:val="24"/>
              </w:rPr>
            </w:pPr>
          </w:p>
        </w:tc>
      </w:tr>
      <w:tr w14:paraId="0FFD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72" w:type="pct"/>
            <w:gridSpan w:val="2"/>
            <w:shd w:val="clear" w:color="auto" w:fill="auto"/>
            <w:noWrap/>
            <w:vAlign w:val="center"/>
          </w:tcPr>
          <w:p w14:paraId="3D30C3DE">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01" w:type="pct"/>
            <w:shd w:val="clear" w:color="auto" w:fill="auto"/>
            <w:noWrap/>
            <w:vAlign w:val="center"/>
          </w:tcPr>
          <w:p w14:paraId="57565317">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10" w:type="pct"/>
            <w:shd w:val="clear" w:color="auto" w:fill="auto"/>
            <w:noWrap/>
            <w:vAlign w:val="center"/>
          </w:tcPr>
          <w:p w14:paraId="2ECEE7E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10" w:type="pct"/>
            <w:shd w:val="clear" w:color="auto" w:fill="auto"/>
            <w:noWrap/>
            <w:vAlign w:val="center"/>
          </w:tcPr>
          <w:p w14:paraId="274EED90">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02" w:type="pct"/>
            <w:shd w:val="clear" w:color="auto" w:fill="auto"/>
            <w:noWrap/>
            <w:vAlign w:val="center"/>
          </w:tcPr>
          <w:p w14:paraId="18491047">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10" w:type="pct"/>
            <w:shd w:val="clear" w:color="auto" w:fill="auto"/>
            <w:noWrap/>
            <w:vAlign w:val="center"/>
          </w:tcPr>
          <w:p w14:paraId="4FB8A11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91" w:type="pct"/>
            <w:shd w:val="clear" w:color="auto" w:fill="auto"/>
            <w:noWrap/>
            <w:vAlign w:val="center"/>
          </w:tcPr>
          <w:p w14:paraId="67D44E1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1791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672" w:type="pct"/>
            <w:gridSpan w:val="2"/>
            <w:shd w:val="clear" w:color="auto" w:fill="auto"/>
            <w:noWrap/>
            <w:vAlign w:val="center"/>
          </w:tcPr>
          <w:p w14:paraId="2A3BCA5B">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01" w:type="pct"/>
            <w:shd w:val="clear" w:color="auto" w:fill="auto"/>
            <w:noWrap/>
            <w:vAlign w:val="center"/>
          </w:tcPr>
          <w:p w14:paraId="73F43A04">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571.89</w:t>
            </w:r>
          </w:p>
        </w:tc>
        <w:tc>
          <w:tcPr>
            <w:tcW w:w="410" w:type="pct"/>
            <w:shd w:val="clear" w:color="auto" w:fill="auto"/>
            <w:noWrap/>
            <w:vAlign w:val="center"/>
          </w:tcPr>
          <w:p w14:paraId="22D01C26">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451.79</w:t>
            </w:r>
          </w:p>
        </w:tc>
        <w:tc>
          <w:tcPr>
            <w:tcW w:w="410" w:type="pct"/>
            <w:shd w:val="clear" w:color="auto" w:fill="auto"/>
            <w:noWrap/>
            <w:vAlign w:val="center"/>
          </w:tcPr>
          <w:p w14:paraId="716EF82F">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120.10</w:t>
            </w:r>
          </w:p>
        </w:tc>
        <w:tc>
          <w:tcPr>
            <w:tcW w:w="602" w:type="pct"/>
            <w:shd w:val="clear" w:color="auto" w:fill="auto"/>
            <w:noWrap/>
            <w:vAlign w:val="center"/>
          </w:tcPr>
          <w:p w14:paraId="2143CCD5">
            <w:pPr>
              <w:shd w:val="clear"/>
              <w:jc w:val="right"/>
              <w:rPr>
                <w:rFonts w:hint="eastAsia" w:ascii="宋体" w:hAnsi="宋体" w:eastAsia="宋体" w:cs="宋体"/>
                <w:b/>
                <w:bCs/>
                <w:i w:val="0"/>
                <w:iCs w:val="0"/>
                <w:color w:val="000000"/>
                <w:sz w:val="22"/>
                <w:szCs w:val="22"/>
                <w:u w:val="none"/>
              </w:rPr>
            </w:pPr>
          </w:p>
        </w:tc>
        <w:tc>
          <w:tcPr>
            <w:tcW w:w="410" w:type="pct"/>
            <w:shd w:val="clear" w:color="auto" w:fill="auto"/>
            <w:noWrap/>
            <w:vAlign w:val="center"/>
          </w:tcPr>
          <w:p w14:paraId="7FC9FFA5">
            <w:pPr>
              <w:shd w:val="clear"/>
              <w:jc w:val="right"/>
              <w:rPr>
                <w:rFonts w:hint="eastAsia" w:ascii="宋体" w:hAnsi="宋体" w:eastAsia="宋体" w:cs="宋体"/>
                <w:b/>
                <w:bCs/>
                <w:i w:val="0"/>
                <w:iCs w:val="0"/>
                <w:color w:val="000000"/>
                <w:sz w:val="22"/>
                <w:szCs w:val="22"/>
                <w:u w:val="none"/>
              </w:rPr>
            </w:pPr>
          </w:p>
        </w:tc>
        <w:tc>
          <w:tcPr>
            <w:tcW w:w="891" w:type="pct"/>
            <w:shd w:val="clear" w:color="auto" w:fill="auto"/>
            <w:noWrap/>
            <w:vAlign w:val="center"/>
          </w:tcPr>
          <w:p w14:paraId="65535329">
            <w:pPr>
              <w:shd w:val="clear"/>
              <w:jc w:val="right"/>
              <w:rPr>
                <w:rFonts w:hint="eastAsia" w:ascii="宋体" w:hAnsi="宋体" w:eastAsia="宋体" w:cs="宋体"/>
                <w:b/>
                <w:bCs/>
                <w:i w:val="0"/>
                <w:iCs w:val="0"/>
                <w:color w:val="000000"/>
                <w:sz w:val="22"/>
                <w:szCs w:val="22"/>
                <w:u w:val="none"/>
              </w:rPr>
            </w:pPr>
          </w:p>
        </w:tc>
      </w:tr>
      <w:tr w14:paraId="7C95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4F3EFB8B">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878" w:type="pct"/>
            <w:shd w:val="clear" w:color="auto" w:fill="auto"/>
            <w:noWrap/>
            <w:vAlign w:val="center"/>
          </w:tcPr>
          <w:p w14:paraId="5A6CC85F">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教育支出</w:t>
            </w:r>
          </w:p>
        </w:tc>
        <w:tc>
          <w:tcPr>
            <w:tcW w:w="601" w:type="pct"/>
            <w:shd w:val="clear" w:color="auto" w:fill="auto"/>
            <w:noWrap/>
            <w:vAlign w:val="center"/>
          </w:tcPr>
          <w:p w14:paraId="1F4B39C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570.85</w:t>
            </w:r>
          </w:p>
        </w:tc>
        <w:tc>
          <w:tcPr>
            <w:tcW w:w="410" w:type="pct"/>
            <w:shd w:val="clear" w:color="auto" w:fill="auto"/>
            <w:noWrap/>
            <w:vAlign w:val="center"/>
          </w:tcPr>
          <w:p w14:paraId="5298ACE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450.75</w:t>
            </w:r>
          </w:p>
        </w:tc>
        <w:tc>
          <w:tcPr>
            <w:tcW w:w="410" w:type="pct"/>
            <w:shd w:val="clear" w:color="auto" w:fill="auto"/>
            <w:noWrap/>
            <w:vAlign w:val="center"/>
          </w:tcPr>
          <w:p w14:paraId="0DA91B2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120.10</w:t>
            </w:r>
          </w:p>
        </w:tc>
        <w:tc>
          <w:tcPr>
            <w:tcW w:w="602" w:type="pct"/>
            <w:shd w:val="clear" w:color="auto" w:fill="auto"/>
            <w:noWrap/>
            <w:vAlign w:val="center"/>
          </w:tcPr>
          <w:p w14:paraId="519A4163">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6542584B">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6880F0D5">
            <w:pPr>
              <w:shd w:val="clear"/>
              <w:jc w:val="right"/>
              <w:rPr>
                <w:rFonts w:hint="eastAsia" w:ascii="宋体" w:hAnsi="宋体" w:eastAsia="宋体" w:cs="宋体"/>
                <w:i w:val="0"/>
                <w:iCs w:val="0"/>
                <w:color w:val="000000"/>
                <w:sz w:val="22"/>
                <w:szCs w:val="22"/>
                <w:u w:val="none"/>
              </w:rPr>
            </w:pPr>
          </w:p>
        </w:tc>
      </w:tr>
      <w:tr w14:paraId="4F93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1B51AD4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w:t>
            </w:r>
          </w:p>
        </w:tc>
        <w:tc>
          <w:tcPr>
            <w:tcW w:w="878" w:type="pct"/>
            <w:shd w:val="clear" w:color="auto" w:fill="auto"/>
            <w:noWrap/>
            <w:vAlign w:val="center"/>
          </w:tcPr>
          <w:p w14:paraId="57E987B7">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教育管理事务</w:t>
            </w:r>
          </w:p>
        </w:tc>
        <w:tc>
          <w:tcPr>
            <w:tcW w:w="601" w:type="pct"/>
            <w:shd w:val="clear" w:color="auto" w:fill="auto"/>
            <w:noWrap/>
            <w:vAlign w:val="center"/>
          </w:tcPr>
          <w:p w14:paraId="2488B61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410" w:type="pct"/>
            <w:shd w:val="clear" w:color="auto" w:fill="auto"/>
            <w:noWrap/>
            <w:vAlign w:val="center"/>
          </w:tcPr>
          <w:p w14:paraId="76E7E1E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410" w:type="pct"/>
            <w:shd w:val="clear" w:color="auto" w:fill="auto"/>
            <w:noWrap/>
            <w:vAlign w:val="center"/>
          </w:tcPr>
          <w:p w14:paraId="0E6C62BA">
            <w:pPr>
              <w:shd w:val="clear"/>
              <w:jc w:val="right"/>
              <w:rPr>
                <w:rFonts w:hint="eastAsia" w:ascii="宋体" w:hAnsi="宋体" w:eastAsia="宋体" w:cs="宋体"/>
                <w:i w:val="0"/>
                <w:iCs w:val="0"/>
                <w:color w:val="000000"/>
                <w:sz w:val="22"/>
                <w:szCs w:val="22"/>
                <w:u w:val="none"/>
              </w:rPr>
            </w:pPr>
          </w:p>
        </w:tc>
        <w:tc>
          <w:tcPr>
            <w:tcW w:w="602" w:type="pct"/>
            <w:shd w:val="clear" w:color="auto" w:fill="auto"/>
            <w:noWrap/>
            <w:vAlign w:val="center"/>
          </w:tcPr>
          <w:p w14:paraId="386E83ED">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299A70B9">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3560125B">
            <w:pPr>
              <w:shd w:val="clear"/>
              <w:jc w:val="right"/>
              <w:rPr>
                <w:rFonts w:hint="eastAsia" w:ascii="宋体" w:hAnsi="宋体" w:eastAsia="宋体" w:cs="宋体"/>
                <w:i w:val="0"/>
                <w:iCs w:val="0"/>
                <w:color w:val="000000"/>
                <w:sz w:val="22"/>
                <w:szCs w:val="22"/>
                <w:u w:val="none"/>
              </w:rPr>
            </w:pPr>
          </w:p>
        </w:tc>
      </w:tr>
      <w:tr w14:paraId="1926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7EB602C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878" w:type="pct"/>
            <w:shd w:val="clear" w:color="auto" w:fill="auto"/>
            <w:noWrap/>
            <w:vAlign w:val="center"/>
          </w:tcPr>
          <w:p w14:paraId="7E0E0CC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601" w:type="pct"/>
            <w:shd w:val="clear" w:color="auto" w:fill="auto"/>
            <w:noWrap/>
            <w:vAlign w:val="center"/>
          </w:tcPr>
          <w:p w14:paraId="5BADE3A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410" w:type="pct"/>
            <w:shd w:val="clear" w:color="auto" w:fill="auto"/>
            <w:noWrap/>
            <w:vAlign w:val="center"/>
          </w:tcPr>
          <w:p w14:paraId="31F825B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410" w:type="pct"/>
            <w:shd w:val="clear" w:color="auto" w:fill="auto"/>
            <w:noWrap/>
            <w:vAlign w:val="center"/>
          </w:tcPr>
          <w:p w14:paraId="34B3E161">
            <w:pPr>
              <w:shd w:val="clear"/>
              <w:jc w:val="right"/>
              <w:rPr>
                <w:rFonts w:hint="eastAsia" w:ascii="宋体" w:hAnsi="宋体" w:eastAsia="宋体" w:cs="宋体"/>
                <w:i w:val="0"/>
                <w:iCs w:val="0"/>
                <w:color w:val="000000"/>
                <w:sz w:val="22"/>
                <w:szCs w:val="22"/>
                <w:u w:val="none"/>
              </w:rPr>
            </w:pPr>
          </w:p>
        </w:tc>
        <w:tc>
          <w:tcPr>
            <w:tcW w:w="602" w:type="pct"/>
            <w:shd w:val="clear" w:color="auto" w:fill="auto"/>
            <w:noWrap/>
            <w:vAlign w:val="center"/>
          </w:tcPr>
          <w:p w14:paraId="291F2C68">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00CBE711">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2B6EBD51">
            <w:pPr>
              <w:shd w:val="clear"/>
              <w:jc w:val="right"/>
              <w:rPr>
                <w:rFonts w:hint="eastAsia" w:ascii="宋体" w:hAnsi="宋体" w:eastAsia="宋体" w:cs="宋体"/>
                <w:i w:val="0"/>
                <w:iCs w:val="0"/>
                <w:color w:val="000000"/>
                <w:sz w:val="22"/>
                <w:szCs w:val="22"/>
                <w:u w:val="none"/>
              </w:rPr>
            </w:pPr>
          </w:p>
        </w:tc>
      </w:tr>
      <w:tr w14:paraId="61FF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414EE79B">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w:t>
            </w:r>
          </w:p>
        </w:tc>
        <w:tc>
          <w:tcPr>
            <w:tcW w:w="878" w:type="pct"/>
            <w:shd w:val="clear" w:color="auto" w:fill="auto"/>
            <w:noWrap/>
            <w:vAlign w:val="center"/>
          </w:tcPr>
          <w:p w14:paraId="7D002061">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普通教育</w:t>
            </w:r>
          </w:p>
        </w:tc>
        <w:tc>
          <w:tcPr>
            <w:tcW w:w="601" w:type="pct"/>
            <w:shd w:val="clear" w:color="auto" w:fill="auto"/>
            <w:noWrap/>
            <w:vAlign w:val="center"/>
          </w:tcPr>
          <w:p w14:paraId="02B93C9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451.40</w:t>
            </w:r>
          </w:p>
        </w:tc>
        <w:tc>
          <w:tcPr>
            <w:tcW w:w="410" w:type="pct"/>
            <w:shd w:val="clear" w:color="auto" w:fill="auto"/>
            <w:noWrap/>
            <w:vAlign w:val="center"/>
          </w:tcPr>
          <w:p w14:paraId="2B2F12E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450.71</w:t>
            </w:r>
          </w:p>
        </w:tc>
        <w:tc>
          <w:tcPr>
            <w:tcW w:w="410" w:type="pct"/>
            <w:shd w:val="clear" w:color="auto" w:fill="auto"/>
            <w:noWrap/>
            <w:vAlign w:val="center"/>
          </w:tcPr>
          <w:p w14:paraId="75121D6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602" w:type="pct"/>
            <w:shd w:val="clear" w:color="auto" w:fill="auto"/>
            <w:noWrap/>
            <w:vAlign w:val="center"/>
          </w:tcPr>
          <w:p w14:paraId="4ABBC4AB">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472280DD">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00E676CF">
            <w:pPr>
              <w:shd w:val="clear"/>
              <w:jc w:val="right"/>
              <w:rPr>
                <w:rFonts w:hint="eastAsia" w:ascii="宋体" w:hAnsi="宋体" w:eastAsia="宋体" w:cs="宋体"/>
                <w:i w:val="0"/>
                <w:iCs w:val="0"/>
                <w:color w:val="000000"/>
                <w:sz w:val="22"/>
                <w:szCs w:val="22"/>
                <w:u w:val="none"/>
              </w:rPr>
            </w:pPr>
          </w:p>
        </w:tc>
      </w:tr>
      <w:tr w14:paraId="20CF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00695D6D">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878" w:type="pct"/>
            <w:shd w:val="clear" w:color="auto" w:fill="auto"/>
            <w:noWrap/>
            <w:vAlign w:val="center"/>
          </w:tcPr>
          <w:p w14:paraId="69FE9A8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601" w:type="pct"/>
            <w:shd w:val="clear" w:color="auto" w:fill="auto"/>
            <w:noWrap/>
            <w:vAlign w:val="center"/>
          </w:tcPr>
          <w:p w14:paraId="6013959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450.71</w:t>
            </w:r>
          </w:p>
        </w:tc>
        <w:tc>
          <w:tcPr>
            <w:tcW w:w="410" w:type="pct"/>
            <w:shd w:val="clear" w:color="auto" w:fill="auto"/>
            <w:noWrap/>
            <w:vAlign w:val="center"/>
          </w:tcPr>
          <w:p w14:paraId="3FBC6B2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450.71</w:t>
            </w:r>
          </w:p>
        </w:tc>
        <w:tc>
          <w:tcPr>
            <w:tcW w:w="410" w:type="pct"/>
            <w:shd w:val="clear" w:color="auto" w:fill="auto"/>
            <w:noWrap/>
            <w:vAlign w:val="center"/>
          </w:tcPr>
          <w:p w14:paraId="725F40C2">
            <w:pPr>
              <w:shd w:val="clear"/>
              <w:jc w:val="right"/>
              <w:rPr>
                <w:rFonts w:hint="eastAsia" w:ascii="宋体" w:hAnsi="宋体" w:eastAsia="宋体" w:cs="宋体"/>
                <w:i w:val="0"/>
                <w:iCs w:val="0"/>
                <w:color w:val="000000"/>
                <w:sz w:val="22"/>
                <w:szCs w:val="22"/>
                <w:u w:val="none"/>
              </w:rPr>
            </w:pPr>
          </w:p>
        </w:tc>
        <w:tc>
          <w:tcPr>
            <w:tcW w:w="602" w:type="pct"/>
            <w:shd w:val="clear" w:color="auto" w:fill="auto"/>
            <w:noWrap/>
            <w:vAlign w:val="center"/>
          </w:tcPr>
          <w:p w14:paraId="0ACDF64D">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31F8A51F">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793D37F0">
            <w:pPr>
              <w:shd w:val="clear"/>
              <w:jc w:val="right"/>
              <w:rPr>
                <w:rFonts w:hint="eastAsia" w:ascii="宋体" w:hAnsi="宋体" w:eastAsia="宋体" w:cs="宋体"/>
                <w:i w:val="0"/>
                <w:iCs w:val="0"/>
                <w:color w:val="000000"/>
                <w:sz w:val="22"/>
                <w:szCs w:val="22"/>
                <w:u w:val="none"/>
              </w:rPr>
            </w:pPr>
          </w:p>
        </w:tc>
      </w:tr>
      <w:tr w14:paraId="7788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94" w:type="pct"/>
            <w:shd w:val="clear" w:color="auto" w:fill="auto"/>
            <w:noWrap/>
            <w:vAlign w:val="center"/>
          </w:tcPr>
          <w:p w14:paraId="0F9FE601">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878" w:type="pct"/>
            <w:shd w:val="clear" w:color="auto" w:fill="auto"/>
            <w:noWrap/>
            <w:vAlign w:val="center"/>
          </w:tcPr>
          <w:p w14:paraId="632D136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601" w:type="pct"/>
            <w:shd w:val="clear" w:color="auto" w:fill="auto"/>
            <w:noWrap/>
            <w:vAlign w:val="center"/>
          </w:tcPr>
          <w:p w14:paraId="7C267E5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410" w:type="pct"/>
            <w:shd w:val="clear" w:color="auto" w:fill="auto"/>
            <w:noWrap/>
            <w:vAlign w:val="center"/>
          </w:tcPr>
          <w:p w14:paraId="2C9C4EF9">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202614B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602" w:type="pct"/>
            <w:shd w:val="clear" w:color="auto" w:fill="auto"/>
            <w:noWrap/>
            <w:vAlign w:val="center"/>
          </w:tcPr>
          <w:p w14:paraId="73E0A469">
            <w:pPr>
              <w:shd w:val="clear"/>
              <w:jc w:val="right"/>
              <w:rPr>
                <w:rFonts w:hint="eastAsia" w:ascii="宋体" w:hAnsi="宋体" w:eastAsia="宋体" w:cs="宋体"/>
                <w:i w:val="0"/>
                <w:iCs w:val="0"/>
                <w:color w:val="000000"/>
                <w:sz w:val="22"/>
                <w:szCs w:val="22"/>
                <w:u w:val="none"/>
              </w:rPr>
            </w:pPr>
          </w:p>
        </w:tc>
        <w:tc>
          <w:tcPr>
            <w:tcW w:w="410" w:type="pct"/>
            <w:shd w:val="clear" w:color="auto" w:fill="auto"/>
            <w:noWrap/>
            <w:vAlign w:val="center"/>
          </w:tcPr>
          <w:p w14:paraId="53AE97A8">
            <w:pPr>
              <w:shd w:val="clear"/>
              <w:jc w:val="right"/>
              <w:rPr>
                <w:rFonts w:hint="eastAsia" w:ascii="宋体" w:hAnsi="宋体" w:eastAsia="宋体" w:cs="宋体"/>
                <w:i w:val="0"/>
                <w:iCs w:val="0"/>
                <w:color w:val="000000"/>
                <w:sz w:val="22"/>
                <w:szCs w:val="22"/>
                <w:u w:val="none"/>
              </w:rPr>
            </w:pPr>
          </w:p>
        </w:tc>
        <w:tc>
          <w:tcPr>
            <w:tcW w:w="891" w:type="pct"/>
            <w:shd w:val="clear" w:color="auto" w:fill="auto"/>
            <w:noWrap/>
            <w:vAlign w:val="center"/>
          </w:tcPr>
          <w:p w14:paraId="1E9CA787">
            <w:pPr>
              <w:shd w:val="clear"/>
              <w:jc w:val="right"/>
              <w:rPr>
                <w:rFonts w:hint="eastAsia" w:ascii="宋体" w:hAnsi="宋体" w:eastAsia="宋体" w:cs="宋体"/>
                <w:i w:val="0"/>
                <w:iCs w:val="0"/>
                <w:color w:val="000000"/>
                <w:sz w:val="22"/>
                <w:szCs w:val="22"/>
                <w:u w:val="none"/>
              </w:rPr>
            </w:pPr>
          </w:p>
        </w:tc>
      </w:tr>
      <w:tr w14:paraId="0E5B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shd w:val="clear" w:color="auto" w:fill="auto"/>
            <w:vAlign w:val="center"/>
          </w:tcPr>
          <w:p w14:paraId="49CBB97C">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w:t>
            </w:r>
          </w:p>
        </w:tc>
        <w:tc>
          <w:tcPr>
            <w:tcW w:w="0" w:type="auto"/>
            <w:shd w:val="clear" w:color="auto" w:fill="auto"/>
            <w:vAlign w:val="center"/>
          </w:tcPr>
          <w:p w14:paraId="58AAC2BD">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shd w:val="clear" w:color="auto" w:fill="auto"/>
            <w:vAlign w:val="center"/>
          </w:tcPr>
          <w:p w14:paraId="1DE11B8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6A9D331F">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7497CE7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7CC6D965">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42913BD9">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241C0F4C">
            <w:pPr>
              <w:shd w:val="clear"/>
              <w:jc w:val="right"/>
              <w:rPr>
                <w:rFonts w:hint="eastAsia" w:ascii="宋体" w:hAnsi="宋体" w:eastAsia="宋体" w:cs="宋体"/>
                <w:i w:val="0"/>
                <w:iCs w:val="0"/>
                <w:color w:val="000000"/>
                <w:sz w:val="22"/>
                <w:szCs w:val="22"/>
                <w:u w:val="none"/>
              </w:rPr>
            </w:pPr>
          </w:p>
        </w:tc>
      </w:tr>
      <w:tr w14:paraId="2481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293D6F33">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0" w:type="auto"/>
            <w:shd w:val="clear" w:color="auto" w:fill="auto"/>
            <w:vAlign w:val="center"/>
          </w:tcPr>
          <w:p w14:paraId="42EB88FD">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shd w:val="clear" w:color="auto" w:fill="auto"/>
            <w:vAlign w:val="center"/>
          </w:tcPr>
          <w:p w14:paraId="6DD4A06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4895A2E2">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43D1207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1F6128CE">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58D9EFEC">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39DFE5C8">
            <w:pPr>
              <w:shd w:val="clear"/>
              <w:jc w:val="right"/>
              <w:rPr>
                <w:rFonts w:hint="eastAsia" w:ascii="宋体" w:hAnsi="宋体" w:eastAsia="宋体" w:cs="宋体"/>
                <w:i w:val="0"/>
                <w:iCs w:val="0"/>
                <w:color w:val="000000"/>
                <w:sz w:val="22"/>
                <w:szCs w:val="22"/>
                <w:u w:val="none"/>
              </w:rPr>
            </w:pPr>
          </w:p>
        </w:tc>
      </w:tr>
      <w:tr w14:paraId="267B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297E1E3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0" w:type="auto"/>
            <w:shd w:val="clear" w:color="auto" w:fill="auto"/>
            <w:vAlign w:val="center"/>
          </w:tcPr>
          <w:p w14:paraId="47AC31A1">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shd w:val="clear" w:color="auto" w:fill="auto"/>
            <w:vAlign w:val="center"/>
          </w:tcPr>
          <w:p w14:paraId="494E3D5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3B10C06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235E19A5">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3D38459E">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44569BB0">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551CB170">
            <w:pPr>
              <w:shd w:val="clear"/>
              <w:jc w:val="right"/>
              <w:rPr>
                <w:rFonts w:hint="eastAsia" w:ascii="宋体" w:hAnsi="宋体" w:eastAsia="宋体" w:cs="宋体"/>
                <w:i w:val="0"/>
                <w:iCs w:val="0"/>
                <w:color w:val="000000"/>
                <w:sz w:val="22"/>
                <w:szCs w:val="22"/>
                <w:u w:val="none"/>
              </w:rPr>
            </w:pPr>
          </w:p>
        </w:tc>
      </w:tr>
      <w:tr w14:paraId="6267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210967F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0" w:type="auto"/>
            <w:shd w:val="clear" w:color="auto" w:fill="auto"/>
            <w:vAlign w:val="center"/>
          </w:tcPr>
          <w:p w14:paraId="1953FA17">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0" w:type="auto"/>
            <w:shd w:val="clear" w:color="auto" w:fill="auto"/>
            <w:vAlign w:val="center"/>
          </w:tcPr>
          <w:p w14:paraId="1577429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36EDB8B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2E87CFB6">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6F3AC4C1">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5648EF2A">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7EA383D6">
            <w:pPr>
              <w:shd w:val="clear"/>
              <w:jc w:val="right"/>
              <w:rPr>
                <w:rFonts w:hint="eastAsia" w:ascii="宋体" w:hAnsi="宋体" w:eastAsia="宋体" w:cs="宋体"/>
                <w:i w:val="0"/>
                <w:iCs w:val="0"/>
                <w:color w:val="000000"/>
                <w:sz w:val="22"/>
                <w:szCs w:val="22"/>
                <w:u w:val="none"/>
              </w:rPr>
            </w:pPr>
          </w:p>
        </w:tc>
      </w:tr>
      <w:tr w14:paraId="1092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176419C3">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0" w:type="auto"/>
            <w:shd w:val="clear" w:color="auto" w:fill="auto"/>
            <w:vAlign w:val="center"/>
          </w:tcPr>
          <w:p w14:paraId="494331F6">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0" w:type="auto"/>
            <w:shd w:val="clear" w:color="auto" w:fill="auto"/>
            <w:vAlign w:val="center"/>
          </w:tcPr>
          <w:p w14:paraId="3B42561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3CAD8ED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603AA867">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4BCCE6E7">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74BE47F0">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15E7DBCB">
            <w:pPr>
              <w:shd w:val="clear"/>
              <w:jc w:val="right"/>
              <w:rPr>
                <w:rFonts w:hint="eastAsia" w:ascii="宋体" w:hAnsi="宋体" w:eastAsia="宋体" w:cs="宋体"/>
                <w:i w:val="0"/>
                <w:iCs w:val="0"/>
                <w:color w:val="000000"/>
                <w:sz w:val="22"/>
                <w:szCs w:val="22"/>
                <w:u w:val="none"/>
              </w:rPr>
            </w:pPr>
          </w:p>
        </w:tc>
      </w:tr>
    </w:tbl>
    <w:p w14:paraId="52D2352E">
      <w:pPr>
        <w:widowControl/>
        <w:shd w:val="clear"/>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237005D4">
      <w:pPr>
        <w:widowControl/>
        <w:shd w:val="clear"/>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B263493">
      <w:pPr>
        <w:widowControl/>
        <w:shd w:val="clear"/>
        <w:spacing w:line="400" w:lineRule="exact"/>
        <w:jc w:val="center"/>
        <w:textAlignment w:val="center"/>
        <w:rPr>
          <w:rFonts w:ascii="Times New Roman" w:hAnsi="Times New Roman" w:eastAsia="黑体" w:cs="Times New Roman"/>
          <w:color w:val="000000"/>
          <w:kern w:val="0"/>
          <w:sz w:val="32"/>
          <w:szCs w:val="32"/>
        </w:rPr>
      </w:pPr>
    </w:p>
    <w:p w14:paraId="06BEBEF3">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33D48487">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28F60B42">
      <w:pPr>
        <w:widowControl/>
        <w:shd w:val="clear"/>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14279" w:type="dxa"/>
        <w:jc w:val="center"/>
        <w:tblLayout w:type="autofit"/>
        <w:tblCellMar>
          <w:top w:w="0" w:type="dxa"/>
          <w:left w:w="108" w:type="dxa"/>
          <w:bottom w:w="0" w:type="dxa"/>
          <w:right w:w="108" w:type="dxa"/>
        </w:tblCellMar>
      </w:tblPr>
      <w:tblGrid>
        <w:gridCol w:w="3296"/>
        <w:gridCol w:w="616"/>
        <w:gridCol w:w="876"/>
        <w:gridCol w:w="2856"/>
        <w:gridCol w:w="616"/>
        <w:gridCol w:w="876"/>
        <w:gridCol w:w="1737"/>
        <w:gridCol w:w="1644"/>
        <w:gridCol w:w="1762"/>
      </w:tblGrid>
      <w:tr w14:paraId="2DB2622F">
        <w:tblPrEx>
          <w:tblCellMar>
            <w:top w:w="0" w:type="dxa"/>
            <w:left w:w="108" w:type="dxa"/>
            <w:bottom w:w="0" w:type="dxa"/>
            <w:right w:w="108" w:type="dxa"/>
          </w:tblCellMar>
        </w:tblPrEx>
        <w:trPr>
          <w:trHeight w:val="363"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auto"/>
            <w:noWrap/>
            <w:vAlign w:val="center"/>
          </w:tcPr>
          <w:p w14:paraId="497DC22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auto"/>
            <w:noWrap/>
            <w:vAlign w:val="center"/>
          </w:tcPr>
          <w:p w14:paraId="10CF20E1">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DD7390A">
        <w:tblPrEx>
          <w:tblCellMar>
            <w:top w:w="0" w:type="dxa"/>
            <w:left w:w="108" w:type="dxa"/>
            <w:bottom w:w="0" w:type="dxa"/>
            <w:right w:w="108" w:type="dxa"/>
          </w:tblCellMar>
        </w:tblPrEx>
        <w:trPr>
          <w:trHeight w:val="878"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1A8D5003">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0" w:type="auto"/>
            <w:tcBorders>
              <w:top w:val="nil"/>
              <w:left w:val="nil"/>
              <w:bottom w:val="single" w:color="auto" w:sz="4" w:space="0"/>
              <w:right w:val="single" w:color="auto" w:sz="4" w:space="0"/>
            </w:tcBorders>
            <w:shd w:val="clear" w:color="000000" w:fill="auto"/>
            <w:noWrap/>
            <w:vAlign w:val="center"/>
          </w:tcPr>
          <w:p w14:paraId="5B5D93F5">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000000" w:fill="auto"/>
            <w:noWrap/>
            <w:vAlign w:val="center"/>
          </w:tcPr>
          <w:p w14:paraId="29880438">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000000" w:fill="auto"/>
            <w:noWrap/>
            <w:vAlign w:val="center"/>
          </w:tcPr>
          <w:p w14:paraId="2C2F9490">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0" w:type="auto"/>
            <w:tcBorders>
              <w:top w:val="nil"/>
              <w:left w:val="nil"/>
              <w:bottom w:val="single" w:color="auto" w:sz="4" w:space="0"/>
              <w:right w:val="single" w:color="auto" w:sz="4" w:space="0"/>
            </w:tcBorders>
            <w:shd w:val="clear" w:color="000000" w:fill="auto"/>
            <w:noWrap/>
            <w:vAlign w:val="center"/>
          </w:tcPr>
          <w:p w14:paraId="7D7517FD">
            <w:pPr>
              <w:widowControl/>
              <w:shd w:val="clear"/>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000000" w:fill="auto"/>
            <w:noWrap/>
            <w:vAlign w:val="center"/>
          </w:tcPr>
          <w:p w14:paraId="4D77D86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000000" w:fill="auto"/>
            <w:vAlign w:val="center"/>
          </w:tcPr>
          <w:p w14:paraId="06E1F07F">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000000" w:fill="auto"/>
            <w:vAlign w:val="center"/>
          </w:tcPr>
          <w:p w14:paraId="7661DB78">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000000" w:fill="auto"/>
            <w:vAlign w:val="center"/>
          </w:tcPr>
          <w:p w14:paraId="2195B2A8">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748C03E">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672F8F6E">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0" w:type="auto"/>
            <w:tcBorders>
              <w:top w:val="nil"/>
              <w:left w:val="nil"/>
              <w:bottom w:val="single" w:color="auto" w:sz="4" w:space="0"/>
              <w:right w:val="single" w:color="auto" w:sz="4" w:space="0"/>
            </w:tcBorders>
            <w:shd w:val="clear" w:color="000000" w:fill="auto"/>
            <w:noWrap/>
            <w:vAlign w:val="center"/>
          </w:tcPr>
          <w:p w14:paraId="4B3063F2">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000000" w:fill="auto"/>
            <w:noWrap/>
            <w:vAlign w:val="center"/>
          </w:tcPr>
          <w:p w14:paraId="42C3A6E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000000" w:fill="auto"/>
            <w:noWrap/>
            <w:vAlign w:val="center"/>
          </w:tcPr>
          <w:p w14:paraId="0B53F12A">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0" w:type="auto"/>
            <w:tcBorders>
              <w:top w:val="nil"/>
              <w:left w:val="nil"/>
              <w:bottom w:val="single" w:color="auto" w:sz="4" w:space="0"/>
              <w:right w:val="single" w:color="auto" w:sz="4" w:space="0"/>
            </w:tcBorders>
            <w:shd w:val="clear" w:color="000000" w:fill="auto"/>
            <w:noWrap/>
            <w:vAlign w:val="center"/>
          </w:tcPr>
          <w:p w14:paraId="51CEF87B">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000000" w:fill="auto"/>
            <w:noWrap/>
            <w:vAlign w:val="center"/>
          </w:tcPr>
          <w:p w14:paraId="65B50512">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000000" w:fill="auto"/>
            <w:noWrap/>
            <w:vAlign w:val="center"/>
          </w:tcPr>
          <w:p w14:paraId="3BD4C116">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000000" w:fill="auto"/>
            <w:noWrap/>
            <w:vAlign w:val="center"/>
          </w:tcPr>
          <w:p w14:paraId="389002A5">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000000" w:fill="auto"/>
            <w:noWrap/>
            <w:vAlign w:val="center"/>
          </w:tcPr>
          <w:p w14:paraId="1D7B5787">
            <w:pPr>
              <w:widowControl/>
              <w:shd w:val="clear"/>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16C6B0E">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641E2CD8">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000000" w:fill="auto"/>
            <w:noWrap/>
            <w:vAlign w:val="center"/>
          </w:tcPr>
          <w:p w14:paraId="403FF48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000000" w:fill="auto"/>
            <w:noWrap/>
            <w:vAlign w:val="center"/>
          </w:tcPr>
          <w:p w14:paraId="052D9726">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545.29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4A514A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000000" w:fill="auto"/>
            <w:noWrap/>
            <w:vAlign w:val="center"/>
          </w:tcPr>
          <w:p w14:paraId="087B5FB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000000" w:fill="auto"/>
            <w:noWrap/>
            <w:vAlign w:val="center"/>
          </w:tcPr>
          <w:p w14:paraId="376DA83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2FADE3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47028C5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E2E6B03">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BF2D681">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4A708847">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000000" w:fill="auto"/>
            <w:noWrap/>
            <w:vAlign w:val="center"/>
          </w:tcPr>
          <w:p w14:paraId="6DE4FE96">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000000" w:fill="auto"/>
            <w:noWrap/>
            <w:vAlign w:val="center"/>
          </w:tcPr>
          <w:p w14:paraId="5E8C8E84">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7800DC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000000" w:fill="auto"/>
            <w:noWrap/>
            <w:vAlign w:val="center"/>
          </w:tcPr>
          <w:p w14:paraId="5371BD0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000000" w:fill="auto"/>
            <w:noWrap/>
            <w:vAlign w:val="center"/>
          </w:tcPr>
          <w:p w14:paraId="61B3086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EE18B0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E331B0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A9AE19E">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2C00834">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4AABB238">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000000" w:fill="auto"/>
            <w:noWrap/>
            <w:vAlign w:val="center"/>
          </w:tcPr>
          <w:p w14:paraId="1663C26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000000" w:fill="auto"/>
            <w:noWrap/>
            <w:vAlign w:val="center"/>
          </w:tcPr>
          <w:p w14:paraId="0C92FEEE">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8FB41C0">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000000" w:fill="auto"/>
            <w:noWrap/>
            <w:vAlign w:val="center"/>
          </w:tcPr>
          <w:p w14:paraId="7F4C353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000000" w:fill="auto"/>
            <w:noWrap/>
            <w:vAlign w:val="center"/>
          </w:tcPr>
          <w:p w14:paraId="73E26214">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6AF236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CFFE9D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15411DD">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78623D3">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5B2C0E77">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D52BE2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000000" w:fill="auto"/>
            <w:noWrap/>
            <w:vAlign w:val="center"/>
          </w:tcPr>
          <w:p w14:paraId="386A6451">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F8187C6">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000000" w:fill="auto"/>
            <w:noWrap/>
            <w:vAlign w:val="center"/>
          </w:tcPr>
          <w:p w14:paraId="23F1CB8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000000" w:fill="auto"/>
            <w:noWrap/>
            <w:vAlign w:val="center"/>
          </w:tcPr>
          <w:p w14:paraId="253294B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52307E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94B5C5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3BD1E90">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2BC8CB4">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22CA4DC4">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E3ED517">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000000" w:fill="auto"/>
            <w:noWrap/>
            <w:vAlign w:val="center"/>
          </w:tcPr>
          <w:p w14:paraId="086090F6">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CA52D3A">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000000" w:fill="auto"/>
            <w:noWrap/>
            <w:vAlign w:val="center"/>
          </w:tcPr>
          <w:p w14:paraId="02490DC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000000" w:fill="auto"/>
            <w:noWrap/>
            <w:vAlign w:val="center"/>
          </w:tcPr>
          <w:p w14:paraId="42F2ED64">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544.25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2BB5660">
            <w:pPr>
              <w:widowControl/>
              <w:shd w:val="clear"/>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544.25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660CF1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8FDACA9">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D2719AC">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2DD41115">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B77955C">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000000" w:fill="auto"/>
            <w:noWrap/>
            <w:vAlign w:val="center"/>
          </w:tcPr>
          <w:p w14:paraId="2DB69180">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30593A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000000" w:fill="auto"/>
            <w:noWrap/>
            <w:vAlign w:val="center"/>
          </w:tcPr>
          <w:p w14:paraId="1550C5B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000000" w:fill="auto"/>
            <w:noWrap/>
            <w:vAlign w:val="center"/>
          </w:tcPr>
          <w:p w14:paraId="58B6851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D41774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68F3854">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9A25F89">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6CF29B3">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6F8DCB3B">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706A6F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000000" w:fill="auto"/>
            <w:noWrap/>
            <w:vAlign w:val="center"/>
          </w:tcPr>
          <w:p w14:paraId="62C999D1">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16D7FE6">
            <w:pPr>
              <w:widowControl/>
              <w:shd w:val="clear"/>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七、</w:t>
            </w:r>
            <w:r>
              <w:rPr>
                <w:rFonts w:hint="eastAsia" w:ascii="Times New Roman" w:hAnsi="Times New Roman" w:eastAsia="仿宋_GB2312" w:cs="Times New Roman"/>
                <w:kern w:val="0"/>
                <w:sz w:val="24"/>
                <w:szCs w:val="24"/>
              </w:rPr>
              <w:t>社会保障和就业支出</w:t>
            </w:r>
          </w:p>
        </w:tc>
        <w:tc>
          <w:tcPr>
            <w:tcW w:w="0" w:type="auto"/>
            <w:tcBorders>
              <w:top w:val="nil"/>
              <w:left w:val="nil"/>
              <w:bottom w:val="single" w:color="auto" w:sz="4" w:space="0"/>
              <w:right w:val="single" w:color="auto" w:sz="4" w:space="0"/>
            </w:tcBorders>
            <w:shd w:val="clear" w:color="000000" w:fill="auto"/>
            <w:noWrap/>
            <w:vAlign w:val="center"/>
          </w:tcPr>
          <w:p w14:paraId="0B39598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000000" w:fill="auto"/>
            <w:noWrap/>
            <w:vAlign w:val="center"/>
          </w:tcPr>
          <w:p w14:paraId="0718F00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nil"/>
              <w:left w:val="nil"/>
              <w:bottom w:val="single" w:color="auto" w:sz="4" w:space="0"/>
              <w:right w:val="single" w:color="auto" w:sz="4" w:space="0"/>
            </w:tcBorders>
            <w:shd w:val="clear" w:color="000000" w:fill="auto"/>
            <w:noWrap/>
            <w:vAlign w:val="center"/>
          </w:tcPr>
          <w:p w14:paraId="2A9E077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nil"/>
              <w:left w:val="nil"/>
              <w:bottom w:val="single" w:color="auto" w:sz="4" w:space="0"/>
              <w:right w:val="single" w:color="auto" w:sz="4" w:space="0"/>
            </w:tcBorders>
            <w:shd w:val="clear" w:color="000000" w:fill="auto"/>
            <w:noWrap/>
            <w:vAlign w:val="center"/>
          </w:tcPr>
          <w:p w14:paraId="1D29B81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EFC0918">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9E4D503">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0C734525">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6E3466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000000" w:fill="auto"/>
            <w:noWrap/>
            <w:vAlign w:val="center"/>
          </w:tcPr>
          <w:p w14:paraId="48FDBF3F">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C73B9E7">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D116CE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000000" w:fill="auto"/>
            <w:noWrap/>
            <w:vAlign w:val="center"/>
          </w:tcPr>
          <w:p w14:paraId="716738C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E482F6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4F7C53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B4A911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C31D46E">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13CE806B">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000000" w:fill="auto"/>
            <w:noWrap/>
            <w:vAlign w:val="center"/>
          </w:tcPr>
          <w:p w14:paraId="22BAD51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000000" w:fill="auto"/>
            <w:noWrap/>
            <w:vAlign w:val="center"/>
          </w:tcPr>
          <w:p w14:paraId="049AAE39">
            <w:pPr>
              <w:widowControl/>
              <w:shd w:val="clea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545.29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42E23F50">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000000" w:fill="auto"/>
            <w:noWrap/>
            <w:vAlign w:val="center"/>
          </w:tcPr>
          <w:p w14:paraId="2486E698">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000000" w:fill="auto"/>
            <w:noWrap/>
            <w:vAlign w:val="center"/>
          </w:tcPr>
          <w:p w14:paraId="47CF9E2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545.29</w:t>
            </w:r>
          </w:p>
        </w:tc>
        <w:tc>
          <w:tcPr>
            <w:tcW w:w="0" w:type="auto"/>
            <w:tcBorders>
              <w:top w:val="nil"/>
              <w:left w:val="nil"/>
              <w:bottom w:val="single" w:color="auto" w:sz="4" w:space="0"/>
              <w:right w:val="single" w:color="auto" w:sz="4" w:space="0"/>
            </w:tcBorders>
            <w:shd w:val="clear" w:color="000000" w:fill="auto"/>
            <w:noWrap/>
            <w:vAlign w:val="center"/>
          </w:tcPr>
          <w:p w14:paraId="7BEF00E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545.29</w:t>
            </w:r>
          </w:p>
        </w:tc>
        <w:tc>
          <w:tcPr>
            <w:tcW w:w="0" w:type="auto"/>
            <w:tcBorders>
              <w:top w:val="nil"/>
              <w:left w:val="nil"/>
              <w:bottom w:val="single" w:color="auto" w:sz="4" w:space="0"/>
              <w:right w:val="single" w:color="auto" w:sz="4" w:space="0"/>
            </w:tcBorders>
            <w:shd w:val="clear" w:color="000000" w:fill="auto"/>
            <w:noWrap/>
            <w:vAlign w:val="center"/>
          </w:tcPr>
          <w:p w14:paraId="57FB2A7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057B7E1">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2B98E258">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45BF7B2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000000" w:fill="auto"/>
            <w:noWrap/>
            <w:vAlign w:val="center"/>
          </w:tcPr>
          <w:p w14:paraId="5F40FC1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000000" w:fill="auto"/>
            <w:noWrap/>
            <w:vAlign w:val="center"/>
          </w:tcPr>
          <w:p w14:paraId="24D35D45">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2F316B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000000" w:fill="auto"/>
            <w:noWrap/>
            <w:vAlign w:val="center"/>
          </w:tcPr>
          <w:p w14:paraId="2737C72E">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000000" w:fill="auto"/>
            <w:noWrap/>
            <w:vAlign w:val="center"/>
          </w:tcPr>
          <w:p w14:paraId="7AC280B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A17D876">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920A75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4A9BA8D">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372F46E">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72B723BD">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0" w:type="auto"/>
            <w:tcBorders>
              <w:top w:val="nil"/>
              <w:left w:val="nil"/>
              <w:bottom w:val="single" w:color="auto" w:sz="4" w:space="0"/>
              <w:right w:val="single" w:color="auto" w:sz="4" w:space="0"/>
            </w:tcBorders>
            <w:shd w:val="clear" w:color="000000" w:fill="auto"/>
            <w:noWrap/>
            <w:vAlign w:val="center"/>
          </w:tcPr>
          <w:p w14:paraId="13BD6384">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000000" w:fill="auto"/>
            <w:noWrap/>
            <w:vAlign w:val="center"/>
          </w:tcPr>
          <w:p w14:paraId="1C2209F2">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AF986F4">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E3C61A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000000" w:fill="auto"/>
            <w:noWrap/>
            <w:vAlign w:val="center"/>
          </w:tcPr>
          <w:p w14:paraId="4828332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3BDFAB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1D0E8E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CC78263">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83F873D">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29C4A4A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0" w:type="auto"/>
            <w:tcBorders>
              <w:top w:val="nil"/>
              <w:left w:val="nil"/>
              <w:bottom w:val="single" w:color="auto" w:sz="4" w:space="0"/>
              <w:right w:val="single" w:color="auto" w:sz="4" w:space="0"/>
            </w:tcBorders>
            <w:shd w:val="clear" w:color="000000" w:fill="auto"/>
            <w:noWrap/>
            <w:vAlign w:val="center"/>
          </w:tcPr>
          <w:p w14:paraId="663A255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000000" w:fill="auto"/>
            <w:noWrap/>
            <w:vAlign w:val="center"/>
          </w:tcPr>
          <w:p w14:paraId="65A2F61A">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92AE6E1">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0A6D2614">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000000" w:fill="auto"/>
            <w:noWrap/>
            <w:vAlign w:val="center"/>
          </w:tcPr>
          <w:p w14:paraId="41DA2061">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B873CE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6D49BEF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2B2A4CB5">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039AF64">
        <w:tblPrEx>
          <w:tblCellMar>
            <w:top w:w="0" w:type="dxa"/>
            <w:left w:w="108" w:type="dxa"/>
            <w:bottom w:w="0" w:type="dxa"/>
            <w:right w:w="108" w:type="dxa"/>
          </w:tblCellMar>
        </w:tblPrEx>
        <w:trPr>
          <w:trHeight w:val="363"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25EDB80F">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0" w:type="auto"/>
            <w:tcBorders>
              <w:top w:val="nil"/>
              <w:left w:val="nil"/>
              <w:bottom w:val="single" w:color="auto" w:sz="4" w:space="0"/>
              <w:right w:val="single" w:color="auto" w:sz="4" w:space="0"/>
            </w:tcBorders>
            <w:shd w:val="clear" w:color="000000" w:fill="auto"/>
            <w:noWrap/>
            <w:vAlign w:val="center"/>
          </w:tcPr>
          <w:p w14:paraId="6F2C28E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000000" w:fill="auto"/>
            <w:noWrap/>
            <w:vAlign w:val="center"/>
          </w:tcPr>
          <w:p w14:paraId="15CBE2B6">
            <w:pPr>
              <w:widowControl/>
              <w:shd w:val="clear"/>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477D584B">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49F9B552">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000000" w:fill="auto"/>
            <w:noWrap/>
            <w:vAlign w:val="center"/>
          </w:tcPr>
          <w:p w14:paraId="29D70C0A">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5C7A0150">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3958B779">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13BC270C">
            <w:pPr>
              <w:widowControl/>
              <w:shd w:val="clear"/>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D32A069">
        <w:tblPrEx>
          <w:tblCellMar>
            <w:top w:w="0" w:type="dxa"/>
            <w:left w:w="108" w:type="dxa"/>
            <w:bottom w:w="0" w:type="dxa"/>
            <w:right w:w="108" w:type="dxa"/>
          </w:tblCellMar>
        </w:tblPrEx>
        <w:trPr>
          <w:trHeight w:val="397" w:hRule="atLeast"/>
          <w:jc w:val="center"/>
        </w:trPr>
        <w:tc>
          <w:tcPr>
            <w:tcW w:w="0" w:type="auto"/>
            <w:tcBorders>
              <w:top w:val="nil"/>
              <w:left w:val="single" w:color="auto" w:sz="4" w:space="0"/>
              <w:bottom w:val="single" w:color="auto" w:sz="4" w:space="0"/>
              <w:right w:val="single" w:color="auto" w:sz="4" w:space="0"/>
            </w:tcBorders>
            <w:shd w:val="clear" w:color="000000" w:fill="auto"/>
            <w:noWrap/>
            <w:vAlign w:val="center"/>
          </w:tcPr>
          <w:p w14:paraId="65B92BC9">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auto"/>
            <w:noWrap/>
            <w:vAlign w:val="center"/>
          </w:tcPr>
          <w:p w14:paraId="1B8E1A43">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000000" w:fill="auto"/>
            <w:noWrap/>
            <w:vAlign w:val="center"/>
          </w:tcPr>
          <w:p w14:paraId="5572464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545.29</w:t>
            </w:r>
          </w:p>
        </w:tc>
        <w:tc>
          <w:tcPr>
            <w:tcW w:w="0" w:type="auto"/>
            <w:tcBorders>
              <w:top w:val="nil"/>
              <w:left w:val="nil"/>
              <w:bottom w:val="single" w:color="auto" w:sz="4" w:space="0"/>
              <w:right w:val="single" w:color="auto" w:sz="4" w:space="0"/>
            </w:tcBorders>
            <w:shd w:val="clear" w:color="000000" w:fill="auto"/>
            <w:noWrap/>
            <w:vAlign w:val="center"/>
          </w:tcPr>
          <w:p w14:paraId="2EFBAF9E">
            <w:pPr>
              <w:widowControl/>
              <w:shd w:val="clear"/>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auto"/>
            <w:noWrap/>
            <w:vAlign w:val="center"/>
          </w:tcPr>
          <w:p w14:paraId="4D19C365">
            <w:pPr>
              <w:widowControl/>
              <w:shd w:val="clear"/>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auto"/>
            <w:noWrap/>
            <w:vAlign w:val="center"/>
          </w:tcPr>
          <w:p w14:paraId="2BAC1C7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545.29</w:t>
            </w:r>
          </w:p>
        </w:tc>
        <w:tc>
          <w:tcPr>
            <w:tcW w:w="0" w:type="auto"/>
            <w:tcBorders>
              <w:top w:val="nil"/>
              <w:left w:val="nil"/>
              <w:bottom w:val="single" w:color="auto" w:sz="4" w:space="0"/>
              <w:right w:val="single" w:color="auto" w:sz="4" w:space="0"/>
            </w:tcBorders>
            <w:shd w:val="clear" w:color="000000" w:fill="auto"/>
            <w:noWrap/>
            <w:vAlign w:val="center"/>
          </w:tcPr>
          <w:p w14:paraId="485123D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545.29</w:t>
            </w:r>
          </w:p>
        </w:tc>
        <w:tc>
          <w:tcPr>
            <w:tcW w:w="0" w:type="auto"/>
            <w:tcBorders>
              <w:top w:val="nil"/>
              <w:left w:val="nil"/>
              <w:bottom w:val="single" w:color="auto" w:sz="4" w:space="0"/>
              <w:right w:val="single" w:color="auto" w:sz="4" w:space="0"/>
            </w:tcBorders>
            <w:shd w:val="clear" w:color="000000" w:fill="auto"/>
            <w:noWrap/>
            <w:vAlign w:val="center"/>
          </w:tcPr>
          <w:p w14:paraId="319A4759">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000000" w:fill="auto"/>
            <w:noWrap/>
            <w:vAlign w:val="center"/>
          </w:tcPr>
          <w:p w14:paraId="738C8BA3">
            <w:pPr>
              <w:widowControl/>
              <w:shd w:val="clear"/>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958DD69">
      <w:pPr>
        <w:widowControl/>
        <w:shd w:val="clear"/>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62B88C45">
      <w:pPr>
        <w:widowControl/>
        <w:shd w:val="clear"/>
        <w:jc w:val="center"/>
        <w:rPr>
          <w:rFonts w:ascii="Times New Roman" w:hAnsi="Times New Roman" w:eastAsia="方正小标宋_GBK" w:cs="Times New Roman"/>
          <w:kern w:val="0"/>
          <w:sz w:val="36"/>
          <w:szCs w:val="36"/>
        </w:rPr>
      </w:pPr>
    </w:p>
    <w:p w14:paraId="54903B32">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24F0027D">
      <w:pPr>
        <w:widowControl/>
        <w:shd w:val="clear"/>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 w:val="20"/>
          <w:szCs w:val="20"/>
          <w:lang w:val="en-US" w:eastAsia="zh-CN"/>
        </w:rPr>
        <w:t xml:space="preserve">溆浦县舒溶溪乡中学                                                                                                       </w:t>
      </w:r>
      <w:r>
        <w:rPr>
          <w:rFonts w:ascii="Times New Roman" w:hAnsi="Times New Roman" w:eastAsia="仿宋_GB2312" w:cs="Times New Roman"/>
          <w:color w:val="000000"/>
          <w:kern w:val="0"/>
          <w:szCs w:val="21"/>
        </w:rPr>
        <w:t>公开05表</w:t>
      </w:r>
    </w:p>
    <w:p w14:paraId="7E633CB8">
      <w:pPr>
        <w:widowControl/>
        <w:shd w:val="clear"/>
        <w:ind w:firstLine="12810" w:firstLineChars="61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9"/>
        <w:tblW w:w="13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3423"/>
        <w:gridCol w:w="2911"/>
        <w:gridCol w:w="3388"/>
        <w:gridCol w:w="2913"/>
      </w:tblGrid>
      <w:tr w14:paraId="049E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87" w:type="dxa"/>
            <w:gridSpan w:val="2"/>
            <w:shd w:val="clear" w:color="auto" w:fill="auto"/>
            <w:vAlign w:val="center"/>
          </w:tcPr>
          <w:p w14:paraId="2FD4B349">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212" w:type="dxa"/>
            <w:gridSpan w:val="3"/>
            <w:shd w:val="clear" w:color="auto" w:fill="auto"/>
            <w:vAlign w:val="center"/>
          </w:tcPr>
          <w:p w14:paraId="47B622BE">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2AF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64" w:type="dxa"/>
            <w:vMerge w:val="restart"/>
            <w:shd w:val="clear" w:color="auto" w:fill="auto"/>
            <w:vAlign w:val="center"/>
          </w:tcPr>
          <w:p w14:paraId="232C126B">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423" w:type="dxa"/>
            <w:vMerge w:val="restart"/>
            <w:shd w:val="clear" w:color="auto" w:fill="auto"/>
            <w:vAlign w:val="center"/>
          </w:tcPr>
          <w:p w14:paraId="635F7911">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911" w:type="dxa"/>
            <w:vMerge w:val="restart"/>
            <w:shd w:val="clear" w:color="auto" w:fill="auto"/>
            <w:vAlign w:val="center"/>
          </w:tcPr>
          <w:p w14:paraId="1BED01E3">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388" w:type="dxa"/>
            <w:vMerge w:val="restart"/>
            <w:shd w:val="clear" w:color="auto" w:fill="auto"/>
            <w:vAlign w:val="center"/>
          </w:tcPr>
          <w:p w14:paraId="3ACCBBDB">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13" w:type="dxa"/>
            <w:vMerge w:val="restart"/>
            <w:shd w:val="clear" w:color="auto" w:fill="auto"/>
            <w:vAlign w:val="center"/>
          </w:tcPr>
          <w:p w14:paraId="10AF5A45">
            <w:pPr>
              <w:widowControl/>
              <w:shd w:val="clea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798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164" w:type="dxa"/>
            <w:vMerge w:val="continue"/>
            <w:vAlign w:val="center"/>
          </w:tcPr>
          <w:p w14:paraId="51814196">
            <w:pPr>
              <w:widowControl/>
              <w:shd w:val="clear"/>
              <w:jc w:val="left"/>
              <w:rPr>
                <w:rFonts w:ascii="Times New Roman" w:hAnsi="Times New Roman" w:eastAsia="仿宋_GB2312" w:cs="Times New Roman"/>
                <w:kern w:val="0"/>
                <w:szCs w:val="21"/>
              </w:rPr>
            </w:pPr>
          </w:p>
        </w:tc>
        <w:tc>
          <w:tcPr>
            <w:tcW w:w="3423" w:type="dxa"/>
            <w:vMerge w:val="continue"/>
            <w:vAlign w:val="center"/>
          </w:tcPr>
          <w:p w14:paraId="0E18B4A0">
            <w:pPr>
              <w:widowControl/>
              <w:shd w:val="clear"/>
              <w:jc w:val="left"/>
              <w:rPr>
                <w:rFonts w:ascii="Times New Roman" w:hAnsi="Times New Roman" w:eastAsia="仿宋_GB2312" w:cs="Times New Roman"/>
                <w:kern w:val="0"/>
                <w:szCs w:val="21"/>
              </w:rPr>
            </w:pPr>
          </w:p>
        </w:tc>
        <w:tc>
          <w:tcPr>
            <w:tcW w:w="2911" w:type="dxa"/>
            <w:vMerge w:val="continue"/>
            <w:vAlign w:val="center"/>
          </w:tcPr>
          <w:p w14:paraId="391C22DE">
            <w:pPr>
              <w:widowControl/>
              <w:shd w:val="clear"/>
              <w:jc w:val="left"/>
              <w:rPr>
                <w:rFonts w:ascii="Times New Roman" w:hAnsi="Times New Roman" w:eastAsia="仿宋_GB2312" w:cs="Times New Roman"/>
                <w:kern w:val="0"/>
                <w:szCs w:val="21"/>
              </w:rPr>
            </w:pPr>
          </w:p>
        </w:tc>
        <w:tc>
          <w:tcPr>
            <w:tcW w:w="3388" w:type="dxa"/>
            <w:vMerge w:val="continue"/>
            <w:vAlign w:val="center"/>
          </w:tcPr>
          <w:p w14:paraId="5BA69E32">
            <w:pPr>
              <w:widowControl/>
              <w:shd w:val="clear"/>
              <w:jc w:val="left"/>
              <w:rPr>
                <w:rFonts w:ascii="Times New Roman" w:hAnsi="Times New Roman" w:eastAsia="仿宋_GB2312" w:cs="Times New Roman"/>
                <w:kern w:val="0"/>
                <w:szCs w:val="21"/>
              </w:rPr>
            </w:pPr>
          </w:p>
        </w:tc>
        <w:tc>
          <w:tcPr>
            <w:tcW w:w="2913" w:type="dxa"/>
            <w:vMerge w:val="continue"/>
            <w:vAlign w:val="center"/>
          </w:tcPr>
          <w:p w14:paraId="6899B301">
            <w:pPr>
              <w:widowControl/>
              <w:shd w:val="clear"/>
              <w:jc w:val="left"/>
              <w:rPr>
                <w:rFonts w:ascii="Times New Roman" w:hAnsi="Times New Roman" w:eastAsia="仿宋_GB2312" w:cs="Times New Roman"/>
                <w:kern w:val="0"/>
                <w:szCs w:val="21"/>
              </w:rPr>
            </w:pPr>
          </w:p>
        </w:tc>
      </w:tr>
      <w:tr w14:paraId="614E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64" w:type="dxa"/>
            <w:vMerge w:val="continue"/>
            <w:vAlign w:val="center"/>
          </w:tcPr>
          <w:p w14:paraId="0DB32318">
            <w:pPr>
              <w:widowControl/>
              <w:shd w:val="clear"/>
              <w:jc w:val="left"/>
              <w:rPr>
                <w:rFonts w:ascii="Times New Roman" w:hAnsi="Times New Roman" w:eastAsia="仿宋_GB2312" w:cs="Times New Roman"/>
                <w:kern w:val="0"/>
                <w:szCs w:val="21"/>
              </w:rPr>
            </w:pPr>
          </w:p>
        </w:tc>
        <w:tc>
          <w:tcPr>
            <w:tcW w:w="3423" w:type="dxa"/>
            <w:vMerge w:val="continue"/>
            <w:vAlign w:val="center"/>
          </w:tcPr>
          <w:p w14:paraId="5714413C">
            <w:pPr>
              <w:widowControl/>
              <w:shd w:val="clear"/>
              <w:jc w:val="left"/>
              <w:rPr>
                <w:rFonts w:ascii="Times New Roman" w:hAnsi="Times New Roman" w:eastAsia="仿宋_GB2312" w:cs="Times New Roman"/>
                <w:kern w:val="0"/>
                <w:szCs w:val="21"/>
              </w:rPr>
            </w:pPr>
          </w:p>
        </w:tc>
        <w:tc>
          <w:tcPr>
            <w:tcW w:w="2911" w:type="dxa"/>
            <w:vMerge w:val="continue"/>
            <w:vAlign w:val="center"/>
          </w:tcPr>
          <w:p w14:paraId="10B0225B">
            <w:pPr>
              <w:widowControl/>
              <w:shd w:val="clear"/>
              <w:jc w:val="left"/>
              <w:rPr>
                <w:rFonts w:ascii="Times New Roman" w:hAnsi="Times New Roman" w:eastAsia="仿宋_GB2312" w:cs="Times New Roman"/>
                <w:kern w:val="0"/>
                <w:szCs w:val="21"/>
              </w:rPr>
            </w:pPr>
          </w:p>
        </w:tc>
        <w:tc>
          <w:tcPr>
            <w:tcW w:w="3388" w:type="dxa"/>
            <w:vMerge w:val="continue"/>
            <w:vAlign w:val="center"/>
          </w:tcPr>
          <w:p w14:paraId="02DAA0D3">
            <w:pPr>
              <w:widowControl/>
              <w:shd w:val="clear"/>
              <w:jc w:val="left"/>
              <w:rPr>
                <w:rFonts w:ascii="Times New Roman" w:hAnsi="Times New Roman" w:eastAsia="仿宋_GB2312" w:cs="Times New Roman"/>
                <w:kern w:val="0"/>
                <w:szCs w:val="21"/>
              </w:rPr>
            </w:pPr>
          </w:p>
        </w:tc>
        <w:tc>
          <w:tcPr>
            <w:tcW w:w="2913" w:type="dxa"/>
            <w:vMerge w:val="continue"/>
            <w:vAlign w:val="center"/>
          </w:tcPr>
          <w:p w14:paraId="7C2005DF">
            <w:pPr>
              <w:widowControl/>
              <w:shd w:val="clear"/>
              <w:jc w:val="left"/>
              <w:rPr>
                <w:rFonts w:ascii="Times New Roman" w:hAnsi="Times New Roman" w:eastAsia="仿宋_GB2312" w:cs="Times New Roman"/>
                <w:kern w:val="0"/>
                <w:szCs w:val="21"/>
              </w:rPr>
            </w:pPr>
          </w:p>
        </w:tc>
      </w:tr>
      <w:tr w14:paraId="315F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587" w:type="dxa"/>
            <w:gridSpan w:val="2"/>
            <w:shd w:val="clear" w:color="auto" w:fill="auto"/>
            <w:vAlign w:val="center"/>
          </w:tcPr>
          <w:p w14:paraId="5EF3442F">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911" w:type="dxa"/>
            <w:shd w:val="clear" w:color="auto" w:fill="auto"/>
            <w:vAlign w:val="center"/>
          </w:tcPr>
          <w:p w14:paraId="10D25565">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388" w:type="dxa"/>
            <w:shd w:val="clear" w:color="auto" w:fill="auto"/>
            <w:vAlign w:val="center"/>
          </w:tcPr>
          <w:p w14:paraId="4956AFE0">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913" w:type="dxa"/>
            <w:shd w:val="clear" w:color="auto" w:fill="auto"/>
            <w:vAlign w:val="center"/>
          </w:tcPr>
          <w:p w14:paraId="1F00E7C5">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743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587" w:type="dxa"/>
            <w:gridSpan w:val="2"/>
            <w:shd w:val="clear" w:color="auto" w:fill="auto"/>
            <w:vAlign w:val="center"/>
          </w:tcPr>
          <w:p w14:paraId="3B0C1330">
            <w:pPr>
              <w:widowControl/>
              <w:shd w:val="clear"/>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911" w:type="dxa"/>
            <w:shd w:val="clear" w:color="auto" w:fill="auto"/>
            <w:vAlign w:val="center"/>
          </w:tcPr>
          <w:p w14:paraId="3C0C4112">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545.29</w:t>
            </w:r>
          </w:p>
        </w:tc>
        <w:tc>
          <w:tcPr>
            <w:tcW w:w="3388" w:type="dxa"/>
            <w:shd w:val="clear" w:color="auto" w:fill="auto"/>
            <w:vAlign w:val="center"/>
          </w:tcPr>
          <w:p w14:paraId="0829D827">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425.19</w:t>
            </w:r>
          </w:p>
        </w:tc>
        <w:tc>
          <w:tcPr>
            <w:tcW w:w="2913" w:type="dxa"/>
            <w:shd w:val="clear" w:color="auto" w:fill="auto"/>
            <w:vAlign w:val="center"/>
          </w:tcPr>
          <w:p w14:paraId="2DE134A0">
            <w:pPr>
              <w:keepNext w:val="0"/>
              <w:keepLines w:val="0"/>
              <w:widowControl/>
              <w:suppressLineNumbers w:val="0"/>
              <w:shd w:val="clear"/>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120.10</w:t>
            </w:r>
          </w:p>
        </w:tc>
      </w:tr>
      <w:tr w14:paraId="29F2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5D03C686">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3423" w:type="dxa"/>
            <w:shd w:val="clear" w:color="auto" w:fill="auto"/>
            <w:vAlign w:val="center"/>
          </w:tcPr>
          <w:p w14:paraId="75F19208">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教育支出</w:t>
            </w:r>
          </w:p>
        </w:tc>
        <w:tc>
          <w:tcPr>
            <w:tcW w:w="2911" w:type="dxa"/>
            <w:shd w:val="clear" w:color="auto" w:fill="auto"/>
            <w:vAlign w:val="center"/>
          </w:tcPr>
          <w:p w14:paraId="65F1A79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544.25</w:t>
            </w:r>
          </w:p>
        </w:tc>
        <w:tc>
          <w:tcPr>
            <w:tcW w:w="3388" w:type="dxa"/>
            <w:shd w:val="clear" w:color="auto" w:fill="auto"/>
            <w:vAlign w:val="center"/>
          </w:tcPr>
          <w:p w14:paraId="73FB0C8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424.15</w:t>
            </w:r>
          </w:p>
        </w:tc>
        <w:tc>
          <w:tcPr>
            <w:tcW w:w="2913" w:type="dxa"/>
            <w:shd w:val="clear" w:color="auto" w:fill="auto"/>
            <w:vAlign w:val="center"/>
          </w:tcPr>
          <w:p w14:paraId="7665073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120.10</w:t>
            </w:r>
          </w:p>
        </w:tc>
      </w:tr>
      <w:tr w14:paraId="694F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606B9FE8">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w:t>
            </w:r>
          </w:p>
        </w:tc>
        <w:tc>
          <w:tcPr>
            <w:tcW w:w="3423" w:type="dxa"/>
            <w:shd w:val="clear" w:color="auto" w:fill="auto"/>
            <w:vAlign w:val="center"/>
          </w:tcPr>
          <w:p w14:paraId="11A369A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教育管理事务</w:t>
            </w:r>
          </w:p>
        </w:tc>
        <w:tc>
          <w:tcPr>
            <w:tcW w:w="2911" w:type="dxa"/>
            <w:shd w:val="clear" w:color="auto" w:fill="auto"/>
            <w:vAlign w:val="center"/>
          </w:tcPr>
          <w:p w14:paraId="489D745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3388" w:type="dxa"/>
            <w:shd w:val="clear" w:color="auto" w:fill="auto"/>
            <w:vAlign w:val="center"/>
          </w:tcPr>
          <w:p w14:paraId="3E8639E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2913" w:type="dxa"/>
            <w:shd w:val="clear" w:color="auto" w:fill="auto"/>
            <w:vAlign w:val="center"/>
          </w:tcPr>
          <w:p w14:paraId="4238C62D">
            <w:pPr>
              <w:shd w:val="clear"/>
              <w:jc w:val="right"/>
              <w:rPr>
                <w:rFonts w:hint="eastAsia" w:ascii="宋体" w:hAnsi="宋体" w:eastAsia="宋体" w:cs="宋体"/>
                <w:i w:val="0"/>
                <w:iCs w:val="0"/>
                <w:color w:val="000000"/>
                <w:sz w:val="22"/>
                <w:szCs w:val="22"/>
                <w:u w:val="none"/>
              </w:rPr>
            </w:pPr>
          </w:p>
        </w:tc>
      </w:tr>
      <w:tr w14:paraId="483C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2F2F9A84">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2050199</w:t>
            </w:r>
          </w:p>
        </w:tc>
        <w:tc>
          <w:tcPr>
            <w:tcW w:w="3423" w:type="dxa"/>
            <w:shd w:val="clear" w:color="auto" w:fill="auto"/>
            <w:vAlign w:val="center"/>
          </w:tcPr>
          <w:p w14:paraId="292C350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其他教育管理事务支出</w:t>
            </w:r>
          </w:p>
        </w:tc>
        <w:tc>
          <w:tcPr>
            <w:tcW w:w="2911" w:type="dxa"/>
            <w:shd w:val="clear" w:color="auto" w:fill="auto"/>
            <w:vAlign w:val="center"/>
          </w:tcPr>
          <w:p w14:paraId="58D5466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3388" w:type="dxa"/>
            <w:shd w:val="clear" w:color="auto" w:fill="auto"/>
            <w:vAlign w:val="center"/>
          </w:tcPr>
          <w:p w14:paraId="58D1C56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2913" w:type="dxa"/>
            <w:shd w:val="clear" w:color="auto" w:fill="auto"/>
            <w:vAlign w:val="center"/>
          </w:tcPr>
          <w:p w14:paraId="5AE89C1B">
            <w:pPr>
              <w:shd w:val="clear"/>
              <w:jc w:val="right"/>
              <w:rPr>
                <w:rFonts w:hint="eastAsia" w:ascii="宋体" w:hAnsi="宋体" w:eastAsia="宋体" w:cs="宋体"/>
                <w:i w:val="0"/>
                <w:iCs w:val="0"/>
                <w:color w:val="000000"/>
                <w:sz w:val="22"/>
                <w:szCs w:val="22"/>
                <w:u w:val="none"/>
              </w:rPr>
            </w:pPr>
          </w:p>
        </w:tc>
      </w:tr>
      <w:tr w14:paraId="120D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0FFAB6CE">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w:t>
            </w:r>
          </w:p>
        </w:tc>
        <w:tc>
          <w:tcPr>
            <w:tcW w:w="3423" w:type="dxa"/>
            <w:shd w:val="clear" w:color="auto" w:fill="auto"/>
            <w:vAlign w:val="center"/>
          </w:tcPr>
          <w:p w14:paraId="106210E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普通教育</w:t>
            </w:r>
          </w:p>
        </w:tc>
        <w:tc>
          <w:tcPr>
            <w:tcW w:w="2911" w:type="dxa"/>
            <w:shd w:val="clear" w:color="auto" w:fill="auto"/>
            <w:vAlign w:val="center"/>
          </w:tcPr>
          <w:p w14:paraId="3A55DD5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424.80</w:t>
            </w:r>
          </w:p>
        </w:tc>
        <w:tc>
          <w:tcPr>
            <w:tcW w:w="3388" w:type="dxa"/>
            <w:shd w:val="clear" w:color="auto" w:fill="auto"/>
            <w:vAlign w:val="center"/>
          </w:tcPr>
          <w:p w14:paraId="7628230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424.11</w:t>
            </w:r>
          </w:p>
        </w:tc>
        <w:tc>
          <w:tcPr>
            <w:tcW w:w="2913" w:type="dxa"/>
            <w:shd w:val="clear" w:color="auto" w:fill="auto"/>
            <w:vAlign w:val="center"/>
          </w:tcPr>
          <w:p w14:paraId="3EE0B7C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r>
      <w:tr w14:paraId="58EF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568DB22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3423" w:type="dxa"/>
            <w:shd w:val="clear" w:color="auto" w:fill="auto"/>
            <w:vAlign w:val="center"/>
          </w:tcPr>
          <w:p w14:paraId="77E63B6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2911" w:type="dxa"/>
            <w:shd w:val="clear" w:color="auto" w:fill="auto"/>
            <w:vAlign w:val="center"/>
          </w:tcPr>
          <w:p w14:paraId="50D3DF8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424.11</w:t>
            </w:r>
          </w:p>
        </w:tc>
        <w:tc>
          <w:tcPr>
            <w:tcW w:w="3388" w:type="dxa"/>
            <w:shd w:val="clear" w:color="auto" w:fill="auto"/>
            <w:vAlign w:val="center"/>
          </w:tcPr>
          <w:p w14:paraId="19C8992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424.11</w:t>
            </w:r>
          </w:p>
        </w:tc>
        <w:tc>
          <w:tcPr>
            <w:tcW w:w="2913" w:type="dxa"/>
            <w:shd w:val="clear" w:color="auto" w:fill="auto"/>
            <w:vAlign w:val="center"/>
          </w:tcPr>
          <w:p w14:paraId="5927EA7F">
            <w:pPr>
              <w:shd w:val="clear"/>
              <w:jc w:val="right"/>
              <w:rPr>
                <w:rFonts w:hint="eastAsia" w:ascii="宋体" w:hAnsi="宋体" w:eastAsia="宋体" w:cs="宋体"/>
                <w:i w:val="0"/>
                <w:iCs w:val="0"/>
                <w:color w:val="000000"/>
                <w:sz w:val="22"/>
                <w:szCs w:val="22"/>
                <w:u w:val="none"/>
              </w:rPr>
            </w:pPr>
          </w:p>
        </w:tc>
      </w:tr>
      <w:tr w14:paraId="69DF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4" w:type="dxa"/>
            <w:shd w:val="clear" w:color="auto" w:fill="auto"/>
            <w:vAlign w:val="center"/>
          </w:tcPr>
          <w:p w14:paraId="7E25773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2050299</w:t>
            </w:r>
          </w:p>
        </w:tc>
        <w:tc>
          <w:tcPr>
            <w:tcW w:w="3423" w:type="dxa"/>
            <w:shd w:val="clear" w:color="auto" w:fill="auto"/>
            <w:vAlign w:val="center"/>
          </w:tcPr>
          <w:p w14:paraId="39335D03">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其他普通教育支出</w:t>
            </w:r>
          </w:p>
        </w:tc>
        <w:tc>
          <w:tcPr>
            <w:tcW w:w="2911" w:type="dxa"/>
            <w:shd w:val="clear" w:color="auto" w:fill="auto"/>
            <w:vAlign w:val="center"/>
          </w:tcPr>
          <w:p w14:paraId="4C06E85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c>
          <w:tcPr>
            <w:tcW w:w="3388" w:type="dxa"/>
            <w:shd w:val="clear" w:color="auto" w:fill="auto"/>
            <w:vAlign w:val="center"/>
          </w:tcPr>
          <w:p w14:paraId="5E7AAC67">
            <w:pPr>
              <w:shd w:val="clear"/>
              <w:jc w:val="right"/>
              <w:rPr>
                <w:rFonts w:hint="eastAsia" w:ascii="宋体" w:hAnsi="宋体" w:eastAsia="宋体" w:cs="宋体"/>
                <w:i w:val="0"/>
                <w:iCs w:val="0"/>
                <w:color w:val="000000"/>
                <w:sz w:val="22"/>
                <w:szCs w:val="22"/>
                <w:u w:val="none"/>
              </w:rPr>
            </w:pPr>
          </w:p>
        </w:tc>
        <w:tc>
          <w:tcPr>
            <w:tcW w:w="2913" w:type="dxa"/>
            <w:shd w:val="clear" w:color="auto" w:fill="auto"/>
            <w:vAlign w:val="center"/>
          </w:tcPr>
          <w:p w14:paraId="7272497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0.69</w:t>
            </w:r>
          </w:p>
        </w:tc>
      </w:tr>
      <w:tr w14:paraId="4516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shd w:val="clear" w:color="auto" w:fill="auto"/>
            <w:vAlign w:val="center"/>
          </w:tcPr>
          <w:p w14:paraId="40DDC09E">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w:t>
            </w:r>
          </w:p>
        </w:tc>
        <w:tc>
          <w:tcPr>
            <w:tcW w:w="0" w:type="auto"/>
            <w:shd w:val="clear" w:color="auto" w:fill="auto"/>
            <w:vAlign w:val="center"/>
          </w:tcPr>
          <w:p w14:paraId="549E7132">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shd w:val="clear" w:color="auto" w:fill="auto"/>
            <w:vAlign w:val="center"/>
          </w:tcPr>
          <w:p w14:paraId="117B17A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636AD70D">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3C32BEB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r>
      <w:tr w14:paraId="0D3F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0" w:type="auto"/>
            <w:shd w:val="clear" w:color="auto" w:fill="auto"/>
            <w:vAlign w:val="center"/>
          </w:tcPr>
          <w:p w14:paraId="6F9654E5">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2059999</w:t>
            </w:r>
          </w:p>
        </w:tc>
        <w:tc>
          <w:tcPr>
            <w:tcW w:w="0" w:type="auto"/>
            <w:shd w:val="clear" w:color="auto" w:fill="auto"/>
            <w:vAlign w:val="center"/>
          </w:tcPr>
          <w:p w14:paraId="1C317ED0">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其他教育支出</w:t>
            </w:r>
          </w:p>
        </w:tc>
        <w:tc>
          <w:tcPr>
            <w:tcW w:w="0" w:type="auto"/>
            <w:shd w:val="clear" w:color="auto" w:fill="auto"/>
            <w:vAlign w:val="center"/>
          </w:tcPr>
          <w:p w14:paraId="406DEED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c>
          <w:tcPr>
            <w:tcW w:w="0" w:type="auto"/>
            <w:shd w:val="clear" w:color="auto" w:fill="auto"/>
            <w:vAlign w:val="center"/>
          </w:tcPr>
          <w:p w14:paraId="0CF65565">
            <w:pPr>
              <w:shd w:val="clear"/>
              <w:jc w:val="right"/>
              <w:rPr>
                <w:rFonts w:hint="eastAsia" w:ascii="宋体" w:hAnsi="宋体" w:eastAsia="宋体" w:cs="宋体"/>
                <w:i w:val="0"/>
                <w:iCs w:val="0"/>
                <w:color w:val="000000"/>
                <w:sz w:val="22"/>
                <w:szCs w:val="22"/>
                <w:u w:val="none"/>
              </w:rPr>
            </w:pPr>
          </w:p>
        </w:tc>
        <w:tc>
          <w:tcPr>
            <w:tcW w:w="0" w:type="auto"/>
            <w:shd w:val="clear" w:color="auto" w:fill="auto"/>
            <w:vAlign w:val="center"/>
          </w:tcPr>
          <w:p w14:paraId="65C1F26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119.41</w:t>
            </w:r>
          </w:p>
        </w:tc>
      </w:tr>
      <w:tr w14:paraId="246B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0" w:type="auto"/>
            <w:shd w:val="clear" w:color="auto" w:fill="auto"/>
            <w:vAlign w:val="center"/>
          </w:tcPr>
          <w:p w14:paraId="069DE6EA">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0" w:type="auto"/>
            <w:shd w:val="clear" w:color="auto" w:fill="auto"/>
            <w:vAlign w:val="center"/>
          </w:tcPr>
          <w:p w14:paraId="76BEFC99">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shd w:val="clear" w:color="auto" w:fill="auto"/>
            <w:vAlign w:val="center"/>
          </w:tcPr>
          <w:p w14:paraId="4F1DAB4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1ABDFB1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21D52B34">
            <w:pPr>
              <w:shd w:val="clear"/>
              <w:jc w:val="right"/>
              <w:rPr>
                <w:rFonts w:hint="eastAsia" w:ascii="宋体" w:hAnsi="宋体" w:eastAsia="宋体" w:cs="宋体"/>
                <w:i w:val="0"/>
                <w:iCs w:val="0"/>
                <w:color w:val="000000"/>
                <w:sz w:val="22"/>
                <w:szCs w:val="22"/>
                <w:u w:val="none"/>
              </w:rPr>
            </w:pPr>
          </w:p>
        </w:tc>
      </w:tr>
      <w:tr w14:paraId="7CB4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0" w:type="auto"/>
            <w:shd w:val="clear" w:color="auto" w:fill="auto"/>
            <w:vAlign w:val="center"/>
          </w:tcPr>
          <w:p w14:paraId="778E0B81">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w:t>
            </w:r>
          </w:p>
        </w:tc>
        <w:tc>
          <w:tcPr>
            <w:tcW w:w="0" w:type="auto"/>
            <w:shd w:val="clear" w:color="auto" w:fill="auto"/>
            <w:vAlign w:val="center"/>
          </w:tcPr>
          <w:p w14:paraId="3387A69F">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抚恤</w:t>
            </w:r>
          </w:p>
        </w:tc>
        <w:tc>
          <w:tcPr>
            <w:tcW w:w="0" w:type="auto"/>
            <w:shd w:val="clear" w:color="auto" w:fill="auto"/>
            <w:vAlign w:val="center"/>
          </w:tcPr>
          <w:p w14:paraId="63DA9FE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28C1BBD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7A7C23C6">
            <w:pPr>
              <w:shd w:val="clear"/>
              <w:jc w:val="right"/>
              <w:rPr>
                <w:rFonts w:hint="eastAsia" w:ascii="宋体" w:hAnsi="宋体" w:eastAsia="宋体" w:cs="宋体"/>
                <w:i w:val="0"/>
                <w:iCs w:val="0"/>
                <w:color w:val="000000"/>
                <w:sz w:val="22"/>
                <w:szCs w:val="22"/>
                <w:u w:val="none"/>
              </w:rPr>
            </w:pPr>
          </w:p>
        </w:tc>
      </w:tr>
      <w:tr w14:paraId="3804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shd w:val="clear" w:color="auto" w:fill="auto"/>
            <w:vAlign w:val="center"/>
          </w:tcPr>
          <w:p w14:paraId="04AB78C0">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2080801</w:t>
            </w:r>
          </w:p>
        </w:tc>
        <w:tc>
          <w:tcPr>
            <w:tcW w:w="0" w:type="auto"/>
            <w:shd w:val="clear" w:color="auto" w:fill="auto"/>
            <w:vAlign w:val="center"/>
          </w:tcPr>
          <w:p w14:paraId="73180BA0">
            <w:pPr>
              <w:keepNext w:val="0"/>
              <w:keepLines w:val="0"/>
              <w:widowControl/>
              <w:suppressLineNumbers w:val="0"/>
              <w:shd w:val="clear"/>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死亡抚恤</w:t>
            </w:r>
          </w:p>
        </w:tc>
        <w:tc>
          <w:tcPr>
            <w:tcW w:w="0" w:type="auto"/>
            <w:shd w:val="clear" w:color="auto" w:fill="auto"/>
            <w:vAlign w:val="center"/>
          </w:tcPr>
          <w:p w14:paraId="5438026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1A5F5B2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1.04</w:t>
            </w:r>
          </w:p>
        </w:tc>
        <w:tc>
          <w:tcPr>
            <w:tcW w:w="0" w:type="auto"/>
            <w:shd w:val="clear" w:color="auto" w:fill="auto"/>
            <w:vAlign w:val="center"/>
          </w:tcPr>
          <w:p w14:paraId="2D18C587">
            <w:pPr>
              <w:shd w:val="clear"/>
              <w:jc w:val="right"/>
              <w:rPr>
                <w:rFonts w:hint="eastAsia" w:ascii="宋体" w:hAnsi="宋体" w:eastAsia="宋体" w:cs="宋体"/>
                <w:i w:val="0"/>
                <w:iCs w:val="0"/>
                <w:color w:val="000000"/>
                <w:sz w:val="22"/>
                <w:szCs w:val="22"/>
                <w:u w:val="none"/>
              </w:rPr>
            </w:pPr>
          </w:p>
        </w:tc>
      </w:tr>
    </w:tbl>
    <w:p w14:paraId="223C8367">
      <w:pPr>
        <w:widowControl/>
        <w:shd w:val="clear"/>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165ECC7">
      <w:pPr>
        <w:widowControl/>
        <w:shd w:val="clear"/>
        <w:jc w:val="left"/>
        <w:rPr>
          <w:rFonts w:ascii="Times New Roman" w:hAnsi="Times New Roman" w:eastAsia="仿宋_GB2312" w:cs="Times New Roman"/>
          <w:bCs/>
          <w:kern w:val="0"/>
          <w:szCs w:val="21"/>
        </w:rPr>
      </w:pPr>
    </w:p>
    <w:p w14:paraId="7F6948B1">
      <w:pPr>
        <w:widowControl/>
        <w:shd w:val="clear"/>
        <w:jc w:val="left"/>
        <w:rPr>
          <w:rFonts w:ascii="Times New Roman" w:hAnsi="Times New Roman" w:eastAsia="黑体" w:cs="Times New Roman"/>
          <w:color w:val="000000"/>
          <w:kern w:val="0"/>
          <w:sz w:val="36"/>
          <w:szCs w:val="36"/>
        </w:rPr>
      </w:pPr>
      <w:r>
        <w:rPr>
          <w:rFonts w:ascii="Times New Roman" w:hAnsi="Times New Roman" w:eastAsia="仿宋_GB2312" w:cs="Times New Roman"/>
          <w:bCs/>
          <w:kern w:val="0"/>
          <w:szCs w:val="21"/>
        </w:rPr>
        <w:br w:type="page"/>
      </w: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26AC40E1">
      <w:pPr>
        <w:widowControl/>
        <w:shd w:val="clear"/>
        <w:wordWrap w:val="0"/>
        <w:spacing w:line="240" w:lineRule="exact"/>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 w:val="20"/>
          <w:szCs w:val="20"/>
          <w:lang w:val="en-US" w:eastAsia="zh-CN"/>
        </w:rPr>
        <w:t xml:space="preserve">溆浦县舒溶溪乡中学                                                                                                         </w:t>
      </w:r>
      <w:r>
        <w:rPr>
          <w:rFonts w:ascii="Times New Roman" w:hAnsi="Times New Roman" w:eastAsia="仿宋_GB2312" w:cs="Times New Roman"/>
          <w:color w:val="000000"/>
          <w:kern w:val="0"/>
          <w:szCs w:val="21"/>
        </w:rPr>
        <w:t>公开06表</w:t>
      </w:r>
    </w:p>
    <w:p w14:paraId="2D1229D4">
      <w:pPr>
        <w:widowControl/>
        <w:shd w:val="clear"/>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1F5CACF">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C212421">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BC7A696">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58F1A274">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17266ED">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F138860">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5970D76E">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8E50C46">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0932D16">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41BE1E7D">
            <w:pPr>
              <w:widowControl/>
              <w:shd w:val="clear"/>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087DD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BB9F5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6854EE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1BE87F57">
            <w:pPr>
              <w:widowControl/>
              <w:shd w:val="clear"/>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333.88</w:t>
            </w:r>
          </w:p>
        </w:tc>
        <w:tc>
          <w:tcPr>
            <w:tcW w:w="1116" w:type="dxa"/>
            <w:tcBorders>
              <w:top w:val="nil"/>
              <w:left w:val="nil"/>
              <w:bottom w:val="single" w:color="auto" w:sz="4" w:space="0"/>
              <w:right w:val="single" w:color="auto" w:sz="4" w:space="0"/>
            </w:tcBorders>
            <w:shd w:val="clear" w:color="auto" w:fill="auto"/>
            <w:noWrap/>
            <w:vAlign w:val="center"/>
          </w:tcPr>
          <w:p w14:paraId="70B059F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1278E3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473DED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59.02</w:t>
            </w:r>
          </w:p>
        </w:tc>
        <w:tc>
          <w:tcPr>
            <w:tcW w:w="1217" w:type="dxa"/>
            <w:tcBorders>
              <w:top w:val="nil"/>
              <w:left w:val="nil"/>
              <w:bottom w:val="single" w:color="auto" w:sz="4" w:space="0"/>
              <w:right w:val="single" w:color="auto" w:sz="4" w:space="0"/>
            </w:tcBorders>
            <w:shd w:val="clear" w:color="auto" w:fill="auto"/>
            <w:noWrap/>
            <w:vAlign w:val="center"/>
          </w:tcPr>
          <w:p w14:paraId="0E5E641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336603C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7957D3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26D2C2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50C4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38C2584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4564E2C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119.59</w:t>
            </w:r>
          </w:p>
        </w:tc>
        <w:tc>
          <w:tcPr>
            <w:tcW w:w="1116" w:type="dxa"/>
            <w:tcBorders>
              <w:top w:val="nil"/>
              <w:left w:val="nil"/>
              <w:bottom w:val="single" w:color="auto" w:sz="4" w:space="0"/>
              <w:right w:val="single" w:color="auto" w:sz="4" w:space="0"/>
            </w:tcBorders>
            <w:shd w:val="clear" w:color="auto" w:fill="auto"/>
            <w:noWrap/>
            <w:vAlign w:val="center"/>
          </w:tcPr>
          <w:p w14:paraId="1EF31A0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1357FF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933" w:type="dxa"/>
            <w:tcBorders>
              <w:top w:val="nil"/>
              <w:left w:val="nil"/>
              <w:bottom w:val="single" w:color="auto" w:sz="4" w:space="0"/>
              <w:right w:val="single" w:color="auto" w:sz="4" w:space="0"/>
            </w:tcBorders>
            <w:shd w:val="clear" w:color="auto" w:fill="auto"/>
            <w:noWrap/>
            <w:vAlign w:val="center"/>
          </w:tcPr>
          <w:p w14:paraId="78733BE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16.87</w:t>
            </w:r>
          </w:p>
        </w:tc>
        <w:tc>
          <w:tcPr>
            <w:tcW w:w="1217" w:type="dxa"/>
            <w:tcBorders>
              <w:top w:val="nil"/>
              <w:left w:val="nil"/>
              <w:bottom w:val="single" w:color="auto" w:sz="4" w:space="0"/>
              <w:right w:val="single" w:color="auto" w:sz="4" w:space="0"/>
            </w:tcBorders>
            <w:shd w:val="clear" w:color="auto" w:fill="auto"/>
            <w:noWrap/>
            <w:vAlign w:val="center"/>
          </w:tcPr>
          <w:p w14:paraId="22DEBC9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D26F38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11E4B7B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5B356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7D44D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3E404D5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7727CDD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111.03</w:t>
            </w:r>
          </w:p>
        </w:tc>
        <w:tc>
          <w:tcPr>
            <w:tcW w:w="1116" w:type="dxa"/>
            <w:tcBorders>
              <w:top w:val="nil"/>
              <w:left w:val="nil"/>
              <w:bottom w:val="single" w:color="auto" w:sz="4" w:space="0"/>
              <w:right w:val="single" w:color="auto" w:sz="4" w:space="0"/>
            </w:tcBorders>
            <w:shd w:val="clear" w:color="auto" w:fill="auto"/>
            <w:noWrap/>
            <w:vAlign w:val="center"/>
          </w:tcPr>
          <w:p w14:paraId="0B15446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37C97A1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933" w:type="dxa"/>
            <w:tcBorders>
              <w:top w:val="nil"/>
              <w:left w:val="nil"/>
              <w:bottom w:val="single" w:color="auto" w:sz="4" w:space="0"/>
              <w:right w:val="single" w:color="auto" w:sz="4" w:space="0"/>
            </w:tcBorders>
            <w:shd w:val="clear" w:color="auto" w:fill="auto"/>
            <w:noWrap/>
            <w:vAlign w:val="center"/>
          </w:tcPr>
          <w:p w14:paraId="70564CA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4.27</w:t>
            </w:r>
          </w:p>
        </w:tc>
        <w:tc>
          <w:tcPr>
            <w:tcW w:w="1217" w:type="dxa"/>
            <w:tcBorders>
              <w:top w:val="nil"/>
              <w:left w:val="nil"/>
              <w:bottom w:val="single" w:color="auto" w:sz="4" w:space="0"/>
              <w:right w:val="single" w:color="auto" w:sz="4" w:space="0"/>
            </w:tcBorders>
            <w:shd w:val="clear" w:color="auto" w:fill="auto"/>
            <w:noWrap/>
            <w:vAlign w:val="center"/>
          </w:tcPr>
          <w:p w14:paraId="41CF7E1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280C3D3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3A4032F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15DCC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5258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1C3D62C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5048C9A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A9CEC3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2E1AF1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933" w:type="dxa"/>
            <w:tcBorders>
              <w:top w:val="nil"/>
              <w:left w:val="nil"/>
              <w:bottom w:val="single" w:color="auto" w:sz="4" w:space="0"/>
              <w:right w:val="single" w:color="auto" w:sz="4" w:space="0"/>
            </w:tcBorders>
            <w:shd w:val="clear" w:color="auto" w:fill="auto"/>
            <w:noWrap/>
            <w:vAlign w:val="center"/>
          </w:tcPr>
          <w:p w14:paraId="7D35680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0.12</w:t>
            </w:r>
          </w:p>
        </w:tc>
        <w:tc>
          <w:tcPr>
            <w:tcW w:w="1217" w:type="dxa"/>
            <w:tcBorders>
              <w:top w:val="nil"/>
              <w:left w:val="nil"/>
              <w:bottom w:val="single" w:color="auto" w:sz="4" w:space="0"/>
              <w:right w:val="single" w:color="auto" w:sz="4" w:space="0"/>
            </w:tcBorders>
            <w:shd w:val="clear" w:color="auto" w:fill="auto"/>
            <w:noWrap/>
            <w:vAlign w:val="center"/>
          </w:tcPr>
          <w:p w14:paraId="4B19583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0844A40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A3CBC1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F74752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AC199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45F3DF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6943B3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232C6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0B3E11C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933" w:type="dxa"/>
            <w:tcBorders>
              <w:top w:val="nil"/>
              <w:left w:val="nil"/>
              <w:bottom w:val="single" w:color="auto" w:sz="4" w:space="0"/>
              <w:right w:val="single" w:color="auto" w:sz="4" w:space="0"/>
            </w:tcBorders>
            <w:shd w:val="clear" w:color="auto" w:fill="auto"/>
            <w:noWrap/>
            <w:vAlign w:val="center"/>
          </w:tcPr>
          <w:p w14:paraId="3DD3FC6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DE0846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B9FD51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27E62E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0B507E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E08BB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D42AD1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2EF4374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34.10</w:t>
            </w:r>
          </w:p>
        </w:tc>
        <w:tc>
          <w:tcPr>
            <w:tcW w:w="1116" w:type="dxa"/>
            <w:tcBorders>
              <w:top w:val="nil"/>
              <w:left w:val="nil"/>
              <w:bottom w:val="single" w:color="auto" w:sz="4" w:space="0"/>
              <w:right w:val="single" w:color="auto" w:sz="4" w:space="0"/>
            </w:tcBorders>
            <w:shd w:val="clear" w:color="auto" w:fill="auto"/>
            <w:noWrap/>
            <w:vAlign w:val="center"/>
          </w:tcPr>
          <w:p w14:paraId="480FF81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6541CD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933" w:type="dxa"/>
            <w:tcBorders>
              <w:top w:val="nil"/>
              <w:left w:val="nil"/>
              <w:bottom w:val="single" w:color="auto" w:sz="4" w:space="0"/>
              <w:right w:val="single" w:color="auto" w:sz="4" w:space="0"/>
            </w:tcBorders>
            <w:shd w:val="clear" w:color="auto" w:fill="auto"/>
            <w:noWrap/>
            <w:vAlign w:val="center"/>
          </w:tcPr>
          <w:p w14:paraId="606F2AD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w:t>
            </w:r>
          </w:p>
        </w:tc>
        <w:tc>
          <w:tcPr>
            <w:tcW w:w="1217" w:type="dxa"/>
            <w:tcBorders>
              <w:top w:val="nil"/>
              <w:left w:val="nil"/>
              <w:bottom w:val="single" w:color="auto" w:sz="4" w:space="0"/>
              <w:right w:val="single" w:color="auto" w:sz="4" w:space="0"/>
            </w:tcBorders>
            <w:shd w:val="clear" w:color="auto" w:fill="auto"/>
            <w:noWrap/>
            <w:vAlign w:val="center"/>
          </w:tcPr>
          <w:p w14:paraId="4240FA7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0A05632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4F32E6E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3BEA2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7902A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35D5A4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0927427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30.36</w:t>
            </w:r>
          </w:p>
        </w:tc>
        <w:tc>
          <w:tcPr>
            <w:tcW w:w="1116" w:type="dxa"/>
            <w:tcBorders>
              <w:top w:val="nil"/>
              <w:left w:val="nil"/>
              <w:bottom w:val="single" w:color="auto" w:sz="4" w:space="0"/>
              <w:right w:val="single" w:color="auto" w:sz="4" w:space="0"/>
            </w:tcBorders>
            <w:shd w:val="clear" w:color="auto" w:fill="auto"/>
            <w:noWrap/>
            <w:vAlign w:val="center"/>
          </w:tcPr>
          <w:p w14:paraId="759E4EB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5448EE2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933" w:type="dxa"/>
            <w:tcBorders>
              <w:top w:val="nil"/>
              <w:left w:val="nil"/>
              <w:bottom w:val="single" w:color="auto" w:sz="4" w:space="0"/>
              <w:right w:val="single" w:color="auto" w:sz="4" w:space="0"/>
            </w:tcBorders>
            <w:shd w:val="clear" w:color="auto" w:fill="auto"/>
            <w:noWrap/>
            <w:vAlign w:val="center"/>
          </w:tcPr>
          <w:p w14:paraId="10AF736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1.53</w:t>
            </w:r>
          </w:p>
        </w:tc>
        <w:tc>
          <w:tcPr>
            <w:tcW w:w="1217" w:type="dxa"/>
            <w:tcBorders>
              <w:top w:val="nil"/>
              <w:left w:val="nil"/>
              <w:bottom w:val="single" w:color="auto" w:sz="4" w:space="0"/>
              <w:right w:val="single" w:color="auto" w:sz="4" w:space="0"/>
            </w:tcBorders>
            <w:shd w:val="clear" w:color="auto" w:fill="auto"/>
            <w:noWrap/>
            <w:vAlign w:val="center"/>
          </w:tcPr>
          <w:p w14:paraId="49C3227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8AEB21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5236CE5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43770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0DD02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60E2F1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631F61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DD063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3201D0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933" w:type="dxa"/>
            <w:tcBorders>
              <w:top w:val="nil"/>
              <w:left w:val="nil"/>
              <w:bottom w:val="single" w:color="auto" w:sz="4" w:space="0"/>
              <w:right w:val="single" w:color="auto" w:sz="4" w:space="0"/>
            </w:tcBorders>
            <w:shd w:val="clear" w:color="auto" w:fill="auto"/>
            <w:noWrap/>
            <w:vAlign w:val="center"/>
          </w:tcPr>
          <w:p w14:paraId="6FF2BC7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646B23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2DADE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36B7D83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E70EE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C4C7E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84BBDE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734C08A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16.76</w:t>
            </w:r>
          </w:p>
        </w:tc>
        <w:tc>
          <w:tcPr>
            <w:tcW w:w="1116" w:type="dxa"/>
            <w:tcBorders>
              <w:top w:val="nil"/>
              <w:left w:val="nil"/>
              <w:bottom w:val="single" w:color="auto" w:sz="4" w:space="0"/>
              <w:right w:val="single" w:color="auto" w:sz="4" w:space="0"/>
            </w:tcBorders>
            <w:shd w:val="clear" w:color="auto" w:fill="auto"/>
            <w:noWrap/>
            <w:vAlign w:val="center"/>
          </w:tcPr>
          <w:p w14:paraId="3BB658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A57AC9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933" w:type="dxa"/>
            <w:tcBorders>
              <w:top w:val="nil"/>
              <w:left w:val="nil"/>
              <w:bottom w:val="single" w:color="auto" w:sz="4" w:space="0"/>
              <w:right w:val="single" w:color="auto" w:sz="4" w:space="0"/>
            </w:tcBorders>
            <w:shd w:val="clear" w:color="auto" w:fill="auto"/>
            <w:noWrap/>
            <w:vAlign w:val="center"/>
          </w:tcPr>
          <w:p w14:paraId="69EB9E0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16FE1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2CB784E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35CE152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56990C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46DBA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346A48D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5C9C990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9D6937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90286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933" w:type="dxa"/>
            <w:tcBorders>
              <w:top w:val="nil"/>
              <w:left w:val="nil"/>
              <w:bottom w:val="single" w:color="auto" w:sz="4" w:space="0"/>
              <w:right w:val="single" w:color="auto" w:sz="4" w:space="0"/>
            </w:tcBorders>
            <w:shd w:val="clear" w:color="auto" w:fill="auto"/>
            <w:noWrap/>
            <w:vAlign w:val="center"/>
          </w:tcPr>
          <w:p w14:paraId="3AC0F0C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9A3D02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3C91351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3E5DC3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07DBB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2F7F4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12A89E9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5FFE685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2.97</w:t>
            </w:r>
          </w:p>
        </w:tc>
        <w:tc>
          <w:tcPr>
            <w:tcW w:w="1116" w:type="dxa"/>
            <w:tcBorders>
              <w:top w:val="nil"/>
              <w:left w:val="nil"/>
              <w:bottom w:val="single" w:color="auto" w:sz="4" w:space="0"/>
              <w:right w:val="single" w:color="auto" w:sz="4" w:space="0"/>
            </w:tcBorders>
            <w:shd w:val="clear" w:color="auto" w:fill="auto"/>
            <w:noWrap/>
            <w:vAlign w:val="center"/>
          </w:tcPr>
          <w:p w14:paraId="1A14FB9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42A9176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933" w:type="dxa"/>
            <w:tcBorders>
              <w:top w:val="nil"/>
              <w:left w:val="nil"/>
              <w:bottom w:val="single" w:color="auto" w:sz="4" w:space="0"/>
              <w:right w:val="single" w:color="auto" w:sz="4" w:space="0"/>
            </w:tcBorders>
            <w:shd w:val="clear" w:color="auto" w:fill="auto"/>
            <w:noWrap/>
            <w:vAlign w:val="center"/>
          </w:tcPr>
          <w:p w14:paraId="00E9F64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8.86</w:t>
            </w:r>
          </w:p>
        </w:tc>
        <w:tc>
          <w:tcPr>
            <w:tcW w:w="1217" w:type="dxa"/>
            <w:tcBorders>
              <w:top w:val="nil"/>
              <w:left w:val="nil"/>
              <w:bottom w:val="single" w:color="auto" w:sz="4" w:space="0"/>
              <w:right w:val="single" w:color="auto" w:sz="4" w:space="0"/>
            </w:tcBorders>
            <w:shd w:val="clear" w:color="auto" w:fill="auto"/>
            <w:noWrap/>
            <w:vAlign w:val="center"/>
          </w:tcPr>
          <w:p w14:paraId="2DB9B85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411A323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4932CFF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D42FA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8E08A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50A12D6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054B708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14.90</w:t>
            </w:r>
          </w:p>
        </w:tc>
        <w:tc>
          <w:tcPr>
            <w:tcW w:w="1116" w:type="dxa"/>
            <w:tcBorders>
              <w:top w:val="nil"/>
              <w:left w:val="nil"/>
              <w:bottom w:val="single" w:color="auto" w:sz="4" w:space="0"/>
              <w:right w:val="single" w:color="auto" w:sz="4" w:space="0"/>
            </w:tcBorders>
            <w:shd w:val="clear" w:color="auto" w:fill="auto"/>
            <w:noWrap/>
            <w:vAlign w:val="center"/>
          </w:tcPr>
          <w:p w14:paraId="12DD193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BBC4A0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D1F07E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AD87CE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9D92E6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11B5E250">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CD01F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2CEB2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ABFA6A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02FAE56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0F8AD1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40C577D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933" w:type="dxa"/>
            <w:tcBorders>
              <w:top w:val="nil"/>
              <w:left w:val="nil"/>
              <w:bottom w:val="single" w:color="auto" w:sz="4" w:space="0"/>
              <w:right w:val="single" w:color="auto" w:sz="4" w:space="0"/>
            </w:tcBorders>
            <w:shd w:val="clear" w:color="auto" w:fill="auto"/>
            <w:noWrap/>
            <w:vAlign w:val="center"/>
          </w:tcPr>
          <w:p w14:paraId="74B5D1C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3.12</w:t>
            </w:r>
          </w:p>
        </w:tc>
        <w:tc>
          <w:tcPr>
            <w:tcW w:w="1217" w:type="dxa"/>
            <w:tcBorders>
              <w:top w:val="nil"/>
              <w:left w:val="nil"/>
              <w:bottom w:val="single" w:color="auto" w:sz="4" w:space="0"/>
              <w:right w:val="single" w:color="auto" w:sz="4" w:space="0"/>
            </w:tcBorders>
            <w:shd w:val="clear" w:color="auto" w:fill="auto"/>
            <w:noWrap/>
            <w:vAlign w:val="center"/>
          </w:tcPr>
          <w:p w14:paraId="757D518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63A0301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08644B6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D0931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A87D4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330B67D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10905A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4.17</w:t>
            </w:r>
          </w:p>
        </w:tc>
        <w:tc>
          <w:tcPr>
            <w:tcW w:w="1116" w:type="dxa"/>
            <w:tcBorders>
              <w:top w:val="nil"/>
              <w:left w:val="nil"/>
              <w:bottom w:val="single" w:color="auto" w:sz="4" w:space="0"/>
              <w:right w:val="single" w:color="auto" w:sz="4" w:space="0"/>
            </w:tcBorders>
            <w:shd w:val="clear" w:color="auto" w:fill="auto"/>
            <w:noWrap/>
            <w:vAlign w:val="center"/>
          </w:tcPr>
          <w:p w14:paraId="30DE05E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90EED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933" w:type="dxa"/>
            <w:tcBorders>
              <w:top w:val="nil"/>
              <w:left w:val="nil"/>
              <w:bottom w:val="single" w:color="auto" w:sz="4" w:space="0"/>
              <w:right w:val="single" w:color="auto" w:sz="4" w:space="0"/>
            </w:tcBorders>
            <w:shd w:val="clear" w:color="auto" w:fill="auto"/>
            <w:noWrap/>
            <w:vAlign w:val="center"/>
          </w:tcPr>
          <w:p w14:paraId="29E916D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F5D964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CA20EF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16857C6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C2808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027AF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273DCF7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75C11F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32.29</w:t>
            </w:r>
          </w:p>
        </w:tc>
        <w:tc>
          <w:tcPr>
            <w:tcW w:w="1116" w:type="dxa"/>
            <w:tcBorders>
              <w:top w:val="nil"/>
              <w:left w:val="nil"/>
              <w:bottom w:val="single" w:color="auto" w:sz="4" w:space="0"/>
              <w:right w:val="single" w:color="auto" w:sz="4" w:space="0"/>
            </w:tcBorders>
            <w:shd w:val="clear" w:color="auto" w:fill="auto"/>
            <w:noWrap/>
            <w:vAlign w:val="center"/>
          </w:tcPr>
          <w:p w14:paraId="5629C1B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BBA5F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933" w:type="dxa"/>
            <w:tcBorders>
              <w:top w:val="nil"/>
              <w:left w:val="nil"/>
              <w:bottom w:val="single" w:color="auto" w:sz="4" w:space="0"/>
              <w:right w:val="single" w:color="auto" w:sz="4" w:space="0"/>
            </w:tcBorders>
            <w:shd w:val="clear" w:color="auto" w:fill="auto"/>
            <w:noWrap/>
            <w:vAlign w:val="center"/>
          </w:tcPr>
          <w:p w14:paraId="2720E7A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0.86</w:t>
            </w:r>
          </w:p>
        </w:tc>
        <w:tc>
          <w:tcPr>
            <w:tcW w:w="1217" w:type="dxa"/>
            <w:tcBorders>
              <w:top w:val="nil"/>
              <w:left w:val="nil"/>
              <w:bottom w:val="single" w:color="auto" w:sz="4" w:space="0"/>
              <w:right w:val="single" w:color="auto" w:sz="4" w:space="0"/>
            </w:tcBorders>
            <w:shd w:val="clear" w:color="auto" w:fill="auto"/>
            <w:noWrap/>
            <w:vAlign w:val="center"/>
          </w:tcPr>
          <w:p w14:paraId="0385189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3500604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6BA7BA6E">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1EA9C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B9632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E3A34F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24634C5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BE3965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DC8323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933" w:type="dxa"/>
            <w:tcBorders>
              <w:top w:val="nil"/>
              <w:left w:val="nil"/>
              <w:bottom w:val="single" w:color="auto" w:sz="4" w:space="0"/>
              <w:right w:val="single" w:color="auto" w:sz="4" w:space="0"/>
            </w:tcBorders>
            <w:shd w:val="clear" w:color="auto" w:fill="auto"/>
            <w:noWrap/>
            <w:vAlign w:val="center"/>
          </w:tcPr>
          <w:p w14:paraId="33FBF3F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0.11</w:t>
            </w:r>
          </w:p>
        </w:tc>
        <w:tc>
          <w:tcPr>
            <w:tcW w:w="1217" w:type="dxa"/>
            <w:tcBorders>
              <w:top w:val="nil"/>
              <w:left w:val="nil"/>
              <w:bottom w:val="single" w:color="auto" w:sz="4" w:space="0"/>
              <w:right w:val="single" w:color="auto" w:sz="4" w:space="0"/>
            </w:tcBorders>
            <w:shd w:val="clear" w:color="auto" w:fill="auto"/>
            <w:noWrap/>
            <w:vAlign w:val="center"/>
          </w:tcPr>
          <w:p w14:paraId="5BB26EC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44CBA57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34D0C04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C8EEC0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7B32C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1D5093F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788ED33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CA0938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9743E2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933" w:type="dxa"/>
            <w:tcBorders>
              <w:top w:val="nil"/>
              <w:left w:val="nil"/>
              <w:bottom w:val="single" w:color="auto" w:sz="4" w:space="0"/>
              <w:right w:val="single" w:color="auto" w:sz="4" w:space="0"/>
            </w:tcBorders>
            <w:shd w:val="clear" w:color="auto" w:fill="auto"/>
            <w:noWrap/>
            <w:vAlign w:val="center"/>
          </w:tcPr>
          <w:p w14:paraId="345D0D3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B85A9C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F34201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6BB965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501C84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D594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D4E506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7CB214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8C9316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7E64AD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933" w:type="dxa"/>
            <w:tcBorders>
              <w:top w:val="nil"/>
              <w:left w:val="nil"/>
              <w:bottom w:val="single" w:color="auto" w:sz="4" w:space="0"/>
              <w:right w:val="single" w:color="auto" w:sz="4" w:space="0"/>
            </w:tcBorders>
            <w:shd w:val="clear" w:color="auto" w:fill="auto"/>
            <w:noWrap/>
            <w:vAlign w:val="center"/>
          </w:tcPr>
          <w:p w14:paraId="3BDAC20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0.89</w:t>
            </w:r>
          </w:p>
        </w:tc>
        <w:tc>
          <w:tcPr>
            <w:tcW w:w="1217" w:type="dxa"/>
            <w:tcBorders>
              <w:top w:val="nil"/>
              <w:left w:val="nil"/>
              <w:bottom w:val="single" w:color="auto" w:sz="4" w:space="0"/>
              <w:right w:val="single" w:color="auto" w:sz="4" w:space="0"/>
            </w:tcBorders>
            <w:shd w:val="clear" w:color="auto" w:fill="auto"/>
            <w:noWrap/>
            <w:vAlign w:val="center"/>
          </w:tcPr>
          <w:p w14:paraId="3CF1A00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822F2D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AA2C91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FDA7A8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978BC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0D7601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56BE0E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3C63BC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87C3E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933" w:type="dxa"/>
            <w:tcBorders>
              <w:top w:val="nil"/>
              <w:left w:val="nil"/>
              <w:bottom w:val="single" w:color="auto" w:sz="4" w:space="0"/>
              <w:right w:val="single" w:color="auto" w:sz="4" w:space="0"/>
            </w:tcBorders>
            <w:shd w:val="clear" w:color="auto" w:fill="auto"/>
            <w:noWrap/>
            <w:vAlign w:val="center"/>
          </w:tcPr>
          <w:p w14:paraId="274D4BD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A27FCB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3CA5328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5B7D38EC">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7E043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86A4B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F49FA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126F91E1">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31.59</w:t>
            </w:r>
          </w:p>
        </w:tc>
        <w:tc>
          <w:tcPr>
            <w:tcW w:w="1116" w:type="dxa"/>
            <w:tcBorders>
              <w:top w:val="nil"/>
              <w:left w:val="nil"/>
              <w:bottom w:val="single" w:color="auto" w:sz="4" w:space="0"/>
              <w:right w:val="single" w:color="auto" w:sz="4" w:space="0"/>
            </w:tcBorders>
            <w:shd w:val="clear" w:color="auto" w:fill="auto"/>
            <w:noWrap/>
            <w:vAlign w:val="center"/>
          </w:tcPr>
          <w:p w14:paraId="09F8D0F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182728F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933" w:type="dxa"/>
            <w:tcBorders>
              <w:top w:val="nil"/>
              <w:left w:val="nil"/>
              <w:bottom w:val="single" w:color="auto" w:sz="4" w:space="0"/>
              <w:right w:val="single" w:color="auto" w:sz="4" w:space="0"/>
            </w:tcBorders>
            <w:shd w:val="clear" w:color="auto" w:fill="auto"/>
            <w:noWrap/>
            <w:vAlign w:val="center"/>
          </w:tcPr>
          <w:p w14:paraId="0992C9C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56C5DB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522DAA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829DAE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D6ED0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2B297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FC68B3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198F910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232E33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0290AD6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933" w:type="dxa"/>
            <w:tcBorders>
              <w:top w:val="nil"/>
              <w:left w:val="nil"/>
              <w:bottom w:val="single" w:color="auto" w:sz="4" w:space="0"/>
              <w:right w:val="single" w:color="auto" w:sz="4" w:space="0"/>
            </w:tcBorders>
            <w:shd w:val="clear" w:color="auto" w:fill="auto"/>
            <w:noWrap/>
            <w:vAlign w:val="center"/>
          </w:tcPr>
          <w:p w14:paraId="6AB3A15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2.58</w:t>
            </w:r>
          </w:p>
        </w:tc>
        <w:tc>
          <w:tcPr>
            <w:tcW w:w="1217" w:type="dxa"/>
            <w:tcBorders>
              <w:top w:val="nil"/>
              <w:left w:val="nil"/>
              <w:bottom w:val="single" w:color="auto" w:sz="4" w:space="0"/>
              <w:right w:val="single" w:color="auto" w:sz="4" w:space="0"/>
            </w:tcBorders>
            <w:shd w:val="clear" w:color="auto" w:fill="auto"/>
            <w:noWrap/>
            <w:vAlign w:val="center"/>
          </w:tcPr>
          <w:p w14:paraId="764DAD9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84DA18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0D62F09">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C5BBE4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196F5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769E8D0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6880E5B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EBC1A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C25C20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933" w:type="dxa"/>
            <w:tcBorders>
              <w:top w:val="nil"/>
              <w:left w:val="nil"/>
              <w:bottom w:val="single" w:color="auto" w:sz="4" w:space="0"/>
              <w:right w:val="single" w:color="auto" w:sz="4" w:space="0"/>
            </w:tcBorders>
            <w:shd w:val="clear" w:color="auto" w:fill="auto"/>
            <w:noWrap/>
            <w:vAlign w:val="center"/>
          </w:tcPr>
          <w:p w14:paraId="1D29277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F3C815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68D977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BAD0038">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8B34CE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2C69E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57627BF">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01E6B4DC">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9CB18D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897A5F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933" w:type="dxa"/>
            <w:tcBorders>
              <w:top w:val="nil"/>
              <w:left w:val="nil"/>
              <w:bottom w:val="single" w:color="auto" w:sz="4" w:space="0"/>
              <w:right w:val="single" w:color="auto" w:sz="4" w:space="0"/>
            </w:tcBorders>
            <w:shd w:val="clear" w:color="auto" w:fill="auto"/>
            <w:noWrap/>
            <w:vAlign w:val="center"/>
          </w:tcPr>
          <w:p w14:paraId="1BB77754">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C62D5F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CB6A97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53D30EEA">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64F55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ECA88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5BF73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7AD681D6">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D4ADCA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6CA0BA7">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933" w:type="dxa"/>
            <w:tcBorders>
              <w:top w:val="nil"/>
              <w:left w:val="nil"/>
              <w:bottom w:val="single" w:color="auto" w:sz="4" w:space="0"/>
              <w:right w:val="single" w:color="auto" w:sz="4" w:space="0"/>
            </w:tcBorders>
            <w:shd w:val="clear" w:color="auto" w:fill="auto"/>
            <w:noWrap/>
            <w:vAlign w:val="center"/>
          </w:tcPr>
          <w:p w14:paraId="1BC76A4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02991A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64C7FA3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5D3DE232">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3C5604D1">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C536644">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D14B">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F723E0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B005">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6A739E47">
            <w:pPr>
              <w:widowControl/>
              <w:shd w:val="clear"/>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23FACA4">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39FF">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28CF440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60A6">
                  <w:pPr>
                    <w:widowControl/>
                    <w:shd w:val="clear"/>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0B954208">
            <w:pPr>
              <w:widowControl/>
              <w:shd w:val="clear"/>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E9A89BF">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24DA9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C0FC3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2881DC40">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450428D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DFC7D0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0CC972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F4789ED">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F968658">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21E037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73E8700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55E90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9798F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18E5589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9FC0B2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0E3FB5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26CCC711">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933" w:type="dxa"/>
            <w:tcBorders>
              <w:top w:val="nil"/>
              <w:left w:val="nil"/>
              <w:bottom w:val="single" w:color="auto" w:sz="4" w:space="0"/>
              <w:right w:val="single" w:color="auto" w:sz="4" w:space="0"/>
            </w:tcBorders>
            <w:shd w:val="clear" w:color="auto" w:fill="auto"/>
            <w:noWrap/>
            <w:vAlign w:val="center"/>
          </w:tcPr>
          <w:p w14:paraId="41CEA0D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0.04</w:t>
            </w:r>
          </w:p>
        </w:tc>
        <w:tc>
          <w:tcPr>
            <w:tcW w:w="1217" w:type="dxa"/>
            <w:tcBorders>
              <w:top w:val="nil"/>
              <w:left w:val="nil"/>
              <w:bottom w:val="single" w:color="auto" w:sz="4" w:space="0"/>
              <w:right w:val="single" w:color="auto" w:sz="4" w:space="0"/>
            </w:tcBorders>
            <w:shd w:val="clear" w:color="auto" w:fill="auto"/>
            <w:noWrap/>
            <w:vAlign w:val="center"/>
          </w:tcPr>
          <w:p w14:paraId="23C2A19E">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31EC31B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CC49713">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163D9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745FD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7AB4B48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C444432">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0.60</w:t>
            </w:r>
          </w:p>
        </w:tc>
        <w:tc>
          <w:tcPr>
            <w:tcW w:w="1116" w:type="dxa"/>
            <w:tcBorders>
              <w:top w:val="nil"/>
              <w:left w:val="nil"/>
              <w:bottom w:val="single" w:color="auto" w:sz="4" w:space="0"/>
              <w:right w:val="single" w:color="auto" w:sz="4" w:space="0"/>
            </w:tcBorders>
            <w:shd w:val="clear" w:color="auto" w:fill="auto"/>
            <w:noWrap/>
            <w:vAlign w:val="center"/>
          </w:tcPr>
          <w:p w14:paraId="4EE9BBF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89C0879">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933" w:type="dxa"/>
            <w:tcBorders>
              <w:top w:val="nil"/>
              <w:left w:val="nil"/>
              <w:bottom w:val="single" w:color="auto" w:sz="4" w:space="0"/>
              <w:right w:val="single" w:color="auto" w:sz="4" w:space="0"/>
            </w:tcBorders>
            <w:shd w:val="clear" w:color="auto" w:fill="auto"/>
            <w:noWrap/>
            <w:vAlign w:val="center"/>
          </w:tcPr>
          <w:p w14:paraId="03BC9DF7">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43B594F">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E096533">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6E73934">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F679A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546A2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3400491D">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CC7B683">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BD6CDB5">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2C604FA">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0EEE18B">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16.75</w:t>
            </w:r>
          </w:p>
        </w:tc>
        <w:tc>
          <w:tcPr>
            <w:tcW w:w="1217" w:type="dxa"/>
            <w:tcBorders>
              <w:top w:val="nil"/>
              <w:left w:val="nil"/>
              <w:bottom w:val="single" w:color="auto" w:sz="4" w:space="0"/>
              <w:right w:val="single" w:color="auto" w:sz="4" w:space="0"/>
            </w:tcBorders>
            <w:shd w:val="clear" w:color="auto" w:fill="auto"/>
            <w:noWrap/>
            <w:vAlign w:val="center"/>
          </w:tcPr>
          <w:p w14:paraId="64251AA5">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4A6D327">
            <w:pPr>
              <w:widowControl/>
              <w:shd w:val="clear"/>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0B2287B">
            <w:pPr>
              <w:widowControl/>
              <w:shd w:val="clear"/>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99E809A">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F097F4">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06342AA5">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366.17</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3E1B5FEA">
            <w:pPr>
              <w:widowControl/>
              <w:shd w:val="clear"/>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03033FE6">
            <w:pPr>
              <w:keepNext w:val="0"/>
              <w:keepLines w:val="0"/>
              <w:widowControl/>
              <w:suppressLineNumbers w:val="0"/>
              <w:shd w:val="clear"/>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59.02</w:t>
            </w:r>
          </w:p>
        </w:tc>
      </w:tr>
    </w:tbl>
    <w:p w14:paraId="79F2FABF">
      <w:pPr>
        <w:widowControl/>
        <w:shd w:val="clear"/>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F7DC451">
      <w:pPr>
        <w:widowControl/>
        <w:shd w:val="clear"/>
        <w:spacing w:line="400" w:lineRule="exact"/>
        <w:jc w:val="center"/>
        <w:textAlignment w:val="center"/>
        <w:rPr>
          <w:rFonts w:ascii="Times New Roman" w:hAnsi="Times New Roman" w:eastAsia="仿宋_GB2312" w:cs="Times New Roman"/>
          <w:color w:val="000000"/>
          <w:kern w:val="0"/>
          <w:sz w:val="32"/>
          <w:szCs w:val="32"/>
        </w:rPr>
      </w:pPr>
    </w:p>
    <w:p w14:paraId="58B0BE56">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352979ED">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E17C2A9">
      <w:pPr>
        <w:widowControl/>
        <w:shd w:val="clear"/>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B0107EF">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4460A">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08D2F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7F52C">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F99D34">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36892">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0CD0C72D">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6BFED">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850E6">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D980B">
            <w:pPr>
              <w:widowControl/>
              <w:shd w:val="clear"/>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BE7C6">
            <w:pPr>
              <w:widowControl/>
              <w:shd w:val="clear"/>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BC327">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19FB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760D2">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07384">
            <w:pPr>
              <w:widowControl/>
              <w:shd w:val="clear"/>
              <w:jc w:val="center"/>
              <w:rPr>
                <w:rFonts w:ascii="Times New Roman" w:hAnsi="Times New Roman" w:eastAsia="仿宋_GB2312" w:cs="Times New Roman"/>
                <w:color w:val="000000"/>
                <w:sz w:val="24"/>
                <w:szCs w:val="24"/>
              </w:rPr>
            </w:pPr>
          </w:p>
        </w:tc>
      </w:tr>
      <w:tr w14:paraId="2AD333A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5373">
            <w:pPr>
              <w:shd w:val="clea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C363B">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5AD55">
            <w:pPr>
              <w:shd w:val="clea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951A2">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4EA07">
            <w:pPr>
              <w:shd w:val="clea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F4515">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51717">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11C2D">
            <w:pPr>
              <w:shd w:val="clear"/>
              <w:jc w:val="center"/>
              <w:rPr>
                <w:rFonts w:ascii="Times New Roman" w:hAnsi="Times New Roman" w:eastAsia="仿宋_GB2312" w:cs="Times New Roman"/>
                <w:color w:val="000000"/>
                <w:sz w:val="24"/>
                <w:szCs w:val="24"/>
              </w:rPr>
            </w:pPr>
          </w:p>
        </w:tc>
      </w:tr>
      <w:tr w14:paraId="31A0FE65">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A45F0">
            <w:pPr>
              <w:shd w:val="clea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E8CC8">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02F3">
            <w:pPr>
              <w:shd w:val="clea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64CFB">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1334C">
            <w:pPr>
              <w:shd w:val="clea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A4395">
            <w:pPr>
              <w:shd w:val="clea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6DD94">
            <w:pPr>
              <w:shd w:val="clea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7E883">
            <w:pPr>
              <w:shd w:val="clear"/>
              <w:jc w:val="center"/>
              <w:rPr>
                <w:rFonts w:ascii="Times New Roman" w:hAnsi="Times New Roman" w:eastAsia="仿宋_GB2312" w:cs="Times New Roman"/>
                <w:color w:val="000000"/>
                <w:sz w:val="24"/>
                <w:szCs w:val="24"/>
              </w:rPr>
            </w:pPr>
          </w:p>
        </w:tc>
      </w:tr>
      <w:tr w14:paraId="7EAF771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BE961">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3285">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93C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B89E">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832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D46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AD28">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378069C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6576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6AF389">
            <w:pPr>
              <w:shd w:val="clear"/>
              <w:jc w:val="center"/>
              <w:rPr>
                <w:rFonts w:hint="eastAsia" w:ascii="Times New Roman" w:hAnsi="Times New Roman" w:eastAsia="仿宋_GB2312" w:cs="Times New Roman"/>
                <w:color w:val="000000"/>
                <w:sz w:val="24"/>
                <w:szCs w:val="24"/>
                <w:lang w:val="en-US" w:eastAsia="zh-CN"/>
              </w:rPr>
            </w:pPr>
            <w:r>
              <w:rPr>
                <w:rFonts w:ascii="Times New Roman" w:hAnsi="Times New Roman" w:eastAsia="仿宋_GB2312" w:cs="Times New Roman"/>
                <w:b/>
                <w:bCs/>
                <w:kern w:val="0"/>
                <w:sz w:val="24"/>
                <w:szCs w:val="24"/>
              </w:rPr>
              <w:t>我单位没有政府性基金收入，也没有使用政府性基金安排的支出，故本表无数据。</w:t>
            </w:r>
          </w:p>
        </w:tc>
      </w:tr>
      <w:tr w14:paraId="2471C57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9673">
            <w:pPr>
              <w:shd w:val="clear"/>
              <w:jc w:val="center"/>
              <w:rPr>
                <w:rFonts w:hint="eastAsia" w:ascii="Times New Roman" w:hAnsi="Times New Roman" w:eastAsia="仿宋_GB2312" w:cs="Times New Roman"/>
                <w:color w:val="000000"/>
                <w:sz w:val="24"/>
                <w:szCs w:val="24"/>
                <w:lang w:eastAsia="zh-CN"/>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72CF">
            <w:pPr>
              <w:shd w:val="clea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AC5F">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14CA">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A2E0">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6A1A">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DA6D">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F778">
            <w:pPr>
              <w:shd w:val="clear"/>
              <w:rPr>
                <w:rFonts w:ascii="Times New Roman" w:hAnsi="Times New Roman" w:eastAsia="仿宋_GB2312" w:cs="Times New Roman"/>
                <w:color w:val="000000"/>
                <w:sz w:val="24"/>
                <w:szCs w:val="24"/>
              </w:rPr>
            </w:pPr>
          </w:p>
        </w:tc>
      </w:tr>
      <w:tr w14:paraId="607E11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3BE6">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74AF">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F4EF">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6E74">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340E">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73D1">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597E">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96AE">
            <w:pPr>
              <w:shd w:val="clear"/>
              <w:rPr>
                <w:rFonts w:ascii="Times New Roman" w:hAnsi="Times New Roman" w:eastAsia="仿宋_GB2312" w:cs="Times New Roman"/>
                <w:color w:val="000000"/>
                <w:sz w:val="24"/>
                <w:szCs w:val="24"/>
              </w:rPr>
            </w:pPr>
          </w:p>
        </w:tc>
      </w:tr>
      <w:tr w14:paraId="46627A2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4DBC">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34BD">
            <w:pPr>
              <w:shd w:val="clea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1644">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45B4">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BACB">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92D8">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DD5F">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0E75">
            <w:pPr>
              <w:shd w:val="clear"/>
              <w:rPr>
                <w:rFonts w:ascii="Times New Roman" w:hAnsi="Times New Roman" w:eastAsia="仿宋_GB2312" w:cs="Times New Roman"/>
                <w:color w:val="000000"/>
                <w:sz w:val="24"/>
                <w:szCs w:val="24"/>
              </w:rPr>
            </w:pPr>
          </w:p>
        </w:tc>
      </w:tr>
      <w:tr w14:paraId="07BBBCE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E9E6">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67B2">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69B8">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803A">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57C6">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E644">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940B">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FE89">
            <w:pPr>
              <w:shd w:val="clear"/>
              <w:rPr>
                <w:rFonts w:ascii="Times New Roman" w:hAnsi="Times New Roman" w:eastAsia="仿宋_GB2312" w:cs="Times New Roman"/>
                <w:color w:val="000000"/>
                <w:sz w:val="24"/>
                <w:szCs w:val="24"/>
              </w:rPr>
            </w:pPr>
          </w:p>
        </w:tc>
      </w:tr>
      <w:tr w14:paraId="1250B76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143B">
            <w:pPr>
              <w:shd w:val="clea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CD64">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0B63">
            <w:pPr>
              <w:shd w:val="clea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AAA2">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4813">
            <w:pPr>
              <w:shd w:val="clea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365A">
            <w:pPr>
              <w:shd w:val="clea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D464">
            <w:pPr>
              <w:shd w:val="clea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5583">
            <w:pPr>
              <w:shd w:val="clear"/>
              <w:rPr>
                <w:rFonts w:ascii="Times New Roman" w:hAnsi="Times New Roman" w:eastAsia="仿宋_GB2312" w:cs="Times New Roman"/>
                <w:color w:val="000000"/>
                <w:sz w:val="24"/>
                <w:szCs w:val="24"/>
              </w:rPr>
            </w:pPr>
          </w:p>
        </w:tc>
      </w:tr>
      <w:tr w14:paraId="123E676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30E9">
            <w:pPr>
              <w:shd w:val="clear"/>
              <w:jc w:val="center"/>
              <w:rPr>
                <w:rFonts w:hint="default" w:ascii="Times New Roman" w:hAnsi="Times New Roman" w:eastAsia="仿宋_GB2312" w:cs="Times New Roman"/>
                <w:color w:val="000000"/>
                <w:sz w:val="24"/>
                <w:szCs w:val="24"/>
                <w:lang w:val="en-US"/>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9873">
            <w:pPr>
              <w:shd w:val="clear"/>
              <w:rPr>
                <w:rFonts w:hint="default" w:ascii="Times New Roman" w:hAnsi="Times New Roman" w:eastAsia="仿宋_GB2312" w:cs="Times New Roman"/>
                <w:color w:val="000000"/>
                <w:sz w:val="24"/>
                <w:szCs w:val="24"/>
                <w:lang w:val="en-US"/>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7E46">
            <w:pPr>
              <w:shd w:val="clear"/>
              <w:rPr>
                <w:rFonts w:hint="default" w:ascii="Times New Roman" w:hAnsi="Times New Roman" w:eastAsia="仿宋_GB2312" w:cs="Times New Roman"/>
                <w:color w:val="000000"/>
                <w:sz w:val="24"/>
                <w:szCs w:val="24"/>
                <w:lang w:val="en-US"/>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4BB3">
            <w:pPr>
              <w:shd w:val="clear"/>
              <w:rPr>
                <w:rFonts w:hint="default" w:ascii="Times New Roman" w:hAnsi="Times New Roman" w:eastAsia="仿宋_GB2312" w:cs="Times New Roman"/>
                <w:color w:val="000000"/>
                <w:sz w:val="24"/>
                <w:szCs w:val="24"/>
                <w:lang w:val="en-US"/>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0540">
            <w:pPr>
              <w:shd w:val="clear"/>
              <w:rPr>
                <w:rFonts w:hint="default" w:ascii="Times New Roman" w:hAnsi="Times New Roman" w:eastAsia="仿宋_GB2312" w:cs="Times New Roman"/>
                <w:color w:val="000000"/>
                <w:sz w:val="24"/>
                <w:szCs w:val="24"/>
                <w:lang w:val="en-US"/>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C033">
            <w:pPr>
              <w:shd w:val="clear"/>
              <w:rPr>
                <w:rFonts w:hint="default" w:ascii="Times New Roman" w:hAnsi="Times New Roman" w:eastAsia="仿宋_GB2312" w:cs="Times New Roman"/>
                <w:color w:val="000000"/>
                <w:sz w:val="24"/>
                <w:szCs w:val="24"/>
                <w:lang w:val="en-US"/>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5CAD">
            <w:pPr>
              <w:shd w:val="clear"/>
              <w:rPr>
                <w:rFonts w:hint="default" w:ascii="Times New Roman" w:hAnsi="Times New Roman" w:eastAsia="仿宋_GB2312" w:cs="Times New Roman"/>
                <w:color w:val="000000"/>
                <w:sz w:val="24"/>
                <w:szCs w:val="24"/>
                <w:lang w:val="en-US"/>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3DDF">
            <w:pPr>
              <w:shd w:val="clear"/>
              <w:rPr>
                <w:rFonts w:hint="default" w:ascii="Times New Roman" w:hAnsi="Times New Roman" w:eastAsia="仿宋_GB2312" w:cs="Times New Roman"/>
                <w:color w:val="000000"/>
                <w:sz w:val="24"/>
                <w:szCs w:val="24"/>
                <w:lang w:val="en-US"/>
              </w:rPr>
            </w:pPr>
          </w:p>
        </w:tc>
      </w:tr>
    </w:tbl>
    <w:p w14:paraId="7F1EFAAC">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2DE522F1">
      <w:pPr>
        <w:widowControl/>
        <w:shd w:val="clear"/>
        <w:jc w:val="left"/>
        <w:textAlignment w:val="center"/>
        <w:rPr>
          <w:rFonts w:ascii="Times New Roman" w:hAnsi="Times New Roman" w:eastAsia="仿宋_GB2312" w:cs="Times New Roman"/>
          <w:color w:val="000000"/>
          <w:kern w:val="0"/>
          <w:sz w:val="24"/>
          <w:szCs w:val="24"/>
        </w:rPr>
      </w:pPr>
    </w:p>
    <w:p w14:paraId="2C085FD9">
      <w:pPr>
        <w:widowControl/>
        <w:shd w:val="clear"/>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72A93397">
      <w:pPr>
        <w:widowControl/>
        <w:shd w:val="clear"/>
        <w:jc w:val="center"/>
        <w:rPr>
          <w:rFonts w:ascii="Times New Roman" w:hAnsi="Times New Roman" w:eastAsia="方正小标宋_GBK" w:cs="Times New Roman"/>
          <w:color w:val="000000"/>
          <w:kern w:val="0"/>
          <w:sz w:val="36"/>
          <w:szCs w:val="36"/>
        </w:rPr>
      </w:pPr>
    </w:p>
    <w:p w14:paraId="71DC22BE">
      <w:pPr>
        <w:widowControl/>
        <w:shd w:val="clear"/>
        <w:spacing w:line="400" w:lineRule="exact"/>
        <w:textAlignment w:val="center"/>
        <w:rPr>
          <w:rFonts w:ascii="Times New Roman" w:hAnsi="Times New Roman" w:eastAsia="黑体" w:cs="Times New Roman"/>
          <w:color w:val="000000"/>
          <w:kern w:val="0"/>
          <w:sz w:val="36"/>
          <w:szCs w:val="36"/>
        </w:rPr>
      </w:pPr>
    </w:p>
    <w:p w14:paraId="0F538874">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3D1EBA3">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051D316E">
      <w:pPr>
        <w:widowControl/>
        <w:shd w:val="clear"/>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14:paraId="3D89F8D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4611F">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F6D20">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1027F0A9">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AAD3E">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1993B">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B7AA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3645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A0EA3">
            <w:pPr>
              <w:widowControl/>
              <w:shd w:val="clear"/>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69643E73">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5C3C">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0168D">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E9017">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3DD79">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F7C1C">
            <w:pPr>
              <w:shd w:val="clear"/>
              <w:jc w:val="center"/>
              <w:rPr>
                <w:rFonts w:ascii="Times New Roman" w:hAnsi="Times New Roman" w:eastAsia="仿宋_GB2312" w:cs="Times New Roman"/>
                <w:color w:val="000000"/>
                <w:sz w:val="24"/>
                <w:szCs w:val="24"/>
              </w:rPr>
            </w:pPr>
          </w:p>
        </w:tc>
      </w:tr>
      <w:tr w14:paraId="0B84F61A">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C4AB1">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428CE">
            <w:pPr>
              <w:shd w:val="clea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08CB5">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1DB19">
            <w:pPr>
              <w:shd w:val="clea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8DBB3">
            <w:pPr>
              <w:shd w:val="clear"/>
              <w:jc w:val="center"/>
              <w:rPr>
                <w:rFonts w:ascii="Times New Roman" w:hAnsi="Times New Roman" w:eastAsia="仿宋_GB2312" w:cs="Times New Roman"/>
                <w:color w:val="000000"/>
                <w:sz w:val="24"/>
                <w:szCs w:val="24"/>
              </w:rPr>
            </w:pPr>
          </w:p>
        </w:tc>
      </w:tr>
      <w:tr w14:paraId="5BAD4AA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CA2D6">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4414C">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4A27">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66DD">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14014130">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39C93">
            <w:pPr>
              <w:widowControl/>
              <w:shd w:val="clear"/>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898D0C">
            <w:pPr>
              <w:shd w:val="clear"/>
              <w:jc w:val="center"/>
              <w:rPr>
                <w:rFonts w:hint="eastAsia" w:ascii="Times New Roman" w:hAnsi="Times New Roman" w:eastAsia="仿宋_GB2312" w:cs="Times New Roman"/>
                <w:color w:val="000000"/>
                <w:sz w:val="24"/>
                <w:szCs w:val="24"/>
                <w:lang w:val="en-US" w:eastAsia="zh-CN"/>
              </w:rPr>
            </w:pPr>
            <w:r>
              <w:rPr>
                <w:rFonts w:ascii="Times New Roman" w:hAnsi="Times New Roman" w:eastAsia="楷体_GB2312" w:cs="Times New Roman"/>
                <w:b/>
                <w:bCs/>
                <w:kern w:val="0"/>
                <w:sz w:val="24"/>
                <w:szCs w:val="24"/>
              </w:rPr>
              <w:t>我单位没有使用国有资本经营预算安排的支出，故本表无数据。</w:t>
            </w:r>
          </w:p>
        </w:tc>
      </w:tr>
      <w:tr w14:paraId="17ED3DF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CB87">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5EA7">
            <w:pPr>
              <w:shd w:val="clea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3DAE">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1DDC0">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19FA">
            <w:pPr>
              <w:shd w:val="clear"/>
              <w:rPr>
                <w:rFonts w:ascii="Times New Roman" w:hAnsi="Times New Roman" w:eastAsia="仿宋_GB2312" w:cs="Times New Roman"/>
                <w:color w:val="000000"/>
                <w:sz w:val="24"/>
                <w:szCs w:val="24"/>
              </w:rPr>
            </w:pPr>
          </w:p>
        </w:tc>
      </w:tr>
      <w:tr w14:paraId="1497670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EDF20">
            <w:pPr>
              <w:shd w:val="clea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417C">
            <w:pPr>
              <w:shd w:val="clea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CD410">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9CE48">
            <w:pPr>
              <w:shd w:val="clea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79BBD">
            <w:pPr>
              <w:shd w:val="clear"/>
              <w:rPr>
                <w:rFonts w:ascii="Times New Roman" w:hAnsi="Times New Roman" w:eastAsia="仿宋_GB2312" w:cs="Times New Roman"/>
                <w:color w:val="000000"/>
                <w:sz w:val="24"/>
                <w:szCs w:val="24"/>
              </w:rPr>
            </w:pPr>
          </w:p>
        </w:tc>
      </w:tr>
      <w:tr w14:paraId="19801A4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C4F9F">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5A186">
            <w:pPr>
              <w:shd w:val="clea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3148D">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EB4E2">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1A9BF">
            <w:pPr>
              <w:shd w:val="clear"/>
              <w:rPr>
                <w:rFonts w:ascii="Times New Roman" w:hAnsi="Times New Roman" w:eastAsia="宋体" w:cs="Times New Roman"/>
                <w:color w:val="000000"/>
                <w:sz w:val="24"/>
                <w:szCs w:val="24"/>
              </w:rPr>
            </w:pPr>
          </w:p>
        </w:tc>
      </w:tr>
      <w:tr w14:paraId="3E4ADE8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B71E">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866D">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88EF">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F37ED">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B4FCD">
            <w:pPr>
              <w:shd w:val="clear"/>
              <w:rPr>
                <w:rFonts w:ascii="Times New Roman" w:hAnsi="Times New Roman" w:eastAsia="宋体" w:cs="Times New Roman"/>
                <w:color w:val="000000"/>
                <w:sz w:val="24"/>
                <w:szCs w:val="24"/>
              </w:rPr>
            </w:pPr>
          </w:p>
        </w:tc>
      </w:tr>
      <w:tr w14:paraId="7BF8400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E1D3">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F740F">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422EC">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FCE29">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D4A1">
            <w:pPr>
              <w:shd w:val="clear"/>
              <w:rPr>
                <w:rFonts w:ascii="Times New Roman" w:hAnsi="Times New Roman" w:eastAsia="宋体" w:cs="Times New Roman"/>
                <w:color w:val="000000"/>
                <w:sz w:val="24"/>
                <w:szCs w:val="24"/>
              </w:rPr>
            </w:pPr>
          </w:p>
        </w:tc>
      </w:tr>
      <w:tr w14:paraId="3F74752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7FC8">
            <w:pPr>
              <w:shd w:val="clea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9766">
            <w:pPr>
              <w:shd w:val="clea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53D0">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5B50">
            <w:pPr>
              <w:shd w:val="clea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B928">
            <w:pPr>
              <w:shd w:val="clear"/>
              <w:rPr>
                <w:rFonts w:ascii="Times New Roman" w:hAnsi="Times New Roman" w:eastAsia="宋体" w:cs="Times New Roman"/>
                <w:color w:val="000000"/>
                <w:sz w:val="24"/>
                <w:szCs w:val="24"/>
              </w:rPr>
            </w:pPr>
          </w:p>
        </w:tc>
      </w:tr>
    </w:tbl>
    <w:p w14:paraId="309FBFCD">
      <w:pPr>
        <w:widowControl/>
        <w:shd w:val="clear"/>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884FBF9">
      <w:pPr>
        <w:widowControl/>
        <w:shd w:val="clear"/>
        <w:jc w:val="left"/>
        <w:textAlignment w:val="center"/>
        <w:rPr>
          <w:rFonts w:ascii="Times New Roman" w:hAnsi="Times New Roman" w:eastAsia="宋体" w:cs="Times New Roman"/>
          <w:color w:val="000000"/>
          <w:kern w:val="0"/>
          <w:sz w:val="24"/>
          <w:szCs w:val="24"/>
        </w:rPr>
      </w:pPr>
    </w:p>
    <w:p w14:paraId="1E3910EF">
      <w:pPr>
        <w:widowControl/>
        <w:shd w:val="clear"/>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4EBC9D62">
      <w:pPr>
        <w:widowControl/>
        <w:shd w:val="clear"/>
        <w:jc w:val="center"/>
        <w:rPr>
          <w:rFonts w:ascii="Times New Roman" w:hAnsi="Times New Roman" w:eastAsia="方正小标宋_GBK" w:cs="Times New Roman"/>
          <w:color w:val="000000"/>
          <w:kern w:val="0"/>
          <w:sz w:val="36"/>
          <w:szCs w:val="36"/>
        </w:rPr>
      </w:pPr>
    </w:p>
    <w:p w14:paraId="44F4D299">
      <w:pPr>
        <w:pStyle w:val="7"/>
        <w:shd w:val="clear"/>
        <w:spacing w:line="400" w:lineRule="exact"/>
        <w:rPr>
          <w:rFonts w:ascii="Times New Roman" w:hAnsi="Times New Roman" w:eastAsia="华文中宋" w:cs="Times New Roman"/>
          <w:color w:val="000000"/>
          <w:kern w:val="0"/>
          <w:sz w:val="32"/>
          <w:szCs w:val="32"/>
        </w:rPr>
      </w:pPr>
    </w:p>
    <w:p w14:paraId="31CDEB3B">
      <w:pPr>
        <w:widowControl/>
        <w:shd w:val="clear"/>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798FA221">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1220AD3">
      <w:pPr>
        <w:widowControl/>
        <w:shd w:val="clear"/>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溆浦县舒溶溪乡中学</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04968F6C">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44D156">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C1326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75C54412">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AA851">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9162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C0BDE">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02B7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20D3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FA3E8">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0B06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A44A0">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19950D5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18346">
            <w:pPr>
              <w:shd w:val="clea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EB3CA">
            <w:pPr>
              <w:shd w:val="clea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778EE">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44174">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145EB">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65445">
            <w:pPr>
              <w:shd w:val="clea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653E6">
            <w:pPr>
              <w:shd w:val="clea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7050C">
            <w:pPr>
              <w:shd w:val="clea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79DA">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1D8F">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98ACC">
            <w:pPr>
              <w:widowControl/>
              <w:shd w:val="clear"/>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49551">
            <w:pPr>
              <w:shd w:val="clear"/>
              <w:jc w:val="center"/>
              <w:rPr>
                <w:rFonts w:ascii="Times New Roman" w:hAnsi="Times New Roman" w:eastAsia="仿宋_GB2312" w:cs="Times New Roman"/>
                <w:color w:val="000000"/>
                <w:sz w:val="22"/>
              </w:rPr>
            </w:pPr>
          </w:p>
        </w:tc>
      </w:tr>
      <w:tr w14:paraId="25A4E38E">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2141">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798DC">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814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F1DFB">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A410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780A">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396C">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45F5">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B643">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038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F198">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3DB9">
            <w:pPr>
              <w:widowControl/>
              <w:shd w:val="clear"/>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04E54066">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E49D">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36132">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997F1">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775FB">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A4B0E">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48BD">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2C7E">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CA78">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5659E">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B204B">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1B466">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B841D">
            <w:pPr>
              <w:shd w:val="clea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bl>
    <w:p w14:paraId="212A26E3">
      <w:pPr>
        <w:widowControl/>
        <w:shd w:val="clear"/>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1C3EBA96">
      <w:pPr>
        <w:shd w:val="clear"/>
        <w:autoSpaceDE w:val="0"/>
        <w:autoSpaceDN w:val="0"/>
        <w:adjustRightInd w:val="0"/>
        <w:ind w:left="315" w:leftChars="150"/>
        <w:jc w:val="left"/>
        <w:rPr>
          <w:rFonts w:ascii="Times New Roman" w:hAnsi="Times New Roman" w:eastAsia="宋体" w:cs="Times New Roman"/>
          <w:kern w:val="0"/>
          <w:sz w:val="24"/>
          <w:szCs w:val="24"/>
        </w:rPr>
      </w:pPr>
    </w:p>
    <w:p w14:paraId="1292CF79">
      <w:pPr>
        <w:shd w:val="clear"/>
        <w:autoSpaceDE w:val="0"/>
        <w:autoSpaceDN w:val="0"/>
        <w:adjustRightInd w:val="0"/>
        <w:ind w:left="315" w:leftChars="150"/>
        <w:jc w:val="left"/>
        <w:rPr>
          <w:rFonts w:ascii="Times New Roman" w:hAnsi="Times New Roman" w:eastAsia="宋体" w:cs="Times New Roman"/>
          <w:kern w:val="0"/>
          <w:sz w:val="24"/>
          <w:szCs w:val="24"/>
        </w:rPr>
      </w:pPr>
    </w:p>
    <w:p w14:paraId="4649C5C5">
      <w:pPr>
        <w:shd w:val="clear"/>
        <w:autoSpaceDE w:val="0"/>
        <w:autoSpaceDN w:val="0"/>
        <w:adjustRightInd w:val="0"/>
        <w:ind w:left="315" w:leftChars="150"/>
        <w:jc w:val="left"/>
        <w:rPr>
          <w:rFonts w:ascii="Times New Roman" w:hAnsi="Times New Roman" w:eastAsia="宋体" w:cs="Times New Roman"/>
          <w:kern w:val="0"/>
          <w:sz w:val="24"/>
          <w:szCs w:val="24"/>
        </w:rPr>
      </w:pPr>
    </w:p>
    <w:p w14:paraId="236CF976">
      <w:pPr>
        <w:shd w:val="clear"/>
        <w:autoSpaceDE w:val="0"/>
        <w:autoSpaceDN w:val="0"/>
        <w:adjustRightInd w:val="0"/>
        <w:ind w:left="315" w:leftChars="150"/>
        <w:jc w:val="left"/>
        <w:rPr>
          <w:rFonts w:ascii="Times New Roman" w:hAnsi="Times New Roman" w:eastAsia="宋体" w:cs="Times New Roman"/>
          <w:kern w:val="0"/>
          <w:sz w:val="24"/>
          <w:szCs w:val="24"/>
        </w:rPr>
      </w:pPr>
    </w:p>
    <w:p w14:paraId="3FE93EF2">
      <w:pPr>
        <w:shd w:val="clear"/>
        <w:autoSpaceDE w:val="0"/>
        <w:autoSpaceDN w:val="0"/>
        <w:adjustRightInd w:val="0"/>
        <w:ind w:left="315" w:leftChars="150"/>
        <w:jc w:val="left"/>
        <w:rPr>
          <w:rFonts w:ascii="Times New Roman" w:hAnsi="Times New Roman" w:eastAsia="宋体" w:cs="Times New Roman"/>
          <w:kern w:val="0"/>
          <w:sz w:val="24"/>
          <w:szCs w:val="24"/>
        </w:rPr>
      </w:pPr>
    </w:p>
    <w:p w14:paraId="58011563">
      <w:pPr>
        <w:widowControl/>
        <w:shd w:val="clear"/>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2834D13D">
      <w:pPr>
        <w:pStyle w:val="13"/>
        <w:shd w:val="clear"/>
        <w:rPr>
          <w:rFonts w:ascii="Times New Roman" w:hAnsi="Times New Roman" w:cs="Times New Roman"/>
          <w:sz w:val="72"/>
          <w:szCs w:val="72"/>
        </w:rPr>
      </w:pPr>
    </w:p>
    <w:p w14:paraId="403B4867">
      <w:pPr>
        <w:pStyle w:val="13"/>
        <w:shd w:val="clear"/>
        <w:rPr>
          <w:rFonts w:ascii="Times New Roman" w:hAnsi="Times New Roman" w:cs="Times New Roman"/>
          <w:sz w:val="72"/>
          <w:szCs w:val="72"/>
        </w:rPr>
      </w:pPr>
    </w:p>
    <w:p w14:paraId="2CB13A72">
      <w:pPr>
        <w:pStyle w:val="13"/>
        <w:shd w:val="clear"/>
        <w:rPr>
          <w:rFonts w:ascii="Times New Roman" w:hAnsi="Times New Roman" w:cs="Times New Roman"/>
          <w:sz w:val="72"/>
          <w:szCs w:val="72"/>
        </w:rPr>
      </w:pPr>
    </w:p>
    <w:p w14:paraId="6E006AFD">
      <w:pPr>
        <w:pStyle w:val="13"/>
        <w:shd w:val="clear"/>
        <w:jc w:val="center"/>
        <w:rPr>
          <w:rFonts w:ascii="Times New Roman" w:hAnsi="Times New Roman" w:cs="Times New Roman"/>
          <w:sz w:val="72"/>
          <w:szCs w:val="72"/>
        </w:rPr>
      </w:pPr>
    </w:p>
    <w:p w14:paraId="29FBE442">
      <w:pPr>
        <w:pStyle w:val="13"/>
        <w:shd w:val="clear"/>
        <w:jc w:val="center"/>
        <w:rPr>
          <w:rFonts w:ascii="Times New Roman" w:hAnsi="Times New Roman" w:eastAsia="方正小标宋_GBK" w:cs="Times New Roman"/>
          <w:sz w:val="72"/>
          <w:szCs w:val="72"/>
        </w:rPr>
      </w:pPr>
    </w:p>
    <w:p w14:paraId="06935A14">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63C95CD">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A0C1248">
      <w:pPr>
        <w:widowControl/>
        <w:shd w:val="clear"/>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6D34F71B">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D51A87B">
      <w:pPr>
        <w:pStyle w:val="13"/>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178.75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45.4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学生宿舍楼及运动场改造项目支出</w:t>
      </w:r>
    </w:p>
    <w:p w14:paraId="2498EFDD">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45A01FE">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545.29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95.3</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26.6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w:t>
      </w:r>
      <w:r>
        <w:rPr>
          <w:rFonts w:ascii="Times New Roman" w:hAnsi="Times New Roman" w:eastAsia="仿宋_GB2312" w:cs="Times New Roman"/>
          <w:sz w:val="32"/>
          <w:szCs w:val="32"/>
        </w:rPr>
        <w:t>%。</w:t>
      </w:r>
    </w:p>
    <w:p w14:paraId="48154895">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93505D9">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451.79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120.10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AB6D52E">
      <w:pPr>
        <w:pStyle w:val="13"/>
        <w:numPr>
          <w:ilvl w:val="0"/>
          <w:numId w:val="1"/>
        </w:numPr>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财政拨款收入支出决算总体情况说明</w:t>
      </w:r>
    </w:p>
    <w:p w14:paraId="2999BD12">
      <w:pPr>
        <w:pStyle w:val="13"/>
        <w:numPr>
          <w:ilvl w:val="0"/>
          <w:numId w:val="0"/>
        </w:numPr>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545.29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184.51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51.1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学生宿舍楼及运动场改造项目支出</w:t>
      </w:r>
    </w:p>
    <w:p w14:paraId="4C5CEEA5">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158626C">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0BD6E5D">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545.29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95.3</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184.51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51.1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学生宿舍楼及运动场改造项目支出</w:t>
      </w:r>
    </w:p>
    <w:p w14:paraId="5AACC506">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D181714">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545.29</w:t>
      </w:r>
      <w:r>
        <w:rPr>
          <w:rFonts w:ascii="Times New Roman" w:hAnsi="Times New Roman" w:eastAsia="仿宋_GB2312" w:cs="Times New Roman"/>
          <w:sz w:val="32"/>
          <w:szCs w:val="32"/>
        </w:rPr>
        <w:t>万元，主要用于以下方面：教育（类）支出</w:t>
      </w:r>
      <w:r>
        <w:rPr>
          <w:rFonts w:hint="eastAsia" w:ascii="Times New Roman" w:hAnsi="Times New Roman" w:eastAsia="仿宋_GB2312" w:cs="Times New Roman"/>
          <w:sz w:val="32"/>
          <w:szCs w:val="32"/>
        </w:rPr>
        <w:t>544.25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社会保障和就业支出1.04</w:t>
      </w:r>
      <w:r>
        <w:rPr>
          <w:rFonts w:hint="eastAsia" w:ascii="Times New Roman" w:hAnsi="Times New Roman" w:eastAsia="仿宋_GB2312" w:cs="Times New Roman"/>
          <w:sz w:val="32"/>
          <w:szCs w:val="32"/>
          <w:lang w:val="en-US" w:eastAsia="zh-CN"/>
        </w:rPr>
        <w:t>万元，占0.2%</w:t>
      </w:r>
    </w:p>
    <w:p w14:paraId="1DECB4BF">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1FF1C52">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228.26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545.29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238.8</w:t>
      </w:r>
      <w:r>
        <w:rPr>
          <w:rFonts w:ascii="Times New Roman" w:hAnsi="Times New Roman" w:eastAsia="仿宋_GB2312" w:cs="Times New Roman"/>
          <w:sz w:val="32"/>
          <w:szCs w:val="32"/>
        </w:rPr>
        <w:t>%，其中：</w:t>
      </w:r>
    </w:p>
    <w:p w14:paraId="10BC0462">
      <w:pPr>
        <w:pStyle w:val="13"/>
        <w:numPr>
          <w:ilvl w:val="0"/>
          <w:numId w:val="2"/>
        </w:numPr>
        <w:shd w:val="clear"/>
        <w:tabs>
          <w:tab w:val="left" w:pos="630"/>
        </w:tabs>
        <w:overflowPunct w:val="0"/>
        <w:autoSpaceDE/>
        <w:autoSpaceDN/>
        <w:spacing w:line="600" w:lineRule="exact"/>
        <w:ind w:left="840" w:leftChars="0" w:firstLine="0" w:firstLineChars="0"/>
        <w:jc w:val="both"/>
        <w:rPr>
          <w:rFonts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教育</w:t>
      </w:r>
      <w:r>
        <w:rPr>
          <w:rFonts w:ascii="Times New Roman" w:hAnsi="Times New Roman" w:eastAsia="仿宋_GB2312" w:cs="Times New Roman"/>
          <w:sz w:val="30"/>
          <w:szCs w:val="30"/>
        </w:rPr>
        <w:t>（类）</w:t>
      </w:r>
      <w:r>
        <w:rPr>
          <w:rFonts w:hint="eastAsia" w:ascii="Times New Roman" w:hAnsi="Times New Roman" w:eastAsia="仿宋_GB2312" w:cs="Times New Roman"/>
          <w:sz w:val="30"/>
          <w:szCs w:val="30"/>
          <w:lang w:val="en-US" w:eastAsia="zh-CN"/>
        </w:rPr>
        <w:t>教育管理事务</w:t>
      </w:r>
      <w:r>
        <w:rPr>
          <w:rFonts w:ascii="Times New Roman" w:hAnsi="Times New Roman" w:eastAsia="仿宋_GB2312" w:cs="Times New Roman"/>
          <w:sz w:val="30"/>
          <w:szCs w:val="30"/>
        </w:rPr>
        <w:t>（款）</w:t>
      </w:r>
      <w:r>
        <w:rPr>
          <w:rFonts w:hint="eastAsia" w:ascii="Times New Roman" w:hAnsi="Times New Roman" w:eastAsia="仿宋_GB2312" w:cs="Times New Roman"/>
          <w:sz w:val="30"/>
          <w:szCs w:val="30"/>
        </w:rPr>
        <w:t>其他教育管理事务支出</w:t>
      </w:r>
    </w:p>
    <w:p w14:paraId="6F05EAFE">
      <w:pPr>
        <w:pStyle w:val="13"/>
        <w:numPr>
          <w:ilvl w:val="0"/>
          <w:numId w:val="0"/>
        </w:numPr>
        <w:shd w:val="clear"/>
        <w:tabs>
          <w:tab w:val="left" w:pos="630"/>
        </w:tabs>
        <w:overflowPunct w:val="0"/>
        <w:autoSpaceDE/>
        <w:autoSpaceDN/>
        <w:spacing w:line="600" w:lineRule="exact"/>
        <w:ind w:left="840" w:leftChars="0"/>
        <w:jc w:val="both"/>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年初预算为</w:t>
      </w:r>
      <w:r>
        <w:rPr>
          <w:rFonts w:hint="eastAsia" w:ascii="Times New Roman" w:hAnsi="Times New Roman" w:eastAsia="仿宋_GB2312" w:cs="Times New Roman"/>
          <w:sz w:val="30"/>
          <w:szCs w:val="30"/>
          <w:lang w:val="en-US" w:eastAsia="zh-CN"/>
        </w:rPr>
        <w:t>0</w:t>
      </w:r>
      <w:r>
        <w:rPr>
          <w:rFonts w:hint="eastAsia" w:ascii="Times New Roman" w:hAnsi="Times New Roman" w:eastAsia="仿宋_GB2312" w:cs="Times New Roman"/>
          <w:sz w:val="30"/>
          <w:szCs w:val="30"/>
        </w:rPr>
        <w:t>万元，支出决算为</w:t>
      </w:r>
      <w:r>
        <w:rPr>
          <w:rFonts w:hint="eastAsia" w:ascii="Times New Roman" w:hAnsi="Times New Roman" w:eastAsia="仿宋_GB2312" w:cs="Times New Roman"/>
          <w:sz w:val="30"/>
          <w:szCs w:val="30"/>
          <w:lang w:val="en-US" w:eastAsia="zh-CN"/>
        </w:rPr>
        <w:t>0.04</w:t>
      </w:r>
      <w:r>
        <w:rPr>
          <w:rFonts w:hint="eastAsia" w:ascii="Times New Roman" w:hAnsi="Times New Roman" w:eastAsia="仿宋_GB2312" w:cs="Times New Roman"/>
          <w:sz w:val="30"/>
          <w:szCs w:val="30"/>
        </w:rPr>
        <w:t>万元</w:t>
      </w:r>
    </w:p>
    <w:p w14:paraId="506049EE">
      <w:pPr>
        <w:pStyle w:val="13"/>
        <w:numPr>
          <w:ilvl w:val="0"/>
          <w:numId w:val="2"/>
        </w:numPr>
        <w:shd w:val="clear"/>
        <w:tabs>
          <w:tab w:val="left" w:pos="630"/>
        </w:tabs>
        <w:overflowPunct w:val="0"/>
        <w:autoSpaceDE/>
        <w:autoSpaceDN/>
        <w:spacing w:line="600" w:lineRule="exact"/>
        <w:ind w:left="840" w:leftChars="0" w:firstLine="0" w:firstLineChars="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初中教育</w:t>
      </w:r>
      <w:r>
        <w:rPr>
          <w:rFonts w:ascii="Times New Roman" w:hAnsi="Times New Roman" w:eastAsia="仿宋_GB2312" w:cs="Times New Roman"/>
          <w:sz w:val="32"/>
          <w:szCs w:val="32"/>
        </w:rPr>
        <w:t>（项）</w:t>
      </w:r>
    </w:p>
    <w:p w14:paraId="534E6426">
      <w:pPr>
        <w:pStyle w:val="13"/>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228.26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424.80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186.1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该项支出中包含的人才津贴、奖励性绩效工资、义务教育公用经费、营养改善计划资金、一次性退休补贴等资金年初时由县教育局统一列入预算；其中包含的基础性绩效奖、乡镇补贴等资金年初时由县财政局统一列入预算，因此导致我校决算数大于年初预算数。</w:t>
      </w:r>
    </w:p>
    <w:p w14:paraId="7E092299">
      <w:pPr>
        <w:pStyle w:val="13"/>
        <w:numPr>
          <w:ilvl w:val="0"/>
          <w:numId w:val="2"/>
        </w:numPr>
        <w:shd w:val="clear"/>
        <w:tabs>
          <w:tab w:val="left" w:pos="630"/>
        </w:tabs>
        <w:overflowPunct w:val="0"/>
        <w:autoSpaceDE/>
        <w:autoSpaceDN/>
        <w:spacing w:line="600" w:lineRule="exact"/>
        <w:ind w:left="840" w:leftChars="0" w:firstLine="0" w:firstLineChars="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教育（类）普通教育（款）其他教育（项）</w:t>
      </w:r>
    </w:p>
    <w:p w14:paraId="1F6AF68E">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119.41</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该项支出为我校基建工程项目支出，年初时由县教育局统一列入预算，导致我校年初预算数为0，决算数大于年初预算数。</w:t>
      </w:r>
    </w:p>
    <w:p w14:paraId="3F3EB4DB">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社会保障和就业（类）抚恤（款）死亡抚恤（项）</w:t>
      </w:r>
    </w:p>
    <w:p w14:paraId="21143669">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1.04</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该项支出为我校遗属人员困难生活补助，年初时由县教育局统一列入预算，导致我校年初预算数为0，决算数大于年初预算数。</w:t>
      </w:r>
    </w:p>
    <w:p w14:paraId="74FED0ED">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4955AD5">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425.19</w:t>
      </w:r>
      <w:r>
        <w:rPr>
          <w:rFonts w:ascii="Times New Roman" w:hAnsi="Times New Roman" w:eastAsia="仿宋_GB2312" w:cs="Times New Roman"/>
          <w:sz w:val="32"/>
          <w:szCs w:val="32"/>
        </w:rPr>
        <w:t>万元，其中：</w:t>
      </w:r>
    </w:p>
    <w:p w14:paraId="1CB8BC11">
      <w:pPr>
        <w:pStyle w:val="13"/>
        <w:shd w:val="clea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366.17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基本工资119.59</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津贴补贴111.03</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34.10</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机关事业单位基本养老保险缴费30.36</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职工基本医疗保险缴费16.76</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其他社会保障缴费2.97</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住房公积金14.90</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其他工资福利支出4.17</w:t>
      </w:r>
      <w:r>
        <w:rPr>
          <w:rFonts w:hint="eastAsia" w:ascii="Times New Roman" w:hAnsi="Times New Roman" w:eastAsia="仿宋_GB2312" w:cs="Times New Roman"/>
          <w:sz w:val="32"/>
          <w:szCs w:val="32"/>
          <w:lang w:val="en-US" w:eastAsia="zh-CN"/>
        </w:rPr>
        <w:t>万元、生活补助31.59万元、奖励金0.10万元、其他对个人和家庭的补助</w:t>
      </w:r>
      <w:r>
        <w:rPr>
          <w:rFonts w:hint="eastAsia" w:ascii="Times New Roman" w:hAnsi="Times New Roman" w:eastAsia="仿宋_GB2312" w:cs="Times New Roman"/>
          <w:sz w:val="32"/>
          <w:szCs w:val="32"/>
          <w:lang w:val="en-US" w:eastAsia="zh-CN"/>
        </w:rPr>
        <w:tab/>
      </w:r>
      <w:r>
        <w:rPr>
          <w:rFonts w:hint="eastAsia" w:ascii="Times New Roman" w:hAnsi="Times New Roman" w:eastAsia="仿宋_GB2312" w:cs="Times New Roman"/>
          <w:sz w:val="32"/>
          <w:szCs w:val="32"/>
          <w:lang w:val="en-US" w:eastAsia="zh-CN"/>
        </w:rPr>
        <w:t>0.60万元。</w:t>
      </w:r>
    </w:p>
    <w:p w14:paraId="6F5F6238">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1113DC69">
      <w:pPr>
        <w:pStyle w:val="13"/>
        <w:shd w:val="clear"/>
        <w:overflowPunct w:val="0"/>
        <w:autoSpaceDE/>
        <w:autoSpaceDN/>
        <w:spacing w:line="60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59.02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16.87</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印刷费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4.27</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咨询费0.12</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水费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3.02</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电费1.53</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8.86</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维修（护）费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3.12</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会议费0.86</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培训费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0.11</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专用材料费</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0.89</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劳务费2.58</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0.04</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rPr>
        <w:t>其他商品和服务支出16.75</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w:t>
      </w:r>
    </w:p>
    <w:p w14:paraId="2DDA0289">
      <w:pPr>
        <w:pStyle w:val="13"/>
        <w:numPr>
          <w:ilvl w:val="0"/>
          <w:numId w:val="3"/>
        </w:numPr>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1E92778F">
      <w:pPr>
        <w:pStyle w:val="13"/>
        <w:numPr>
          <w:ilvl w:val="0"/>
          <w:numId w:val="0"/>
        </w:numPr>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FC29E68">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由于预算数为</w:t>
      </w:r>
      <w:r>
        <w:rPr>
          <w:rFonts w:hint="eastAsia" w:ascii="Times New Roman" w:hAnsi="Times New Roman" w:eastAsia="仿宋_GB2312" w:cs="Times New Roman"/>
          <w:sz w:val="32"/>
          <w:szCs w:val="32"/>
          <w:lang w:val="en-US" w:eastAsia="zh-CN"/>
        </w:rPr>
        <w:t>0，无法计算百分比，</w:t>
      </w:r>
      <w:r>
        <w:rPr>
          <w:rFonts w:hint="eastAsia" w:ascii="Times New Roman" w:hAnsi="Times New Roman" w:eastAsia="仿宋_GB2312" w:cs="Times New Roman"/>
          <w:sz w:val="32"/>
          <w:szCs w:val="32"/>
        </w:rPr>
        <w:t>与上年相比没有增减。</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w:t>
      </w:r>
    </w:p>
    <w:p w14:paraId="244429B4">
      <w:pPr>
        <w:pStyle w:val="13"/>
        <w:shd w:val="clea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524FA53">
      <w:pPr>
        <w:pStyle w:val="13"/>
        <w:shd w:val="clear"/>
        <w:overflowPunct w:val="0"/>
        <w:autoSpaceDE/>
        <w:autoSpaceDN/>
        <w:spacing w:line="600" w:lineRule="exact"/>
        <w:ind w:firstLine="640" w:firstLineChars="200"/>
        <w:jc w:val="both"/>
        <w:rPr>
          <w:rFonts w:ascii="Times New Roman" w:hAnsi="Times New Roman" w:eastAsia="仿宋_GB2312" w:cs="Times New Roman"/>
          <w:b/>
          <w:bCs/>
          <w:i/>
          <w:color w:val="auto"/>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因公出国（境）费支出预算为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由于预算数为</w:t>
      </w:r>
      <w:r>
        <w:rPr>
          <w:rFonts w:hint="eastAsia" w:ascii="Times New Roman" w:hAnsi="Times New Roman" w:eastAsia="仿宋_GB2312" w:cs="Times New Roman"/>
          <w:sz w:val="32"/>
          <w:szCs w:val="32"/>
          <w:lang w:val="en-US" w:eastAsia="zh-CN"/>
        </w:rPr>
        <w:t>0，无法计算百分比</w:t>
      </w:r>
      <w:r>
        <w:rPr>
          <w:rFonts w:hint="eastAsia"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没有增减</w:t>
      </w:r>
      <w:r>
        <w:rPr>
          <w:rFonts w:hint="eastAsia"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人次,</w:t>
      </w:r>
    </w:p>
    <w:p w14:paraId="07FEF029">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公务用车购置费及运行维护费支出预算为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万元，由于预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决</w:t>
      </w:r>
      <w:r>
        <w:rPr>
          <w:rFonts w:hint="eastAsia" w:ascii="Times New Roman" w:hAnsi="Times New Roman" w:eastAsia="仿宋_GB2312" w:cs="Times New Roman"/>
          <w:sz w:val="32"/>
          <w:szCs w:val="32"/>
        </w:rPr>
        <w:t>算数为0，无法计算百分比；与上年相比</w:t>
      </w:r>
      <w:r>
        <w:rPr>
          <w:rFonts w:hint="eastAsia" w:ascii="Times New Roman" w:hAnsi="Times New Roman" w:eastAsia="仿宋_GB2312" w:cs="Times New Roman"/>
          <w:sz w:val="32"/>
          <w:szCs w:val="32"/>
          <w:lang w:val="en-US" w:eastAsia="zh-CN"/>
        </w:rPr>
        <w:t>没有增减</w:t>
      </w:r>
      <w:r>
        <w:rPr>
          <w:rFonts w:hint="eastAsia" w:ascii="Times New Roman" w:hAnsi="Times New Roman" w:eastAsia="仿宋_GB2312" w:cs="Times New Roman"/>
          <w:sz w:val="32"/>
          <w:szCs w:val="32"/>
        </w:rPr>
        <w:t>。</w:t>
      </w:r>
    </w:p>
    <w:p w14:paraId="3E2D165A">
      <w:pPr>
        <w:pStyle w:val="13"/>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6F9862C9">
      <w:pPr>
        <w:pStyle w:val="13"/>
        <w:shd w:val="clear"/>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eastAsia="zh-CN"/>
        </w:rPr>
        <w:t>无</w:t>
      </w:r>
      <w:r>
        <w:rPr>
          <w:rFonts w:ascii="Times New Roman" w:hAnsi="Times New Roman" w:eastAsia="仿宋_GB2312" w:cs="Times New Roman"/>
          <w:color w:val="auto"/>
          <w:sz w:val="32"/>
          <w:szCs w:val="32"/>
        </w:rPr>
        <w:t>支出，</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147D762F">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eastAsia="zh-CN"/>
        </w:rPr>
        <w:t>没有</w:t>
      </w:r>
      <w:r>
        <w:rPr>
          <w:rFonts w:ascii="Times New Roman" w:hAnsi="Times New Roman" w:eastAsia="仿宋_GB2312" w:cs="Times New Roman"/>
          <w:color w:val="auto"/>
          <w:sz w:val="32"/>
          <w:szCs w:val="32"/>
        </w:rPr>
        <w:t>发生接待支出。</w:t>
      </w:r>
    </w:p>
    <w:p w14:paraId="6AC602AD">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7B26757">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w:t>
      </w:r>
    </w:p>
    <w:p w14:paraId="4EE47760">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6D82D5FA">
      <w:pPr>
        <w:pStyle w:val="13"/>
        <w:shd w:val="clea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2024年度机关运行经费支出</w:t>
      </w:r>
      <w:r>
        <w:rPr>
          <w:rFonts w:hint="eastAsia" w:ascii="Times New Roman" w:hAnsi="Times New Roman" w:eastAsia="仿宋_GB2312" w:cs="Times New Roman"/>
          <w:sz w:val="32"/>
          <w:szCs w:val="32"/>
        </w:rPr>
        <w:t>59.02</w:t>
      </w:r>
      <w:r>
        <w:rPr>
          <w:rFonts w:ascii="Times New Roman" w:hAnsi="Times New Roman" w:eastAsia="仿宋_GB2312" w:cs="Times New Roman"/>
          <w:sz w:val="32"/>
          <w:szCs w:val="32"/>
        </w:rPr>
        <w:t>万元，比上年决算数</w:t>
      </w:r>
      <w:r>
        <w:rPr>
          <w:rFonts w:hint="eastAsia" w:ascii="Times New Roman" w:hAnsi="Times New Roman" w:eastAsia="仿宋_GB2312" w:cs="Times New Roman"/>
          <w:sz w:val="32"/>
          <w:szCs w:val="32"/>
          <w:lang w:val="en-US" w:eastAsia="zh-CN"/>
        </w:rPr>
        <w:t>增加5.49</w:t>
      </w:r>
      <w:r>
        <w:rPr>
          <w:rFonts w:ascii="Times New Roman" w:hAnsi="Times New Roman" w:eastAsia="仿宋_GB2312" w:cs="Times New Roman"/>
          <w:sz w:val="32"/>
          <w:szCs w:val="32"/>
        </w:rPr>
        <w:t xml:space="preserve"> 万元，</w:t>
      </w:r>
      <w:r>
        <w:rPr>
          <w:rFonts w:hint="eastAsia" w:ascii="Times New Roman" w:hAnsi="Times New Roman" w:eastAsia="仿宋_GB2312" w:cs="Times New Roman"/>
          <w:sz w:val="32"/>
          <w:szCs w:val="32"/>
          <w:lang w:val="en-US" w:eastAsia="zh-CN"/>
        </w:rPr>
        <w:t>增长10.2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我校本年度学生人数增加，据此核定的公用经费相应增加。</w:t>
      </w:r>
    </w:p>
    <w:p w14:paraId="3716D2FA">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20BA748">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教师业务能力</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专家授课劳务费</w:t>
      </w: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w:t>
      </w:r>
      <w:r>
        <w:rPr>
          <w:rFonts w:hint="eastAsia" w:ascii="Times New Roman" w:hAnsi="Times New Roman" w:eastAsia="仿宋_GB2312" w:cs="Times New Roman"/>
          <w:sz w:val="32"/>
          <w:szCs w:val="32"/>
          <w:lang w:eastAsia="zh-CN"/>
        </w:rPr>
        <w:t>。</w:t>
      </w:r>
    </w:p>
    <w:p w14:paraId="67E46D09">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7DC4381E">
      <w:pPr>
        <w:pStyle w:val="13"/>
        <w:shd w:val="clear"/>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3BFC5554">
      <w:pPr>
        <w:pStyle w:val="13"/>
        <w:numPr>
          <w:ilvl w:val="0"/>
          <w:numId w:val="4"/>
        </w:numPr>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关于国有资产占用情况说明</w:t>
      </w:r>
    </w:p>
    <w:p w14:paraId="2113E665">
      <w:pPr>
        <w:pStyle w:val="13"/>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我单位</w:t>
      </w:r>
      <w:r>
        <w:rPr>
          <w:rFonts w:hint="eastAsia"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hint="eastAsia" w:ascii="Times New Roman" w:hAnsi="Times New Roman" w:eastAsia="仿宋_GB2312" w:cs="Times New Roman"/>
          <w:color w:val="auto"/>
          <w:sz w:val="32"/>
          <w:szCs w:val="32"/>
        </w:rPr>
        <w:t>台（套）。</w:t>
      </w:r>
    </w:p>
    <w:p w14:paraId="0BC6ADCF">
      <w:pPr>
        <w:pStyle w:val="13"/>
        <w:shd w:val="clear"/>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9C1807A">
      <w:pPr>
        <w:shd w:val="clea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4522E835">
      <w:pPr>
        <w:shd w:val="clear"/>
        <w:overflowPunct w:val="0"/>
        <w:spacing w:line="600" w:lineRule="exact"/>
        <w:ind w:firstLine="640" w:firstLineChars="200"/>
        <w:rPr>
          <w:rFonts w:hint="eastAsia" w:ascii="Times New Roman" w:hAnsi="Times New Roman" w:eastAsia="黑体" w:cs="Times New Roman"/>
          <w:color w:val="FF0000"/>
          <w:sz w:val="32"/>
          <w:szCs w:val="32"/>
          <w:lang w:eastAsia="zh-CN"/>
        </w:rPr>
      </w:pPr>
      <w:r>
        <w:rPr>
          <w:rFonts w:ascii="Times New Roman" w:hAnsi="Times New Roman" w:eastAsia="楷体_GB2312" w:cs="Times New Roman"/>
          <w:b/>
          <w:bCs/>
          <w:sz w:val="32"/>
          <w:szCs w:val="32"/>
        </w:rPr>
        <w:t>（二）绩效评价结果。</w:t>
      </w:r>
    </w:p>
    <w:p w14:paraId="42854AC9">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w:t>
      </w:r>
    </w:p>
    <w:p w14:paraId="1F172814">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一是预算执行进度良好，财政资金的使用效率和效益稳步提高，围绕部门核心职能的各项年度重点任务均按计划推进，基本达成了预设的绩效目标</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内部管理持续规范，项目管理制度与财务内控机制得到进一步健全和完善，为资金安全、规范、有效使用提供了有力保障</w:t>
      </w:r>
      <w:r>
        <w:rPr>
          <w:rFonts w:ascii="Times New Roman" w:hAnsi="Times New Roman" w:eastAsia="仿宋_GB2312" w:cs="Times New Roman"/>
          <w:sz w:val="32"/>
          <w:szCs w:val="32"/>
        </w:rPr>
        <w:t>。</w:t>
      </w:r>
    </w:p>
    <w:p w14:paraId="208B92DE">
      <w:pPr>
        <w:shd w:val="clear"/>
        <w:overflowPunct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个别项目在启动阶段的前期论证与准备工作不够扎实，导致项目实际执行进度出现滞后</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部分绩效指标的设置未能完全契合项目特性和管理实际，科学性、合理性有待提升，影响了绩效评价的精准度和导向作用</w:t>
      </w:r>
      <w:r>
        <w:rPr>
          <w:rFonts w:ascii="Times New Roman" w:hAnsi="Times New Roman" w:eastAsia="仿宋_GB2312" w:cs="Times New Roman"/>
          <w:sz w:val="32"/>
          <w:szCs w:val="32"/>
        </w:rPr>
        <w:t>。</w:t>
      </w:r>
    </w:p>
    <w:p w14:paraId="1FE7494C">
      <w:pPr>
        <w:shd w:val="clear"/>
        <w:overflowPunct w:val="0"/>
        <w:spacing w:line="600" w:lineRule="exact"/>
        <w:ind w:firstLine="640" w:firstLineChars="200"/>
        <w:rPr>
          <w:rFonts w:hint="eastAsia" w:ascii="Times New Roman" w:hAnsi="Times New Roman" w:eastAsia="仿宋_GB2312" w:cs="Times New Roman"/>
          <w:bCs/>
          <w:sz w:val="32"/>
          <w:szCs w:val="32"/>
          <w:lang w:eastAsia="zh-CN"/>
        </w:rPr>
      </w:pP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强化项目源头管理，通过加强可行性研究和事前绩效评估，提升项目谋划质量，并以此为基础提高预算编制的科学性和精准度，从源头保障预算可执行、效益可达成</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优化绩效指标管理，结合实践反馈修订和完善绩效指标体系，同时加强绩效目标实现程度的动态监控与应用，推动绩效管理贯穿预算编制、执行、监督全过程。</w:t>
      </w:r>
    </w:p>
    <w:p w14:paraId="213ECD05">
      <w:pPr>
        <w:pStyle w:val="13"/>
        <w:numPr>
          <w:ilvl w:val="0"/>
          <w:numId w:val="5"/>
        </w:numPr>
        <w:shd w:val="clear"/>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6D7FED41">
      <w:pPr>
        <w:pStyle w:val="13"/>
        <w:numPr>
          <w:ilvl w:val="0"/>
          <w:numId w:val="0"/>
        </w:numPr>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1.部门预算方面：加强新《预算法》、《行政单位会计制度》等学习培训，在上级主管部门领导下做好2025年度年初预算，依照下达预算指标严格执行预算支出。</w:t>
      </w:r>
    </w:p>
    <w:p w14:paraId="1A4B419F">
      <w:pPr>
        <w:pStyle w:val="13"/>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2.内部控制管理方面：完善内部控制管理制度并按制度严格执行，实行权责分配，做好内部审计，及时预估风险，针对风险采取控制措施，发现问题及时改进。</w:t>
      </w:r>
    </w:p>
    <w:p w14:paraId="6572FE2B">
      <w:pPr>
        <w:pStyle w:val="13"/>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3.资金管理方面：严格执行国库集中支付、政府采购等规定，确保资金支付安全规范，依托财政一体化系统和内部管理台账，确保各项资金专款专用，杜绝发生截留、挤占或挪用资金的情况。</w:t>
      </w:r>
    </w:p>
    <w:p w14:paraId="400224C0">
      <w:pPr>
        <w:pStyle w:val="13"/>
        <w:shd w:val="clear"/>
        <w:ind w:firstLine="64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4.资产管理方面：专人负责，资产购入、保管、使用、报废按照资产管理制度流程处理，杜绝资产浪费与流失的可能性，做好资产的年度清理与报表工作。</w:t>
      </w:r>
    </w:p>
    <w:p w14:paraId="21BC6B51">
      <w:pPr>
        <w:pStyle w:val="13"/>
        <w:shd w:val="clear"/>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auto"/>
          <w:kern w:val="2"/>
          <w:sz w:val="32"/>
          <w:szCs w:val="32"/>
          <w:lang w:val="en-US" w:eastAsia="zh-CN" w:bidi="ar-SA"/>
        </w:rPr>
        <w:t>5.绩效管理方面：依据上级部门最新政策规定，深入贯彻落实全面实施预算绩效管理的要求，牢固树立“花钱必问效、无效必问责”的理念，着力构建全方位、全过程、全覆盖的预算绩效管理体系，不断提升财政资金使用效益和管理水平。</w:t>
      </w:r>
    </w:p>
    <w:p w14:paraId="2F7C038A">
      <w:pPr>
        <w:pStyle w:val="13"/>
        <w:shd w:val="clear"/>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418F9FA9">
      <w:pPr>
        <w:pStyle w:val="13"/>
        <w:shd w:val="clear"/>
        <w:jc w:val="center"/>
        <w:rPr>
          <w:rFonts w:ascii="Times New Roman" w:hAnsi="Times New Roman" w:cs="Times New Roman"/>
          <w:sz w:val="72"/>
          <w:szCs w:val="72"/>
        </w:rPr>
      </w:pPr>
    </w:p>
    <w:p w14:paraId="6811B612">
      <w:pPr>
        <w:pStyle w:val="13"/>
        <w:shd w:val="clear"/>
        <w:jc w:val="both"/>
        <w:rPr>
          <w:rFonts w:ascii="Times New Roman" w:hAnsi="Times New Roman" w:cs="Times New Roman"/>
          <w:sz w:val="72"/>
          <w:szCs w:val="72"/>
        </w:rPr>
      </w:pPr>
    </w:p>
    <w:p w14:paraId="1C3CCDCA">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0FF089AD">
      <w:pPr>
        <w:widowControl/>
        <w:shd w:val="clear"/>
        <w:jc w:val="left"/>
        <w:rPr>
          <w:rFonts w:ascii="Times New Roman" w:hAnsi="Times New Roman" w:cs="Times New Roman"/>
          <w:color w:val="000000"/>
          <w:kern w:val="0"/>
          <w:sz w:val="32"/>
          <w:szCs w:val="32"/>
        </w:rPr>
      </w:pPr>
    </w:p>
    <w:p w14:paraId="2DE1E02A">
      <w:pPr>
        <w:pStyle w:val="13"/>
        <w:shd w:val="clear"/>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674F9735">
      <w:pPr>
        <w:pStyle w:val="13"/>
        <w:shd w:val="clear"/>
        <w:ind w:firstLine="640" w:firstLineChars="200"/>
        <w:jc w:val="left"/>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269074FC">
      <w:pPr>
        <w:pStyle w:val="13"/>
        <w:shd w:val="clear"/>
        <w:jc w:val="center"/>
        <w:rPr>
          <w:rFonts w:ascii="Times New Roman" w:hAnsi="Times New Roman" w:cs="Times New Roman"/>
          <w:sz w:val="72"/>
          <w:szCs w:val="72"/>
        </w:rPr>
      </w:pPr>
    </w:p>
    <w:p w14:paraId="4D473D96">
      <w:pPr>
        <w:pStyle w:val="13"/>
        <w:shd w:val="clea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6923A9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14:paraId="03BB5A1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7CA898A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7D8CA542">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溆浦县舒溶溪乡中学</w:t>
      </w:r>
      <w:r>
        <w:rPr>
          <w:rFonts w:hint="eastAsia" w:ascii="仿宋" w:hAnsi="仿宋" w:eastAsia="仿宋"/>
          <w:sz w:val="32"/>
          <w:szCs w:val="32"/>
        </w:rPr>
        <w:t>为</w:t>
      </w:r>
      <w:r>
        <w:rPr>
          <w:rFonts w:hint="eastAsia" w:ascii="仿宋" w:hAnsi="仿宋" w:eastAsia="仿宋"/>
          <w:sz w:val="32"/>
          <w:szCs w:val="32"/>
          <w:lang w:val="en-US" w:eastAsia="zh-CN"/>
        </w:rPr>
        <w:t>溆浦</w:t>
      </w:r>
      <w:r>
        <w:rPr>
          <w:rFonts w:hint="eastAsia" w:ascii="仿宋" w:hAnsi="仿宋" w:eastAsia="仿宋"/>
          <w:sz w:val="32"/>
          <w:szCs w:val="32"/>
        </w:rPr>
        <w:t>县教育局下属二级预算单位，属于财政全额拨款的事业单位，内设</w:t>
      </w:r>
      <w:r>
        <w:rPr>
          <w:rFonts w:hint="eastAsia" w:ascii="仿宋" w:hAnsi="仿宋" w:eastAsia="仿宋"/>
          <w:sz w:val="32"/>
          <w:szCs w:val="32"/>
          <w:lang w:val="en-US" w:eastAsia="zh-CN"/>
        </w:rPr>
        <w:t>德育处</w:t>
      </w:r>
      <w:r>
        <w:rPr>
          <w:rFonts w:hint="eastAsia" w:ascii="仿宋" w:hAnsi="仿宋" w:eastAsia="仿宋"/>
          <w:sz w:val="32"/>
          <w:szCs w:val="32"/>
        </w:rPr>
        <w:t>、教导处、总务处、督导室等机构。</w:t>
      </w:r>
    </w:p>
    <w:p w14:paraId="1069ACE5">
      <w:pPr>
        <w:pStyle w:val="8"/>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人员编制情况</w:t>
      </w:r>
    </w:p>
    <w:p w14:paraId="3DC13D7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eastAsia" w:ascii="仿宋" w:hAnsi="仿宋" w:eastAsia="仿宋"/>
          <w:color w:val="auto"/>
          <w:sz w:val="32"/>
          <w:szCs w:val="32"/>
          <w:lang w:val="en-US" w:eastAsia="zh-CN"/>
        </w:rPr>
        <w:t>截至</w:t>
      </w:r>
      <w:bookmarkStart w:id="3" w:name="_GoBack"/>
      <w:bookmarkEnd w:id="3"/>
      <w:r>
        <w:rPr>
          <w:rFonts w:hint="eastAsia" w:ascii="仿宋" w:hAnsi="仿宋" w:eastAsia="仿宋"/>
          <w:color w:val="auto"/>
          <w:sz w:val="32"/>
          <w:szCs w:val="32"/>
        </w:rPr>
        <w:t>202</w:t>
      </w:r>
      <w:r>
        <w:rPr>
          <w:rFonts w:hint="eastAsia" w:ascii="仿宋" w:hAnsi="仿宋" w:eastAsia="仿宋"/>
          <w:color w:val="auto"/>
          <w:sz w:val="32"/>
          <w:szCs w:val="32"/>
          <w:lang w:val="en-US" w:eastAsia="zh-CN"/>
        </w:rPr>
        <w:t>4</w:t>
      </w:r>
      <w:r>
        <w:rPr>
          <w:rFonts w:hint="eastAsia" w:ascii="仿宋" w:hAnsi="仿宋" w:eastAsia="仿宋"/>
          <w:color w:val="auto"/>
          <w:sz w:val="32"/>
          <w:szCs w:val="32"/>
        </w:rPr>
        <w:t>年底，</w:t>
      </w:r>
      <w:r>
        <w:rPr>
          <w:rFonts w:hint="eastAsia" w:ascii="仿宋" w:hAnsi="仿宋" w:eastAsia="仿宋"/>
          <w:color w:val="auto"/>
          <w:sz w:val="32"/>
          <w:szCs w:val="32"/>
          <w:lang w:val="en-US" w:eastAsia="zh-CN"/>
        </w:rPr>
        <w:t>我校共有编制人数25人，实有在职人数28人，在校学生人数343人。</w:t>
      </w:r>
    </w:p>
    <w:p w14:paraId="57FF2896">
      <w:pPr>
        <w:pStyle w:val="8"/>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主要职能职责</w:t>
      </w:r>
    </w:p>
    <w:p w14:paraId="19C91BE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1、全面贯彻执行党和国家有关学生教育的方针、政策及相关的法律法规，坚持依法治教、依法治学，执行国家教育教学标准，贯彻执行县教育局的行政规章制度，保证教育教学质量。</w:t>
      </w:r>
    </w:p>
    <w:p w14:paraId="657E6A4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2、加强学校领导班子和教职工队伍建设，不断提高队伍素质。</w:t>
      </w:r>
    </w:p>
    <w:p w14:paraId="3694E47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3、遵循学生身心发展规律和社会发展要求，培养学生良好的行为习惯，引导学生从小逐步树立正确的世界观、人生观和价值观。</w:t>
      </w:r>
    </w:p>
    <w:p w14:paraId="267CD13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4、遵循教学规律，深化课堂教育改革，减轻学生课业负担，全面提高教育教学质量，促进学生全面发展。</w:t>
      </w:r>
    </w:p>
    <w:p w14:paraId="270D210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5、做好校园安全工作，开展师生安全教育，健全安全应急机制，定期进行安全隐患排查，确保师生在校期间的安全。</w:t>
      </w:r>
    </w:p>
    <w:p w14:paraId="4D84ADD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6、做好</w:t>
      </w:r>
      <w:r>
        <w:rPr>
          <w:rFonts w:hint="eastAsia" w:ascii="仿宋" w:hAnsi="仿宋" w:eastAsia="仿宋" w:cs="Times New Roman"/>
          <w:kern w:val="2"/>
          <w:sz w:val="32"/>
          <w:szCs w:val="32"/>
          <w:lang w:val="en-US" w:eastAsia="zh-CN" w:bidi="ar-SA"/>
        </w:rPr>
        <w:t>初中</w:t>
      </w:r>
      <w:r>
        <w:rPr>
          <w:rFonts w:hint="default" w:ascii="仿宋" w:hAnsi="仿宋" w:eastAsia="仿宋" w:cs="Times New Roman"/>
          <w:kern w:val="2"/>
          <w:sz w:val="32"/>
          <w:szCs w:val="32"/>
          <w:lang w:val="en-US" w:eastAsia="zh-CN" w:bidi="ar-SA"/>
        </w:rPr>
        <w:t>学历教育及相关的社会服务，促进基础教育发展。</w:t>
      </w:r>
    </w:p>
    <w:p w14:paraId="76B0677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1F4CF707">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目标1：办学综合实力居于溆浦县乡镇学校前列，科学规范办学。</w:t>
      </w:r>
    </w:p>
    <w:p w14:paraId="4164AB9E">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60" w:lineRule="exact"/>
        <w:ind w:left="0" w:firstLine="640" w:firstLineChars="200"/>
        <w:jc w:val="both"/>
        <w:textAlignment w:val="auto"/>
        <w:rPr>
          <w:rFonts w:hint="default" w:ascii="仿宋" w:hAnsi="仿宋" w:eastAsia="仿宋" w:cs="Times New Roman"/>
          <w:kern w:val="2"/>
          <w:sz w:val="32"/>
          <w:szCs w:val="32"/>
          <w:lang w:val="en-US" w:eastAsia="zh-CN" w:bidi="ar-SA"/>
        </w:rPr>
      </w:pPr>
      <w:r>
        <w:rPr>
          <w:rFonts w:hint="default" w:ascii="仿宋" w:hAnsi="仿宋" w:eastAsia="仿宋" w:cs="Times New Roman"/>
          <w:kern w:val="2"/>
          <w:sz w:val="32"/>
          <w:szCs w:val="32"/>
          <w:lang w:val="en-US" w:eastAsia="zh-CN" w:bidi="ar-SA"/>
        </w:rPr>
        <w:t>目标2：保证义务教育教学活动正常开展，保证学校正常运转。</w:t>
      </w:r>
    </w:p>
    <w:p w14:paraId="7061C5AF">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625C7B1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37A8C663">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1.预算执行情况：</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年初预算为</w:t>
      </w:r>
      <w:r>
        <w:rPr>
          <w:rFonts w:hint="eastAsia" w:ascii="Times New Roman" w:hAnsi="Times New Roman" w:eastAsia="仿宋_GB2312" w:cs="Times New Roman"/>
          <w:sz w:val="32"/>
          <w:szCs w:val="32"/>
        </w:rPr>
        <w:t>228.26</w:t>
      </w:r>
      <w:r>
        <w:rPr>
          <w:rFonts w:hint="eastAsia" w:ascii="仿宋" w:hAnsi="仿宋" w:eastAsia="仿宋"/>
          <w:sz w:val="32"/>
          <w:szCs w:val="32"/>
          <w:lang w:val="en-US" w:eastAsia="zh-CN"/>
        </w:rPr>
        <w:t>万元、</w:t>
      </w:r>
      <w:r>
        <w:rPr>
          <w:rFonts w:hint="eastAsia" w:ascii="仿宋" w:hAnsi="仿宋" w:eastAsia="仿宋"/>
          <w:sz w:val="32"/>
          <w:szCs w:val="32"/>
        </w:rPr>
        <w:t>全年预算为</w:t>
      </w:r>
      <w:r>
        <w:rPr>
          <w:rFonts w:hint="eastAsia" w:ascii="Times New Roman" w:hAnsi="Times New Roman" w:eastAsia="仿宋_GB2312" w:cs="Times New Roman"/>
          <w:sz w:val="32"/>
          <w:szCs w:val="32"/>
        </w:rPr>
        <w:t>571.89</w:t>
      </w:r>
      <w:r>
        <w:rPr>
          <w:rFonts w:hint="eastAsia" w:ascii="仿宋" w:hAnsi="仿宋" w:eastAsia="仿宋"/>
          <w:sz w:val="32"/>
          <w:szCs w:val="32"/>
        </w:rPr>
        <w:t>万元，</w:t>
      </w:r>
      <w:r>
        <w:rPr>
          <w:rFonts w:hint="eastAsia" w:ascii="仿宋" w:hAnsi="仿宋" w:eastAsia="仿宋"/>
          <w:sz w:val="32"/>
          <w:szCs w:val="32"/>
          <w:lang w:val="en-US" w:eastAsia="zh-CN"/>
        </w:rPr>
        <w:t>全年执行数为</w:t>
      </w:r>
      <w:r>
        <w:rPr>
          <w:rFonts w:hint="eastAsia" w:ascii="Times New Roman" w:hAnsi="Times New Roman" w:eastAsia="仿宋_GB2312" w:cs="Times New Roman"/>
          <w:sz w:val="32"/>
          <w:szCs w:val="32"/>
        </w:rPr>
        <w:t>571.89</w:t>
      </w:r>
      <w:r>
        <w:rPr>
          <w:rFonts w:hint="eastAsia" w:ascii="仿宋" w:hAnsi="仿宋" w:eastAsia="仿宋"/>
          <w:sz w:val="32"/>
          <w:szCs w:val="32"/>
          <w:lang w:val="en-US" w:eastAsia="zh-CN"/>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预算执行率为100%，基本保障了我校的正常运转和项目的实施，预算执行工作有序推进，达到预期目标。</w:t>
      </w:r>
    </w:p>
    <w:p w14:paraId="6665217F">
      <w:pPr>
        <w:pStyle w:val="13"/>
        <w:shd w:val="clear"/>
        <w:overflowPunct w:val="0"/>
        <w:autoSpaceDE/>
        <w:autoSpaceDN/>
        <w:spacing w:line="60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2.资金使用情况：</w:t>
      </w: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545.29</w:t>
      </w:r>
      <w:r>
        <w:rPr>
          <w:rFonts w:ascii="Times New Roman" w:hAnsi="Times New Roman" w:eastAsia="仿宋_GB2312" w:cs="Times New Roman"/>
          <w:sz w:val="32"/>
          <w:szCs w:val="32"/>
        </w:rPr>
        <w:t>万元；上级补助收入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571.89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451.79</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120.10</w:t>
      </w:r>
      <w:r>
        <w:rPr>
          <w:rFonts w:ascii="Times New Roman" w:hAnsi="Times New Roman" w:eastAsia="仿宋_GB2312" w:cs="Times New Roman"/>
          <w:sz w:val="32"/>
          <w:szCs w:val="32"/>
        </w:rPr>
        <w:t>万元。</w:t>
      </w:r>
      <w:r>
        <w:rPr>
          <w:rFonts w:hint="eastAsia" w:ascii="仿宋" w:hAnsi="仿宋" w:eastAsia="仿宋"/>
          <w:sz w:val="32"/>
          <w:szCs w:val="32"/>
          <w:lang w:val="en-US" w:eastAsia="zh-CN"/>
        </w:rPr>
        <w:t>主要用于保障我校在职及退休人员的工资福利发放、学校运转经费开支及改善我校办学条件，本年度所有资金实行专款专用。项目支出均有相关的授权审批，资金拨付严格审批程序，使用规范，会计核算结果真实、准确。建立健全项目实施预算方案、财务管理制度和会计核算制度，使用过程中未发现有截留、挤占或挪用资金的情况。</w:t>
      </w:r>
    </w:p>
    <w:p w14:paraId="0BE68B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管理总体情况：2024年我校所有资金实行专款专用。项目支出均有相关的授权审批，使用规范，会计核算结果真实、准确。建立健全项目实施预算方案、财务管理制度和会计核算制度，此次绩效评价过程中未发现有截留、挤占或挪用专项资金的情况。</w:t>
      </w:r>
    </w:p>
    <w:p w14:paraId="5131A2F7">
      <w:pPr>
        <w:pStyle w:val="13"/>
        <w:shd w:val="clear"/>
        <w:overflowPunct w:val="0"/>
        <w:autoSpaceDE/>
        <w:autoSpaceDN/>
        <w:spacing w:line="600" w:lineRule="exact"/>
        <w:ind w:firstLine="640" w:firstLineChars="200"/>
        <w:jc w:val="both"/>
        <w:rPr>
          <w:rFonts w:hint="default" w:ascii="仿宋" w:hAnsi="仿宋" w:eastAsia="仿宋"/>
          <w:sz w:val="32"/>
          <w:szCs w:val="32"/>
          <w:lang w:val="en-US" w:eastAsia="zh-CN"/>
        </w:rPr>
      </w:pPr>
    </w:p>
    <w:p w14:paraId="2BA83E8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405B4B8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10990B2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基本支出用于为保障机构正常运转、完成日常工作任务而发生的支出，包括人员经费和公用经费。202</w:t>
      </w:r>
      <w:r>
        <w:rPr>
          <w:rFonts w:hint="eastAsia" w:ascii="仿宋_GB2312" w:eastAsia="仿宋_GB2312" w:cs="仿宋_GB2312"/>
          <w:i w:val="0"/>
          <w:iCs w:val="0"/>
          <w:caps w:val="0"/>
          <w:color w:val="000000"/>
          <w:spacing w:val="0"/>
          <w:sz w:val="32"/>
          <w:szCs w:val="32"/>
          <w:shd w:val="clear" w:color="auto" w:fill="FFFFFF"/>
          <w:lang w:val="en-US" w:eastAsia="zh-CN"/>
        </w:rPr>
        <w:t>4</w:t>
      </w:r>
      <w:r>
        <w:rPr>
          <w:rFonts w:hint="default" w:ascii="仿宋_GB2312" w:eastAsia="仿宋_GB2312" w:cs="仿宋_GB2312"/>
          <w:i w:val="0"/>
          <w:iCs w:val="0"/>
          <w:caps w:val="0"/>
          <w:color w:val="000000"/>
          <w:spacing w:val="0"/>
          <w:sz w:val="32"/>
          <w:szCs w:val="32"/>
          <w:shd w:val="clear" w:color="auto" w:fill="FFFFFF"/>
        </w:rPr>
        <w:t>年</w:t>
      </w:r>
      <w:r>
        <w:rPr>
          <w:rFonts w:hint="eastAsia" w:ascii="仿宋_GB2312" w:eastAsia="仿宋_GB2312" w:cs="仿宋_GB2312"/>
          <w:i w:val="0"/>
          <w:iCs w:val="0"/>
          <w:caps w:val="0"/>
          <w:color w:val="000000"/>
          <w:spacing w:val="0"/>
          <w:sz w:val="32"/>
          <w:szCs w:val="32"/>
          <w:shd w:val="clear" w:color="auto" w:fill="FFFFFF"/>
          <w:lang w:val="en-US" w:eastAsia="zh-CN"/>
        </w:rPr>
        <w:t>我校</w:t>
      </w:r>
      <w:r>
        <w:rPr>
          <w:rFonts w:hint="default" w:ascii="仿宋_GB2312" w:eastAsia="仿宋_GB2312" w:cs="仿宋_GB2312"/>
          <w:i w:val="0"/>
          <w:iCs w:val="0"/>
          <w:caps w:val="0"/>
          <w:color w:val="000000"/>
          <w:spacing w:val="0"/>
          <w:sz w:val="32"/>
          <w:szCs w:val="32"/>
          <w:shd w:val="clear" w:color="auto" w:fill="FFFFFF"/>
        </w:rPr>
        <w:t>基本支出为</w:t>
      </w:r>
      <w:r>
        <w:rPr>
          <w:rFonts w:hint="eastAsia" w:ascii="仿宋" w:hAnsi="仿宋" w:eastAsia="仿宋"/>
          <w:sz w:val="32"/>
          <w:szCs w:val="32"/>
        </w:rPr>
        <w:t>425.19</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val="en-US" w:eastAsia="zh-CN"/>
        </w:rPr>
        <w:t>占全年总支出的77.9%，</w:t>
      </w:r>
      <w:r>
        <w:rPr>
          <w:rFonts w:hint="default" w:ascii="仿宋_GB2312" w:eastAsia="仿宋_GB2312" w:cs="仿宋_GB2312"/>
          <w:i w:val="0"/>
          <w:iCs w:val="0"/>
          <w:caps w:val="0"/>
          <w:color w:val="000000"/>
          <w:spacing w:val="0"/>
          <w:sz w:val="32"/>
          <w:szCs w:val="32"/>
          <w:shd w:val="clear" w:color="auto" w:fill="FFFFFF"/>
        </w:rPr>
        <w:t>其中：工资福利支出</w:t>
      </w:r>
      <w:r>
        <w:rPr>
          <w:rFonts w:hint="eastAsia" w:ascii="仿宋" w:hAnsi="仿宋" w:eastAsia="仿宋"/>
          <w:sz w:val="32"/>
          <w:szCs w:val="32"/>
          <w:lang w:val="en-US" w:eastAsia="zh-CN"/>
        </w:rPr>
        <w:t>333.88</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主要用于基本工资、津贴补贴、奖金、绩效工资</w:t>
      </w:r>
      <w:r>
        <w:rPr>
          <w:rFonts w:hint="default" w:ascii="仿宋_GB2312" w:eastAsia="仿宋_GB2312" w:cs="仿宋_GB2312"/>
          <w:i w:val="0"/>
          <w:iCs w:val="0"/>
          <w:caps w:val="0"/>
          <w:color w:val="000000"/>
          <w:spacing w:val="0"/>
          <w:sz w:val="32"/>
          <w:szCs w:val="32"/>
          <w:shd w:val="clear" w:color="auto" w:fill="FFFFFF"/>
        </w:rPr>
        <w:t>、机关事业单位基本养老保险缴费</w:t>
      </w:r>
      <w:r>
        <w:rPr>
          <w:rFonts w:hint="eastAsia" w:ascii="仿宋_GB2312" w:eastAsia="仿宋_GB2312" w:cs="仿宋_GB2312"/>
          <w:i w:val="0"/>
          <w:iCs w:val="0"/>
          <w:caps w:val="0"/>
          <w:color w:val="000000"/>
          <w:spacing w:val="0"/>
          <w:sz w:val="32"/>
          <w:szCs w:val="32"/>
          <w:shd w:val="clear" w:color="auto" w:fill="FFFFFF"/>
          <w:lang w:eastAsia="zh-CN"/>
        </w:rPr>
        <w:t>、职工基本医疗保险缴费、其他社会保障缴费、住房公积金</w:t>
      </w:r>
      <w:r>
        <w:rPr>
          <w:rFonts w:hint="eastAsia" w:ascii="仿宋_GB2312" w:eastAsia="仿宋_GB2312" w:cs="仿宋_GB2312"/>
          <w:i w:val="0"/>
          <w:iCs w:val="0"/>
          <w:caps w:val="0"/>
          <w:color w:val="000000"/>
          <w:spacing w:val="0"/>
          <w:sz w:val="32"/>
          <w:szCs w:val="32"/>
          <w:shd w:val="clear" w:color="auto" w:fill="FFFFFF"/>
          <w:lang w:val="en-US" w:eastAsia="zh-CN"/>
        </w:rPr>
        <w:t>等支出；</w:t>
      </w:r>
      <w:r>
        <w:rPr>
          <w:rFonts w:hint="default" w:ascii="仿宋_GB2312" w:eastAsia="仿宋_GB2312" w:cs="仿宋_GB2312"/>
          <w:i w:val="0"/>
          <w:iCs w:val="0"/>
          <w:caps w:val="0"/>
          <w:color w:val="000000"/>
          <w:spacing w:val="0"/>
          <w:sz w:val="32"/>
          <w:szCs w:val="32"/>
          <w:shd w:val="clear" w:color="auto" w:fill="FFFFFF"/>
        </w:rPr>
        <w:t>商品和服务支出</w:t>
      </w:r>
      <w:r>
        <w:rPr>
          <w:rFonts w:hint="eastAsia" w:ascii="仿宋" w:hAnsi="仿宋" w:eastAsia="仿宋"/>
          <w:sz w:val="32"/>
          <w:szCs w:val="32"/>
          <w:lang w:val="en-US" w:eastAsia="zh-CN"/>
        </w:rPr>
        <w:t>59.02</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主要用于办公费</w:t>
      </w:r>
      <w:r>
        <w:rPr>
          <w:rFonts w:hint="default" w:ascii="仿宋_GB2312" w:eastAsia="仿宋_GB2312" w:cs="仿宋_GB2312"/>
          <w:i w:val="0"/>
          <w:iCs w:val="0"/>
          <w:caps w:val="0"/>
          <w:color w:val="000000"/>
          <w:spacing w:val="0"/>
          <w:sz w:val="32"/>
          <w:szCs w:val="32"/>
          <w:shd w:val="clear" w:color="auto" w:fill="FFFFFF"/>
        </w:rPr>
        <w:t>、印刷费</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水电费、差旅费、维修（护）费、培训费、专用材料费、劳务费等支出，</w:t>
      </w:r>
      <w:r>
        <w:rPr>
          <w:rFonts w:hint="default" w:ascii="仿宋_GB2312" w:eastAsia="仿宋_GB2312" w:cs="仿宋_GB2312"/>
          <w:i w:val="0"/>
          <w:iCs w:val="0"/>
          <w:caps w:val="0"/>
          <w:color w:val="000000"/>
          <w:spacing w:val="0"/>
          <w:sz w:val="32"/>
          <w:szCs w:val="32"/>
          <w:shd w:val="clear" w:color="auto" w:fill="FFFFFF"/>
        </w:rPr>
        <w:t>对个人和家庭的补助</w:t>
      </w:r>
      <w:r>
        <w:rPr>
          <w:rFonts w:hint="eastAsia" w:ascii="仿宋" w:hAnsi="仿宋" w:eastAsia="仿宋"/>
          <w:sz w:val="32"/>
          <w:szCs w:val="32"/>
          <w:lang w:val="en-US" w:eastAsia="zh-CN"/>
        </w:rPr>
        <w:t>32.29</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eastAsia="zh-CN"/>
        </w:rPr>
        <w:t>，</w:t>
      </w:r>
      <w:r>
        <w:rPr>
          <w:rFonts w:hint="eastAsia" w:ascii="仿宋_GB2312" w:eastAsia="仿宋_GB2312" w:cs="仿宋_GB2312"/>
          <w:i w:val="0"/>
          <w:iCs w:val="0"/>
          <w:caps w:val="0"/>
          <w:color w:val="000000"/>
          <w:spacing w:val="0"/>
          <w:sz w:val="32"/>
          <w:szCs w:val="32"/>
          <w:shd w:val="clear" w:color="auto" w:fill="FFFFFF"/>
          <w:lang w:val="en-US" w:eastAsia="zh-CN"/>
        </w:rPr>
        <w:t>主要用于抚恤金</w:t>
      </w:r>
      <w:r>
        <w:rPr>
          <w:rFonts w:hint="default" w:ascii="仿宋_GB2312" w:eastAsia="仿宋_GB2312" w:cs="仿宋_GB2312"/>
          <w:i w:val="0"/>
          <w:iCs w:val="0"/>
          <w:caps w:val="0"/>
          <w:color w:val="000000"/>
          <w:spacing w:val="0"/>
          <w:sz w:val="32"/>
          <w:szCs w:val="32"/>
          <w:shd w:val="clear" w:color="auto" w:fill="FFFFFF"/>
        </w:rPr>
        <w:t>、</w:t>
      </w:r>
      <w:r>
        <w:rPr>
          <w:rFonts w:hint="eastAsia" w:ascii="仿宋_GB2312" w:eastAsia="仿宋_GB2312" w:cs="仿宋_GB2312"/>
          <w:i w:val="0"/>
          <w:iCs w:val="0"/>
          <w:caps w:val="0"/>
          <w:color w:val="000000"/>
          <w:spacing w:val="0"/>
          <w:sz w:val="32"/>
          <w:szCs w:val="32"/>
          <w:shd w:val="clear" w:color="auto" w:fill="FFFFFF"/>
          <w:lang w:val="en-US" w:eastAsia="zh-CN"/>
        </w:rPr>
        <w:t>遗属生活补助及学生营养餐支出；</w:t>
      </w:r>
      <w:r>
        <w:rPr>
          <w:rFonts w:hint="default" w:ascii="仿宋_GB2312" w:eastAsia="仿宋_GB2312" w:cs="仿宋_GB2312"/>
          <w:i w:val="0"/>
          <w:iCs w:val="0"/>
          <w:caps w:val="0"/>
          <w:color w:val="000000"/>
          <w:spacing w:val="0"/>
          <w:sz w:val="32"/>
          <w:szCs w:val="32"/>
          <w:shd w:val="clear" w:color="auto" w:fill="FFFFFF"/>
        </w:rPr>
        <w:t>资本性支出</w:t>
      </w:r>
      <w:r>
        <w:rPr>
          <w:rFonts w:hint="eastAsia" w:ascii="仿宋_GB2312" w:eastAsia="仿宋_GB2312" w:cs="仿宋_GB2312"/>
          <w:i w:val="0"/>
          <w:iCs w:val="0"/>
          <w:caps w:val="0"/>
          <w:color w:val="000000"/>
          <w:spacing w:val="0"/>
          <w:sz w:val="32"/>
          <w:szCs w:val="32"/>
          <w:shd w:val="clear" w:color="auto" w:fill="FFFFFF"/>
          <w:lang w:val="en-US" w:eastAsia="zh-CN"/>
        </w:rPr>
        <w:t>0</w:t>
      </w:r>
      <w:r>
        <w:rPr>
          <w:rFonts w:hint="default" w:ascii="仿宋_GB2312" w:eastAsia="仿宋_GB2312" w:cs="仿宋_GB2312"/>
          <w:i w:val="0"/>
          <w:iCs w:val="0"/>
          <w:caps w:val="0"/>
          <w:color w:val="000000"/>
          <w:spacing w:val="0"/>
          <w:sz w:val="32"/>
          <w:szCs w:val="32"/>
          <w:shd w:val="clear" w:color="auto" w:fill="FFFFFF"/>
        </w:rPr>
        <w:t>万元。</w:t>
      </w:r>
    </w:p>
    <w:p w14:paraId="18B56BC7">
      <w:pPr>
        <w:pStyle w:val="8"/>
        <w:keepNext w:val="0"/>
        <w:keepLines w:val="0"/>
        <w:pageBreakBefore w:val="0"/>
        <w:widowControl w:val="0"/>
        <w:numPr>
          <w:ilvl w:val="0"/>
          <w:numId w:val="7"/>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项目支出情况</w:t>
      </w:r>
    </w:p>
    <w:p w14:paraId="5A3DCBD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eastAsia" w:ascii="仿宋_GB2312" w:eastAsia="仿宋_GB2312" w:cs="仿宋_GB2312"/>
          <w:i w:val="0"/>
          <w:iCs w:val="0"/>
          <w:caps w:val="0"/>
          <w:color w:val="000000"/>
          <w:spacing w:val="0"/>
          <w:sz w:val="32"/>
          <w:szCs w:val="32"/>
          <w:shd w:val="clear" w:color="auto" w:fill="FFFFFF"/>
          <w:lang w:val="en-US" w:eastAsia="zh-CN"/>
        </w:rPr>
        <w:t>项目</w:t>
      </w:r>
      <w:r>
        <w:rPr>
          <w:rFonts w:hint="default" w:ascii="仿宋_GB2312" w:eastAsia="仿宋_GB2312" w:cs="仿宋_GB2312"/>
          <w:i w:val="0"/>
          <w:iCs w:val="0"/>
          <w:caps w:val="0"/>
          <w:color w:val="000000"/>
          <w:spacing w:val="0"/>
          <w:sz w:val="32"/>
          <w:szCs w:val="32"/>
          <w:shd w:val="clear" w:color="auto" w:fill="FFFFFF"/>
        </w:rPr>
        <w:t>支出是在基本支出之外为完成其特定的工作任务而发生的支出，主要用于</w:t>
      </w:r>
      <w:r>
        <w:rPr>
          <w:rFonts w:hint="eastAsia" w:ascii="仿宋_GB2312" w:eastAsia="仿宋_GB2312" w:cs="仿宋_GB2312"/>
          <w:i w:val="0"/>
          <w:iCs w:val="0"/>
          <w:caps w:val="0"/>
          <w:color w:val="000000"/>
          <w:spacing w:val="0"/>
          <w:sz w:val="32"/>
          <w:szCs w:val="32"/>
          <w:shd w:val="clear" w:color="auto" w:fill="FFFFFF"/>
          <w:lang w:val="en-US" w:eastAsia="zh-CN"/>
        </w:rPr>
        <w:t>改善我校办学条件</w:t>
      </w:r>
      <w:r>
        <w:rPr>
          <w:rFonts w:hint="default" w:ascii="仿宋_GB2312" w:eastAsia="仿宋_GB2312" w:cs="仿宋_GB2312"/>
          <w:i w:val="0"/>
          <w:iCs w:val="0"/>
          <w:caps w:val="0"/>
          <w:color w:val="000000"/>
          <w:spacing w:val="0"/>
          <w:sz w:val="32"/>
          <w:szCs w:val="32"/>
          <w:shd w:val="clear" w:color="auto" w:fill="FFFFFF"/>
        </w:rPr>
        <w:t>。202</w:t>
      </w:r>
      <w:r>
        <w:rPr>
          <w:rFonts w:hint="eastAsia" w:ascii="仿宋_GB2312" w:eastAsia="仿宋_GB2312" w:cs="仿宋_GB2312"/>
          <w:i w:val="0"/>
          <w:iCs w:val="0"/>
          <w:caps w:val="0"/>
          <w:color w:val="000000"/>
          <w:spacing w:val="0"/>
          <w:sz w:val="32"/>
          <w:szCs w:val="32"/>
          <w:shd w:val="clear" w:color="auto" w:fill="FFFFFF"/>
          <w:lang w:val="en-US" w:eastAsia="zh-CN"/>
        </w:rPr>
        <w:t>4</w:t>
      </w:r>
      <w:r>
        <w:rPr>
          <w:rFonts w:hint="default" w:ascii="仿宋_GB2312" w:eastAsia="仿宋_GB2312" w:cs="仿宋_GB2312"/>
          <w:i w:val="0"/>
          <w:iCs w:val="0"/>
          <w:caps w:val="0"/>
          <w:color w:val="000000"/>
          <w:spacing w:val="0"/>
          <w:sz w:val="32"/>
          <w:szCs w:val="32"/>
          <w:shd w:val="clear" w:color="auto" w:fill="FFFFFF"/>
        </w:rPr>
        <w:t>年</w:t>
      </w:r>
      <w:r>
        <w:rPr>
          <w:rFonts w:hint="eastAsia" w:ascii="仿宋_GB2312" w:eastAsia="仿宋_GB2312" w:cs="仿宋_GB2312"/>
          <w:i w:val="0"/>
          <w:iCs w:val="0"/>
          <w:caps w:val="0"/>
          <w:color w:val="000000"/>
          <w:spacing w:val="0"/>
          <w:sz w:val="32"/>
          <w:szCs w:val="32"/>
          <w:shd w:val="clear" w:color="auto" w:fill="FFFFFF"/>
          <w:lang w:val="en-US" w:eastAsia="zh-CN"/>
        </w:rPr>
        <w:t>我校项目支出</w:t>
      </w:r>
      <w:r>
        <w:rPr>
          <w:rFonts w:hint="default" w:ascii="仿宋_GB2312" w:eastAsia="仿宋_GB2312" w:cs="仿宋_GB2312"/>
          <w:i w:val="0"/>
          <w:iCs w:val="0"/>
          <w:caps w:val="0"/>
          <w:color w:val="000000"/>
          <w:spacing w:val="0"/>
          <w:sz w:val="32"/>
          <w:szCs w:val="32"/>
          <w:shd w:val="clear" w:color="auto" w:fill="FFFFFF"/>
        </w:rPr>
        <w:t>为</w:t>
      </w:r>
      <w:r>
        <w:rPr>
          <w:rFonts w:hint="eastAsia" w:ascii="仿宋_GB2312" w:eastAsia="仿宋_GB2312" w:cs="仿宋_GB2312"/>
          <w:i w:val="0"/>
          <w:iCs w:val="0"/>
          <w:caps w:val="0"/>
          <w:color w:val="000000"/>
          <w:spacing w:val="0"/>
          <w:sz w:val="32"/>
          <w:szCs w:val="32"/>
          <w:shd w:val="clear" w:color="auto" w:fill="FFFFFF"/>
          <w:lang w:val="en-US" w:eastAsia="zh-CN"/>
        </w:rPr>
        <w:t>120.10</w:t>
      </w:r>
      <w:r>
        <w:rPr>
          <w:rFonts w:hint="default" w:ascii="仿宋_GB2312" w:eastAsia="仿宋_GB2312" w:cs="仿宋_GB2312"/>
          <w:i w:val="0"/>
          <w:iCs w:val="0"/>
          <w:caps w:val="0"/>
          <w:color w:val="000000"/>
          <w:spacing w:val="0"/>
          <w:sz w:val="32"/>
          <w:szCs w:val="32"/>
          <w:shd w:val="clear" w:color="auto" w:fill="FFFFFF"/>
        </w:rPr>
        <w:t>万元，</w:t>
      </w:r>
      <w:r>
        <w:rPr>
          <w:rFonts w:hint="eastAsia" w:ascii="仿宋_GB2312" w:eastAsia="仿宋_GB2312" w:cs="仿宋_GB2312"/>
          <w:i w:val="0"/>
          <w:iCs w:val="0"/>
          <w:caps w:val="0"/>
          <w:color w:val="000000"/>
          <w:spacing w:val="0"/>
          <w:sz w:val="32"/>
          <w:szCs w:val="32"/>
          <w:shd w:val="clear" w:color="auto" w:fill="FFFFFF"/>
          <w:lang w:val="en-US" w:eastAsia="zh-CN"/>
        </w:rPr>
        <w:t>占全年总支出的22.1%</w:t>
      </w:r>
      <w:r>
        <w:rPr>
          <w:rFonts w:hint="default" w:ascii="仿宋_GB2312" w:eastAsia="仿宋_GB2312" w:cs="仿宋_GB2312"/>
          <w:i w:val="0"/>
          <w:iCs w:val="0"/>
          <w:caps w:val="0"/>
          <w:color w:val="000000"/>
          <w:spacing w:val="0"/>
          <w:sz w:val="32"/>
          <w:szCs w:val="32"/>
          <w:shd w:val="clear" w:color="auto" w:fill="FFFFFF"/>
        </w:rPr>
        <w:t>。</w:t>
      </w:r>
    </w:p>
    <w:p w14:paraId="1FA7E032">
      <w:pPr>
        <w:pStyle w:val="8"/>
        <w:keepNext w:val="0"/>
        <w:keepLines w:val="0"/>
        <w:pageBreakBefore w:val="0"/>
        <w:widowControl w:val="0"/>
        <w:numPr>
          <w:ilvl w:val="0"/>
          <w:numId w:val="6"/>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"三公"经费使用和管理情况</w:t>
      </w:r>
    </w:p>
    <w:p w14:paraId="3497778B">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default" w:ascii="楷体_GB2312" w:hAnsi="楷体_GB2312" w:eastAsia="仿宋" w:cs="楷体_GB2312"/>
          <w:b/>
          <w:bCs/>
          <w:i w:val="0"/>
          <w:iCs w:val="0"/>
          <w:caps w:val="0"/>
          <w:color w:val="000000"/>
          <w:spacing w:val="0"/>
          <w:sz w:val="32"/>
          <w:szCs w:val="32"/>
          <w:shd w:val="clear" w:color="auto" w:fill="FFFFFF"/>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我校</w:t>
      </w:r>
      <w:r>
        <w:rPr>
          <w:rFonts w:hint="eastAsia" w:ascii="仿宋" w:hAnsi="仿宋" w:eastAsia="仿宋"/>
          <w:sz w:val="32"/>
          <w:szCs w:val="32"/>
        </w:rPr>
        <w:t>“三公”经费</w:t>
      </w:r>
      <w:r>
        <w:rPr>
          <w:rFonts w:hint="eastAsia" w:ascii="仿宋" w:hAnsi="仿宋" w:eastAsia="仿宋"/>
          <w:sz w:val="32"/>
          <w:szCs w:val="32"/>
          <w:lang w:val="en-US" w:eastAsia="zh-CN"/>
        </w:rPr>
        <w:t>支出</w:t>
      </w:r>
      <w:r>
        <w:rPr>
          <w:rFonts w:hint="eastAsia" w:ascii="仿宋" w:hAnsi="仿宋" w:eastAsia="仿宋"/>
          <w:sz w:val="32"/>
          <w:szCs w:val="32"/>
        </w:rPr>
        <w:t>为</w:t>
      </w:r>
      <w:r>
        <w:rPr>
          <w:rFonts w:hint="eastAsia" w:ascii="仿宋" w:hAnsi="仿宋" w:eastAsia="仿宋"/>
          <w:sz w:val="32"/>
          <w:szCs w:val="32"/>
          <w:lang w:val="en-US" w:eastAsia="zh-CN"/>
        </w:rPr>
        <w:t>0</w:t>
      </w:r>
      <w:r>
        <w:rPr>
          <w:rFonts w:hint="eastAsia" w:ascii="仿宋" w:hAnsi="仿宋" w:eastAsia="仿宋"/>
          <w:sz w:val="32"/>
          <w:szCs w:val="32"/>
        </w:rPr>
        <w:t>万元，其中：公车运行维护费</w:t>
      </w:r>
      <w:r>
        <w:rPr>
          <w:rFonts w:hint="eastAsia" w:ascii="仿宋" w:hAnsi="仿宋" w:eastAsia="仿宋"/>
          <w:sz w:val="32"/>
          <w:szCs w:val="32"/>
          <w:lang w:val="en-US" w:eastAsia="zh-CN"/>
        </w:rPr>
        <w:t>0</w:t>
      </w:r>
      <w:r>
        <w:rPr>
          <w:rFonts w:hint="eastAsia" w:ascii="仿宋" w:hAnsi="仿宋" w:eastAsia="仿宋"/>
          <w:sz w:val="32"/>
          <w:szCs w:val="32"/>
        </w:rPr>
        <w:t>万元、公务接待费</w:t>
      </w:r>
      <w:r>
        <w:rPr>
          <w:rFonts w:hint="eastAsia" w:ascii="仿宋" w:hAnsi="仿宋" w:eastAsia="仿宋"/>
          <w:sz w:val="32"/>
          <w:szCs w:val="32"/>
          <w:lang w:val="en-US" w:eastAsia="zh-CN"/>
        </w:rPr>
        <w:t>0</w:t>
      </w:r>
      <w:r>
        <w:rPr>
          <w:rFonts w:hint="eastAsia" w:ascii="仿宋" w:hAnsi="仿宋" w:eastAsia="仿宋"/>
          <w:sz w:val="32"/>
          <w:szCs w:val="32"/>
        </w:rPr>
        <w:t>万元。</w:t>
      </w:r>
      <w:r>
        <w:rPr>
          <w:rFonts w:hint="eastAsia" w:ascii="仿宋" w:hAnsi="仿宋" w:eastAsia="仿宋"/>
          <w:sz w:val="32"/>
          <w:szCs w:val="32"/>
          <w:lang w:val="en-US" w:eastAsia="zh-CN"/>
        </w:rPr>
        <w:t>与上年度相比没有增减。</w:t>
      </w:r>
    </w:p>
    <w:p w14:paraId="6F90D09F">
      <w:pPr>
        <w:pStyle w:val="8"/>
        <w:keepNext w:val="0"/>
        <w:keepLines w:val="0"/>
        <w:pageBreakBefore w:val="0"/>
        <w:widowControl w:val="0"/>
        <w:numPr>
          <w:ilvl w:val="0"/>
          <w:numId w:val="8"/>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政府性基金预算支出情况</w:t>
      </w:r>
    </w:p>
    <w:p w14:paraId="16810B7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Chars="200" w:right="0" w:rightChars="0"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无</w:t>
      </w:r>
    </w:p>
    <w:p w14:paraId="60992066">
      <w:pPr>
        <w:pStyle w:val="8"/>
        <w:keepNext w:val="0"/>
        <w:keepLines w:val="0"/>
        <w:pageBreakBefore w:val="0"/>
        <w:widowControl w:val="0"/>
        <w:numPr>
          <w:ilvl w:val="0"/>
          <w:numId w:val="8"/>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国有资本经营预算支出情况</w:t>
      </w:r>
    </w:p>
    <w:p w14:paraId="4F30109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Chars="200" w:right="0" w:rightChars="0"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无</w:t>
      </w:r>
    </w:p>
    <w:p w14:paraId="68700D91">
      <w:pPr>
        <w:pStyle w:val="8"/>
        <w:keepNext w:val="0"/>
        <w:keepLines w:val="0"/>
        <w:pageBreakBefore w:val="0"/>
        <w:widowControl w:val="0"/>
        <w:numPr>
          <w:ilvl w:val="0"/>
          <w:numId w:val="8"/>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社会保险基金预算支出情况</w:t>
      </w:r>
    </w:p>
    <w:p w14:paraId="4505F28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Chars="200" w:right="0" w:rightChars="0" w:firstLine="640" w:firstLineChars="200"/>
        <w:jc w:val="both"/>
        <w:textAlignment w:val="auto"/>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无</w:t>
      </w:r>
    </w:p>
    <w:p w14:paraId="7FC1F92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22CC519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eastAsia" w:ascii="楷体_GB2312" w:hAnsi="楷体_GB2312" w:eastAsia="楷体_GB2312" w:cs="楷体_GB2312"/>
          <w:b/>
          <w:bCs/>
          <w:i w:val="0"/>
          <w:iCs w:val="0"/>
          <w:caps w:val="0"/>
          <w:color w:val="000000"/>
          <w:spacing w:val="0"/>
          <w:sz w:val="32"/>
          <w:szCs w:val="32"/>
          <w:shd w:val="clear" w:color="auto" w:fill="FFFFFF"/>
        </w:rPr>
        <w:t>（一）综合评价结论。</w:t>
      </w:r>
    </w:p>
    <w:p w14:paraId="354CF88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000000"/>
          <w:spacing w:val="0"/>
          <w:kern w:val="0"/>
          <w:sz w:val="32"/>
          <w:szCs w:val="32"/>
          <w:shd w:val="clear" w:color="auto" w:fill="FFFFFF"/>
          <w:lang w:val="en-US" w:eastAsia="zh-CN" w:bidi="ar"/>
        </w:rPr>
      </w:pPr>
      <w:r>
        <w:rPr>
          <w:rFonts w:hint="eastAsia" w:ascii="仿宋" w:hAnsi="仿宋" w:eastAsia="仿宋" w:cs="仿宋"/>
          <w:i w:val="0"/>
          <w:iCs w:val="0"/>
          <w:caps w:val="0"/>
          <w:color w:val="000000"/>
          <w:spacing w:val="0"/>
          <w:kern w:val="0"/>
          <w:sz w:val="32"/>
          <w:szCs w:val="32"/>
          <w:shd w:val="clear" w:color="auto" w:fill="FFFFFF"/>
          <w:lang w:val="en-US" w:eastAsia="zh-CN" w:bidi="ar"/>
        </w:rPr>
        <w:t>本年度共设置投入管理指标、成本指标、产出指标、效益指标和满意度指标共5个一级指标、5个一级指标下分设12个二级指标和相对应的12个三级指标，标准分100分。根据《部门整体支出绩效评价指标》评分表自评得分100分，评价等级为“优秀”。</w:t>
      </w:r>
    </w:p>
    <w:p w14:paraId="663D44FC">
      <w:pPr>
        <w:pStyle w:val="8"/>
        <w:keepNext w:val="0"/>
        <w:keepLines w:val="0"/>
        <w:pageBreakBefore w:val="0"/>
        <w:widowControl w:val="0"/>
        <w:numPr>
          <w:ilvl w:val="0"/>
          <w:numId w:val="9"/>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综合评价情况。</w:t>
      </w:r>
    </w:p>
    <w:p w14:paraId="36D9A01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1.部门预算方面：在上级主管部门领导下做好了年初预算收入，依照下达预算指标严格执行预算支出。</w:t>
      </w:r>
    </w:p>
    <w:p w14:paraId="31717B2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2.内部控制管理方面：完善了内部控制管理制度并按制度严格执行。设置了内部控制管理机构，实行权责分配，做好内部审计，及时预估风险，针对风险采取控制措施，发现问题及时改进。</w:t>
      </w:r>
    </w:p>
    <w:p w14:paraId="11E1993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3.资金管理方面：严格执行国库集中支付、政府采购等规定，确保资金支付安全规范，依托财政一体化系统和内部管理台账，确保各项资金专款专用，杜绝发生截留、挤占或挪用资金的情况。</w:t>
      </w:r>
    </w:p>
    <w:p w14:paraId="2A7E994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4.资产管理方面：专人负责，资产购入、保管、使用、报废按照资产管理制度流程处理，杜绝资产浪费与流失的可能性，做好资产的年度清理与报表工作。</w:t>
      </w:r>
    </w:p>
    <w:p w14:paraId="76B468B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default" w:ascii="仿宋" w:hAnsi="仿宋" w:eastAsia="仿宋"/>
          <w:sz w:val="32"/>
          <w:szCs w:val="32"/>
          <w:lang w:val="en-US" w:eastAsia="zh-CN"/>
        </w:rPr>
      </w:pPr>
      <w:r>
        <w:rPr>
          <w:rFonts w:hint="eastAsia" w:ascii="仿宋" w:hAnsi="仿宋" w:eastAsia="仿宋"/>
          <w:b w:val="0"/>
          <w:bCs w:val="0"/>
          <w:sz w:val="32"/>
          <w:szCs w:val="32"/>
          <w:lang w:val="en-US" w:eastAsia="zh-CN"/>
        </w:rPr>
        <w:t>5.绩效管理方面：依据上级部门最新政策规定，深入贯彻落实全面实施预算绩效管理的要求，牢固树立“花钱必问效、无效必问责”的理念，着力构建全方位、全过程、全覆盖的预算绩效管理体系，不断提升财政资金使用效益和管理水平。</w:t>
      </w:r>
    </w:p>
    <w:p w14:paraId="6119309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0DD29F5B">
      <w:pPr>
        <w:keepNext w:val="0"/>
        <w:keepLines w:val="0"/>
        <w:pageBreakBefore w:val="0"/>
        <w:widowControl w:val="0"/>
        <w:shd w:val="clear"/>
        <w:kinsoku/>
        <w:wordWrap/>
        <w:topLinePunct w:val="0"/>
        <w:autoSpaceDE/>
        <w:autoSpaceDN/>
        <w:bidi w:val="0"/>
        <w:adjustRightInd/>
        <w:spacing w:line="560" w:lineRule="exact"/>
        <w:ind w:firstLine="720" w:firstLineChars="225"/>
        <w:textAlignment w:val="auto"/>
        <w:rPr>
          <w:rFonts w:hint="eastAsia" w:ascii="仿宋" w:hAnsi="仿宋" w:eastAsia="仿宋"/>
          <w:sz w:val="32"/>
          <w:szCs w:val="32"/>
          <w:lang w:eastAsia="zh-CN"/>
        </w:rPr>
      </w:pPr>
      <w:r>
        <w:rPr>
          <w:rFonts w:hint="eastAsia" w:ascii="楷体" w:hAnsi="楷体" w:eastAsia="楷体" w:cs="Times New Roman"/>
          <w:b/>
          <w:sz w:val="32"/>
          <w:szCs w:val="32"/>
          <w:lang w:val="en-US" w:eastAsia="zh-CN"/>
        </w:rPr>
        <w:t>1.经费保障有待加强。</w:t>
      </w:r>
      <w:r>
        <w:rPr>
          <w:rFonts w:hint="eastAsia" w:ascii="仿宋" w:hAnsi="仿宋" w:eastAsia="仿宋"/>
          <w:sz w:val="32"/>
          <w:szCs w:val="32"/>
        </w:rPr>
        <w:t>由于财政资金紧张，有时在资金安排和下达上较晚，在运用资金时受到一定的限制。另外</w:t>
      </w:r>
      <w:r>
        <w:rPr>
          <w:rFonts w:hint="eastAsia" w:ascii="仿宋" w:hAnsi="仿宋" w:eastAsia="仿宋"/>
          <w:sz w:val="32"/>
          <w:szCs w:val="32"/>
          <w:lang w:val="en-US" w:eastAsia="zh-CN"/>
        </w:rPr>
        <w:t>因为</w:t>
      </w:r>
      <w:r>
        <w:rPr>
          <w:rFonts w:hint="eastAsia" w:ascii="仿宋" w:hAnsi="仿宋" w:eastAsia="仿宋"/>
          <w:sz w:val="32"/>
          <w:szCs w:val="32"/>
        </w:rPr>
        <w:t>学生人数减少，公用经费也相应减少，学校经费</w:t>
      </w:r>
      <w:r>
        <w:rPr>
          <w:rFonts w:hint="eastAsia" w:ascii="仿宋" w:hAnsi="仿宋" w:eastAsia="仿宋"/>
          <w:sz w:val="32"/>
          <w:szCs w:val="32"/>
          <w:lang w:val="en-US" w:eastAsia="zh-CN"/>
        </w:rPr>
        <w:t>较为</w:t>
      </w:r>
      <w:r>
        <w:rPr>
          <w:rFonts w:hint="eastAsia" w:ascii="仿宋" w:hAnsi="仿宋" w:eastAsia="仿宋"/>
          <w:sz w:val="32"/>
          <w:szCs w:val="32"/>
        </w:rPr>
        <w:t>紧张，有时难以维持正常的教育教学工作。</w:t>
      </w:r>
    </w:p>
    <w:p w14:paraId="163652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sz w:val="32"/>
          <w:szCs w:val="32"/>
          <w:lang w:val="en-US" w:eastAsia="zh-CN"/>
        </w:rPr>
      </w:pPr>
      <w:r>
        <w:rPr>
          <w:rFonts w:hint="eastAsia" w:ascii="楷体" w:hAnsi="楷体" w:eastAsia="楷体" w:cs="Times New Roman"/>
          <w:b/>
          <w:sz w:val="32"/>
          <w:szCs w:val="32"/>
          <w:lang w:val="en-US" w:eastAsia="zh-CN"/>
        </w:rPr>
        <w:t>2.队伍短板有待补齐。</w:t>
      </w:r>
      <w:r>
        <w:rPr>
          <w:rFonts w:hint="eastAsia" w:ascii="仿宋" w:hAnsi="仿宋" w:eastAsia="仿宋"/>
          <w:sz w:val="32"/>
          <w:szCs w:val="32"/>
          <w:lang w:val="en-US" w:eastAsia="zh-CN"/>
        </w:rPr>
        <w:t>尽管学校教育教学质量有所提升，呈现出良好的发展态势，但师生外流现象日益严峻。优秀生源和师资的持续流失，给学校教育的优质发展带来了极大的制约。</w:t>
      </w:r>
    </w:p>
    <w:p w14:paraId="3747EDA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八、下一步改进措施</w:t>
      </w:r>
    </w:p>
    <w:p w14:paraId="1F89BC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default" w:ascii="仿宋" w:hAnsi="仿宋" w:eastAsia="仿宋" w:cs="仿宋"/>
          <w:b/>
          <w:bCs/>
          <w:i w:val="0"/>
          <w:iCs w:val="0"/>
          <w:caps w:val="0"/>
          <w:color w:val="000000"/>
          <w:spacing w:val="0"/>
          <w:sz w:val="32"/>
          <w:szCs w:val="32"/>
          <w:shd w:val="clear" w:color="auto" w:fill="FFFFFF"/>
          <w:lang w:val="en-US" w:eastAsia="zh-CN"/>
        </w:rPr>
      </w:pPr>
      <w:r>
        <w:rPr>
          <w:rFonts w:hint="eastAsia" w:ascii="仿宋" w:hAnsi="仿宋" w:eastAsia="仿宋" w:cs="仿宋"/>
          <w:b/>
          <w:bCs/>
          <w:i w:val="0"/>
          <w:iCs w:val="0"/>
          <w:caps w:val="0"/>
          <w:color w:val="000000"/>
          <w:spacing w:val="0"/>
          <w:sz w:val="32"/>
          <w:szCs w:val="32"/>
          <w:shd w:val="clear" w:color="auto" w:fill="FFFFFF"/>
          <w:lang w:val="en-US" w:eastAsia="zh-CN"/>
        </w:rPr>
        <w:t>预算管理</w:t>
      </w:r>
    </w:p>
    <w:p w14:paraId="07829FB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1. 强化预算编制  </w:t>
      </w:r>
    </w:p>
    <w:p w14:paraId="4011C34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预算需经校务会审议、民主理财小组初审、上级主管部门审批。</w:t>
      </w:r>
    </w:p>
    <w:p w14:paraId="0C92420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default" w:ascii="仿宋" w:hAnsi="仿宋" w:eastAsia="仿宋" w:cs="仿宋"/>
          <w:b w:val="0"/>
          <w:bCs w:val="0"/>
          <w:i w:val="0"/>
          <w:iCs w:val="0"/>
          <w:caps w:val="0"/>
          <w:color w:val="000000"/>
          <w:spacing w:val="0"/>
          <w:sz w:val="32"/>
          <w:szCs w:val="32"/>
          <w:shd w:val="clear" w:color="auto" w:fill="FFFFFF"/>
          <w:lang w:val="en-US" w:eastAsia="zh-CN"/>
        </w:rPr>
      </w:pPr>
      <w:r>
        <w:rPr>
          <w:rFonts w:hint="eastAsia" w:ascii="仿宋" w:hAnsi="仿宋" w:eastAsia="仿宋" w:cs="仿宋"/>
          <w:b w:val="0"/>
          <w:bCs w:val="0"/>
          <w:i w:val="0"/>
          <w:iCs w:val="0"/>
          <w:caps w:val="0"/>
          <w:color w:val="000000"/>
          <w:spacing w:val="0"/>
          <w:sz w:val="32"/>
          <w:szCs w:val="32"/>
          <w:shd w:val="clear" w:color="auto" w:fill="FFFFFF"/>
          <w:lang w:val="en-US" w:eastAsia="zh-CN"/>
        </w:rPr>
        <w:t>2.严格预算执行</w:t>
      </w:r>
    </w:p>
    <w:p w14:paraId="6A7A10A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坚持“无预算不支出”，严禁超预算安排项目。确需追加支出的，须由校长与分管副校长共同签字，并提交书面申请报批。</w:t>
      </w:r>
    </w:p>
    <w:p w14:paraId="1C45530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3. 预算执行监控  </w:t>
      </w:r>
    </w:p>
    <w:p w14:paraId="36D0356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每月发布财务执行简报，公开收入支出情况。对超预算或异常支出项目进行预警（如标红提示）。</w:t>
      </w:r>
    </w:p>
    <w:p w14:paraId="4EA45D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bCs/>
          <w:i w:val="0"/>
          <w:iCs w:val="0"/>
          <w:caps w:val="0"/>
          <w:color w:val="000000"/>
          <w:spacing w:val="0"/>
          <w:sz w:val="32"/>
          <w:szCs w:val="32"/>
          <w:shd w:val="clear" w:color="auto" w:fill="FFFFFF"/>
        </w:rPr>
        <w:t>信息化管理</w:t>
      </w:r>
    </w:p>
    <w:p w14:paraId="55A1C70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1. 推进财务信息化  </w:t>
      </w:r>
    </w:p>
    <w:p w14:paraId="66F9C6B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部署操作简便的财务管理软件，实现收支数据自动归集、报表一键生成。推行电子台账管理，减少手工记账误差。</w:t>
      </w:r>
    </w:p>
    <w:p w14:paraId="2658750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2. 信息共享与公开  </w:t>
      </w:r>
    </w:p>
    <w:p w14:paraId="361A30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建立校内财务工作群，实时推送收支日报、月报等关键数据。定期在校园公告栏或学校公众号发布财务简报。</w:t>
      </w:r>
    </w:p>
    <w:p w14:paraId="06B14B1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bCs/>
          <w:i w:val="0"/>
          <w:iCs w:val="0"/>
          <w:caps w:val="0"/>
          <w:color w:val="000000"/>
          <w:spacing w:val="0"/>
          <w:sz w:val="32"/>
          <w:szCs w:val="32"/>
          <w:shd w:val="clear" w:color="auto" w:fill="FFFFFF"/>
        </w:rPr>
      </w:pPr>
      <w:r>
        <w:rPr>
          <w:rFonts w:hint="eastAsia" w:ascii="仿宋" w:hAnsi="仿宋" w:eastAsia="仿宋" w:cs="仿宋"/>
          <w:b/>
          <w:bCs/>
          <w:i w:val="0"/>
          <w:iCs w:val="0"/>
          <w:caps w:val="0"/>
          <w:color w:val="000000"/>
          <w:spacing w:val="0"/>
          <w:sz w:val="32"/>
          <w:szCs w:val="32"/>
          <w:shd w:val="clear" w:color="auto" w:fill="FFFFFF"/>
        </w:rPr>
        <w:t>队伍建设</w:t>
      </w:r>
    </w:p>
    <w:p w14:paraId="6A5281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1. 加强专业培训  </w:t>
      </w:r>
    </w:p>
    <w:p w14:paraId="0585443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每学期至少组织2次财务专题培训。培训内容涵盖会计基础、预算管理、政府采购等实务操作。</w:t>
      </w:r>
    </w:p>
    <w:p w14:paraId="37DF577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2. 提升人员素质  </w:t>
      </w:r>
    </w:p>
    <w:p w14:paraId="472E1AE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实行“老带新”结对机制，帮助新任报账员快速上手。</w:t>
      </w:r>
    </w:p>
    <w:p w14:paraId="55839E9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240" w:lineRule="auto"/>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 xml:space="preserve">3. 强化责任落实  </w:t>
      </w:r>
    </w:p>
    <w:p w14:paraId="6629F01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将财务培训出勤情况与年度绩效考核挂钩，提升重视程度。</w:t>
      </w:r>
    </w:p>
    <w:p w14:paraId="64A01DF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b/>
          <w:bCs/>
          <w:i w:val="0"/>
          <w:iCs w:val="0"/>
          <w:caps w:val="0"/>
          <w:color w:val="000000"/>
          <w:spacing w:val="0"/>
          <w:sz w:val="32"/>
          <w:szCs w:val="32"/>
          <w:shd w:val="clear" w:color="auto" w:fill="FFFFFF"/>
        </w:rPr>
      </w:pPr>
      <w:r>
        <w:rPr>
          <w:rFonts w:hint="eastAsia" w:ascii="仿宋" w:hAnsi="仿宋" w:eastAsia="仿宋" w:cs="仿宋"/>
          <w:b/>
          <w:bCs/>
          <w:i w:val="0"/>
          <w:iCs w:val="0"/>
          <w:caps w:val="0"/>
          <w:color w:val="000000"/>
          <w:spacing w:val="0"/>
          <w:sz w:val="32"/>
          <w:szCs w:val="32"/>
          <w:shd w:val="clear" w:color="auto" w:fill="FFFFFF"/>
        </w:rPr>
        <w:t>监督与问责</w:t>
      </w:r>
    </w:p>
    <w:p w14:paraId="0600408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成立由教师代表组成的“民主理财小组”，每月初对上月收支进行审核。审核结果形成书面意见，向全体教职工公示。</w:t>
      </w:r>
    </w:p>
    <w:p w14:paraId="73A32D2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color="auto" w:fill="FFFFFF"/>
        </w:rPr>
      </w:pPr>
      <w:r>
        <w:rPr>
          <w:rFonts w:hint="eastAsia" w:ascii="仿宋" w:hAnsi="仿宋" w:eastAsia="仿宋" w:cs="仿宋"/>
          <w:b w:val="0"/>
          <w:bCs w:val="0"/>
          <w:i w:val="0"/>
          <w:iCs w:val="0"/>
          <w:caps w:val="0"/>
          <w:color w:val="000000"/>
          <w:spacing w:val="0"/>
          <w:sz w:val="32"/>
          <w:szCs w:val="32"/>
          <w:shd w:val="clear" w:color="auto" w:fill="FFFFFF"/>
        </w:rPr>
        <w:t>建立问题整改台账，实行“销号制”管理。整改情况公开晾晒，接受社会监督。</w:t>
      </w:r>
    </w:p>
    <w:p w14:paraId="31E695F7">
      <w:pPr>
        <w:shd w:val="clea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1060001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58B2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83790">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36B98">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C8389">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4DEC8389">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BD638"/>
    <w:multiLevelType w:val="singleLevel"/>
    <w:tmpl w:val="993BD638"/>
    <w:lvl w:ilvl="0" w:tentative="0">
      <w:start w:val="7"/>
      <w:numFmt w:val="chineseCounting"/>
      <w:suff w:val="nothing"/>
      <w:lvlText w:val="%1、"/>
      <w:lvlJc w:val="left"/>
      <w:rPr>
        <w:rFonts w:hint="eastAsia"/>
      </w:rPr>
    </w:lvl>
  </w:abstractNum>
  <w:abstractNum w:abstractNumId="1">
    <w:nsid w:val="99EA91F3"/>
    <w:multiLevelType w:val="singleLevel"/>
    <w:tmpl w:val="99EA91F3"/>
    <w:lvl w:ilvl="0" w:tentative="0">
      <w:start w:val="3"/>
      <w:numFmt w:val="chineseCounting"/>
      <w:suff w:val="nothing"/>
      <w:lvlText w:val="（%1）"/>
      <w:lvlJc w:val="left"/>
      <w:rPr>
        <w:rFonts w:hint="eastAsia"/>
      </w:rPr>
    </w:lvl>
  </w:abstractNum>
  <w:abstractNum w:abstractNumId="2">
    <w:nsid w:val="A2CED99F"/>
    <w:multiLevelType w:val="singleLevel"/>
    <w:tmpl w:val="A2CED99F"/>
    <w:lvl w:ilvl="0" w:tentative="0">
      <w:start w:val="12"/>
      <w:numFmt w:val="chineseCounting"/>
      <w:suff w:val="nothing"/>
      <w:lvlText w:val="%1、"/>
      <w:lvlJc w:val="left"/>
      <w:rPr>
        <w:rFonts w:hint="eastAsia"/>
      </w:rPr>
    </w:lvl>
  </w:abstractNum>
  <w:abstractNum w:abstractNumId="3">
    <w:nsid w:val="AE100BA7"/>
    <w:multiLevelType w:val="singleLevel"/>
    <w:tmpl w:val="AE100BA7"/>
    <w:lvl w:ilvl="0" w:tentative="0">
      <w:start w:val="4"/>
      <w:numFmt w:val="chineseCounting"/>
      <w:suff w:val="nothing"/>
      <w:lvlText w:val="%1、"/>
      <w:lvlJc w:val="left"/>
      <w:rPr>
        <w:rFonts w:hint="eastAsia"/>
      </w:rPr>
    </w:lvl>
  </w:abstractNum>
  <w:abstractNum w:abstractNumId="4">
    <w:nsid w:val="B91CE86D"/>
    <w:multiLevelType w:val="singleLevel"/>
    <w:tmpl w:val="B91CE86D"/>
    <w:lvl w:ilvl="0" w:tentative="0">
      <w:start w:val="2"/>
      <w:numFmt w:val="chineseCounting"/>
      <w:suff w:val="nothing"/>
      <w:lvlText w:val="（%1）"/>
      <w:lvlJc w:val="left"/>
      <w:rPr>
        <w:rFonts w:hint="eastAsia"/>
      </w:rPr>
    </w:lvl>
  </w:abstractNum>
  <w:abstractNum w:abstractNumId="5">
    <w:nsid w:val="C0FC8F4F"/>
    <w:multiLevelType w:val="singleLevel"/>
    <w:tmpl w:val="C0FC8F4F"/>
    <w:lvl w:ilvl="0" w:tentative="0">
      <w:start w:val="2"/>
      <w:numFmt w:val="chineseCounting"/>
      <w:suff w:val="nothing"/>
      <w:lvlText w:val="（%1）"/>
      <w:lvlJc w:val="left"/>
      <w:rPr>
        <w:rFonts w:hint="eastAsia"/>
      </w:rPr>
    </w:lvl>
  </w:abstractNum>
  <w:abstractNum w:abstractNumId="6">
    <w:nsid w:val="EEF4DB6C"/>
    <w:multiLevelType w:val="singleLevel"/>
    <w:tmpl w:val="EEF4DB6C"/>
    <w:lvl w:ilvl="0" w:tentative="0">
      <w:start w:val="3"/>
      <w:numFmt w:val="chineseCounting"/>
      <w:suff w:val="nothing"/>
      <w:lvlText w:val="%1、"/>
      <w:lvlJc w:val="left"/>
      <w:rPr>
        <w:rFonts w:hint="eastAsia"/>
      </w:rPr>
    </w:lvl>
  </w:abstractNum>
  <w:abstractNum w:abstractNumId="7">
    <w:nsid w:val="3418B64A"/>
    <w:multiLevelType w:val="singleLevel"/>
    <w:tmpl w:val="3418B64A"/>
    <w:lvl w:ilvl="0" w:tentative="0">
      <w:start w:val="1"/>
      <w:numFmt w:val="decimal"/>
      <w:suff w:val="nothing"/>
      <w:lvlText w:val="%1、"/>
      <w:lvlJc w:val="left"/>
      <w:pPr>
        <w:ind w:left="840" w:leftChars="0" w:firstLine="0" w:firstLineChars="0"/>
      </w:pPr>
    </w:lvl>
  </w:abstractNum>
  <w:abstractNum w:abstractNumId="8">
    <w:nsid w:val="35AC913A"/>
    <w:multiLevelType w:val="singleLevel"/>
    <w:tmpl w:val="35AC913A"/>
    <w:lvl w:ilvl="0" w:tentative="0">
      <w:start w:val="2"/>
      <w:numFmt w:val="decimal"/>
      <w:lvlText w:val="%1."/>
      <w:lvlJc w:val="left"/>
      <w:pPr>
        <w:tabs>
          <w:tab w:val="left" w:pos="312"/>
        </w:tabs>
      </w:pPr>
    </w:lvl>
  </w:abstractNum>
  <w:num w:numId="1">
    <w:abstractNumId w:val="3"/>
  </w:num>
  <w:num w:numId="2">
    <w:abstractNumId w:val="7"/>
  </w:num>
  <w:num w:numId="3">
    <w:abstractNumId w:val="0"/>
  </w:num>
  <w:num w:numId="4">
    <w:abstractNumId w:val="2"/>
  </w:num>
  <w:num w:numId="5">
    <w:abstractNumId w:val="1"/>
  </w:num>
  <w:num w:numId="6">
    <w:abstractNumId w:val="4"/>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84219"/>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9931095"/>
    <w:rsid w:val="0A2D3298"/>
    <w:rsid w:val="0AA772C6"/>
    <w:rsid w:val="0B375AAC"/>
    <w:rsid w:val="118E286E"/>
    <w:rsid w:val="1193257A"/>
    <w:rsid w:val="14200AE4"/>
    <w:rsid w:val="15400323"/>
    <w:rsid w:val="1C4F32BF"/>
    <w:rsid w:val="1D97DEFF"/>
    <w:rsid w:val="1DFF72E5"/>
    <w:rsid w:val="1E70482D"/>
    <w:rsid w:val="1EFC6F07"/>
    <w:rsid w:val="20D64231"/>
    <w:rsid w:val="2198500B"/>
    <w:rsid w:val="21AE47DD"/>
    <w:rsid w:val="26025181"/>
    <w:rsid w:val="26724659"/>
    <w:rsid w:val="2FDF85B8"/>
    <w:rsid w:val="2FFFEE04"/>
    <w:rsid w:val="34DF85B0"/>
    <w:rsid w:val="35C01EBD"/>
    <w:rsid w:val="3B8F36BC"/>
    <w:rsid w:val="3BA743A8"/>
    <w:rsid w:val="41E726A6"/>
    <w:rsid w:val="42036068"/>
    <w:rsid w:val="452264A5"/>
    <w:rsid w:val="454C5178"/>
    <w:rsid w:val="491FF225"/>
    <w:rsid w:val="4AF3148F"/>
    <w:rsid w:val="4C1B5464"/>
    <w:rsid w:val="4C261064"/>
    <w:rsid w:val="4C786019"/>
    <w:rsid w:val="4F1C3D29"/>
    <w:rsid w:val="4FFD214C"/>
    <w:rsid w:val="55AE2AAB"/>
    <w:rsid w:val="5777D4F5"/>
    <w:rsid w:val="57E95415"/>
    <w:rsid w:val="592941F7"/>
    <w:rsid w:val="59DD8326"/>
    <w:rsid w:val="5ACC27AE"/>
    <w:rsid w:val="5D0E5BDE"/>
    <w:rsid w:val="5DEF592A"/>
    <w:rsid w:val="5FC6BB1E"/>
    <w:rsid w:val="5FF720F1"/>
    <w:rsid w:val="638A4BE0"/>
    <w:rsid w:val="66703465"/>
    <w:rsid w:val="67FF5C0B"/>
    <w:rsid w:val="68BA4E6C"/>
    <w:rsid w:val="6C1F086C"/>
    <w:rsid w:val="6EFC0924"/>
    <w:rsid w:val="6F017A70"/>
    <w:rsid w:val="6FB74722"/>
    <w:rsid w:val="6FEF8B7E"/>
    <w:rsid w:val="71A6591B"/>
    <w:rsid w:val="730E028E"/>
    <w:rsid w:val="737D59BA"/>
    <w:rsid w:val="77BA69B4"/>
    <w:rsid w:val="77C37683"/>
    <w:rsid w:val="77DA2E34"/>
    <w:rsid w:val="78B37707"/>
    <w:rsid w:val="79C773E8"/>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429</Words>
  <Characters>435</Characters>
  <Lines>63</Lines>
  <Paragraphs>17</Paragraphs>
  <TotalTime>3</TotalTime>
  <ScaleCrop>false</ScaleCrop>
  <LinksUpToDate>false</LinksUpToDate>
  <CharactersWithSpaces>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2026-07-14T07:15:26Z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9255509BB95F4DA3800E9020155BBBF5_13</vt:lpwstr>
  </property>
  <property fmtid="{D5CDD505-2E9C-101B-9397-08002B2CF9AE}" pid="4" name="KSOTemplateDocerSaveRecord">
    <vt:lpwstr>eyJoZGlkIjoiNDc4MWVmYWJkZTllNTNiZWFiODgyNWFlMTkxMjZhM2MiLCJ1c2VySWQiOiI5NTkxMTI2OTEifQ==</vt:lpwstr>
  </property>
</Properties>
</file>