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3AE0C">
      <w:pPr>
        <w:jc w:val="center"/>
        <w:outlineLvl w:val="0"/>
        <w:rPr>
          <w:rFonts w:ascii="华文中宋" w:hAnsi="华文中宋" w:eastAsia="华文中宋"/>
          <w:color w:val="000000" w:themeColor="text1"/>
          <w:sz w:val="48"/>
          <w:szCs w:val="52"/>
        </w:rPr>
      </w:pPr>
      <w:r>
        <w:rPr>
          <w:rFonts w:ascii="华文中宋" w:hAnsi="华文中宋" w:eastAsia="华文中宋"/>
          <w:color w:val="000000" w:themeColor="text1"/>
          <w:sz w:val="48"/>
          <w:szCs w:val="52"/>
        </w:rPr>
        <w:t>20</w:t>
      </w:r>
      <w:r>
        <w:rPr>
          <w:rFonts w:hint="eastAsia" w:ascii="华文中宋" w:hAnsi="华文中宋" w:eastAsia="华文中宋"/>
          <w:color w:val="000000" w:themeColor="text1"/>
          <w:sz w:val="48"/>
          <w:szCs w:val="52"/>
        </w:rPr>
        <w:t>20年度行政事业单位内部控制报告</w:t>
      </w:r>
    </w:p>
    <w:p w14:paraId="0D55A8DC">
      <w:pPr>
        <w:rPr>
          <w:rFonts w:ascii="黑体" w:eastAsia="黑体"/>
          <w:color w:val="000000" w:themeColor="text1"/>
          <w:sz w:val="24"/>
        </w:rPr>
      </w:pPr>
    </w:p>
    <w:tbl>
      <w:tblPr>
        <w:tblStyle w:val="11"/>
        <w:tblW w:w="15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3"/>
        <w:gridCol w:w="7938"/>
      </w:tblGrid>
      <w:tr w14:paraId="04F2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23" w:type="dxa"/>
            <w:noWrap/>
            <w:vAlign w:val="center"/>
          </w:tcPr>
          <w:p w14:paraId="432E8AF5">
            <w:pPr>
              <w:widowControl/>
              <w:wordWrap w:val="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组织机构代码：</w:t>
            </w:r>
            <w:r>
              <w:rPr>
                <w:rFonts w:asciiTheme="minorEastAsia" w:hAnsiTheme="minorEastAsia" w:eastAsiaTheme="minorEastAsia"/>
                <w:color w:val="000000" w:themeColor="text1"/>
                <w:sz w:val="24"/>
              </w:rPr>
              <w:t>MB0W0860X</w:t>
            </w:r>
          </w:p>
        </w:tc>
        <w:tc>
          <w:tcPr>
            <w:tcW w:w="7654" w:type="dxa"/>
            <w:vAlign w:val="center"/>
          </w:tcPr>
          <w:p w14:paraId="696F1DD4">
            <w:pPr>
              <w:widowControl/>
              <w:wordWrap w:val="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隶属关系（国家标准：隶属关系</w:t>
            </w:r>
            <w:r>
              <w:rPr>
                <w:rFonts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部门标识代码）：</w:t>
            </w:r>
            <w:r>
              <w:rPr>
                <w:rFonts w:asciiTheme="minorEastAsia" w:hAnsiTheme="minorEastAsia" w:eastAsiaTheme="minorEastAsia"/>
                <w:color w:val="000000" w:themeColor="text1"/>
                <w:sz w:val="24"/>
              </w:rPr>
              <w:t>溆浦县</w:t>
            </w:r>
            <w:r>
              <w:rPr>
                <w:rFonts w:ascii="宋体" w:hAnsi="宋体"/>
                <w:sz w:val="24"/>
              </w:rPr>
              <w:t>-国务院办公厅</w:t>
            </w:r>
          </w:p>
        </w:tc>
      </w:tr>
      <w:tr w14:paraId="1C64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23" w:type="dxa"/>
            <w:noWrap/>
            <w:vAlign w:val="center"/>
          </w:tcPr>
          <w:p w14:paraId="53DA77BB">
            <w:pPr>
              <w:widowControl/>
              <w:wordWrap w:val="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单位预算级次：</w:t>
            </w:r>
            <w:r>
              <w:rPr>
                <w:rFonts w:asciiTheme="minorEastAsia" w:hAnsiTheme="minorEastAsia" w:eastAsiaTheme="minorEastAsia"/>
                <w:color w:val="000000" w:themeColor="text1"/>
                <w:sz w:val="24"/>
              </w:rPr>
              <w:t>一级预算单位</w:t>
            </w:r>
          </w:p>
        </w:tc>
        <w:tc>
          <w:tcPr>
            <w:tcW w:w="7654" w:type="dxa"/>
            <w:vAlign w:val="center"/>
          </w:tcPr>
          <w:p w14:paraId="2E81E5B5">
            <w:pPr>
              <w:widowControl/>
              <w:wordWrap w:val="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单位财政预算代码：</w:t>
            </w:r>
            <w:r>
              <w:rPr>
                <w:rFonts w:ascii="宋体" w:hAnsi="宋体"/>
                <w:sz w:val="24"/>
              </w:rPr>
              <w:t>901</w:t>
            </w:r>
          </w:p>
        </w:tc>
      </w:tr>
      <w:tr w14:paraId="6883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23" w:type="dxa"/>
            <w:noWrap/>
            <w:vAlign w:val="center"/>
          </w:tcPr>
          <w:p w14:paraId="2D70E771">
            <w:pPr>
              <w:widowControl/>
              <w:wordWrap w:val="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单位基本性质：</w:t>
            </w:r>
            <w:r>
              <w:rPr>
                <w:rFonts w:asciiTheme="minorEastAsia" w:hAnsiTheme="minorEastAsia" w:eastAsiaTheme="minorEastAsia"/>
                <w:color w:val="000000" w:themeColor="text1"/>
                <w:sz w:val="24"/>
              </w:rPr>
              <w:t>10</w:t>
            </w:r>
          </w:p>
          <w:p w14:paraId="4D99B8E7">
            <w:pPr>
              <w:widowControl/>
              <w:wordWrap w:val="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rPr>
              <w:t>（</w:t>
            </w:r>
            <w:r>
              <w:rPr>
                <w:rFonts w:asciiTheme="minorEastAsia" w:hAnsiTheme="minorEastAsia" w:eastAsiaTheme="minorEastAsia"/>
                <w:color w:val="000000" w:themeColor="text1"/>
              </w:rPr>
              <w:t>10.</w:t>
            </w:r>
            <w:r>
              <w:rPr>
                <w:rFonts w:hint="eastAsia" w:asciiTheme="minorEastAsia" w:hAnsiTheme="minorEastAsia" w:eastAsiaTheme="minorEastAsia"/>
                <w:color w:val="000000" w:themeColor="text1"/>
              </w:rPr>
              <w:t>行政单位</w:t>
            </w:r>
            <w:r>
              <w:rPr>
                <w:rFonts w:asciiTheme="minorEastAsia" w:hAnsiTheme="minorEastAsia" w:eastAsiaTheme="minorEastAsia"/>
                <w:color w:val="000000" w:themeColor="text1"/>
              </w:rPr>
              <w:t xml:space="preserve"> 21.</w:t>
            </w:r>
            <w:r>
              <w:rPr>
                <w:rFonts w:hint="eastAsia" w:asciiTheme="minorEastAsia" w:hAnsiTheme="minorEastAsia" w:eastAsiaTheme="minorEastAsia"/>
                <w:color w:val="000000" w:themeColor="text1"/>
              </w:rPr>
              <w:t>参照公务员法管理事业单位</w:t>
            </w:r>
            <w:r>
              <w:rPr>
                <w:rFonts w:asciiTheme="minorEastAsia" w:hAnsiTheme="minorEastAsia" w:eastAsiaTheme="minorEastAsia"/>
                <w:color w:val="000000" w:themeColor="text1"/>
              </w:rPr>
              <w:t xml:space="preserve"> 22.</w:t>
            </w:r>
            <w:r>
              <w:rPr>
                <w:rFonts w:hint="eastAsia" w:asciiTheme="minorEastAsia" w:hAnsiTheme="minorEastAsia" w:eastAsiaTheme="minorEastAsia"/>
                <w:color w:val="000000" w:themeColor="text1"/>
              </w:rPr>
              <w:t>财政补助事业单位</w:t>
            </w:r>
            <w:r>
              <w:rPr>
                <w:rFonts w:asciiTheme="minorEastAsia" w:hAnsiTheme="minorEastAsia" w:eastAsiaTheme="minorEastAsia"/>
                <w:color w:val="000000" w:themeColor="text1"/>
              </w:rPr>
              <w:t xml:space="preserve"> 23.</w:t>
            </w:r>
            <w:r>
              <w:rPr>
                <w:rFonts w:hint="eastAsia" w:asciiTheme="minorEastAsia" w:hAnsiTheme="minorEastAsia" w:eastAsiaTheme="minorEastAsia"/>
                <w:color w:val="000000" w:themeColor="text1"/>
              </w:rPr>
              <w:t>经费自理事业单位</w:t>
            </w:r>
            <w:r>
              <w:rPr>
                <w:rFonts w:asciiTheme="minorEastAsia" w:hAnsiTheme="minorEastAsia" w:eastAsiaTheme="minorEastAsia"/>
                <w:color w:val="000000" w:themeColor="text1"/>
              </w:rPr>
              <w:t xml:space="preserve"> 90.</w:t>
            </w:r>
            <w:r>
              <w:rPr>
                <w:rFonts w:hint="eastAsia" w:asciiTheme="minorEastAsia" w:hAnsiTheme="minorEastAsia" w:eastAsiaTheme="minorEastAsia"/>
                <w:color w:val="000000" w:themeColor="text1"/>
              </w:rPr>
              <w:t>其他单位）</w:t>
            </w:r>
          </w:p>
        </w:tc>
        <w:tc>
          <w:tcPr>
            <w:tcW w:w="7654" w:type="dxa"/>
            <w:vAlign w:val="center"/>
          </w:tcPr>
          <w:p w14:paraId="75DD3D3F">
            <w:pPr>
              <w:widowControl/>
              <w:wordWrap w:val="0"/>
              <w:ind w:left="7200" w:hanging="7200" w:hangingChars="300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预算管理级次：</w:t>
            </w:r>
            <w:r>
              <w:rPr>
                <w:rFonts w:asciiTheme="minorEastAsia" w:hAnsiTheme="minorEastAsia" w:eastAsiaTheme="minorEastAsia"/>
                <w:color w:val="000000" w:themeColor="text1"/>
                <w:sz w:val="24"/>
              </w:rPr>
              <w:t>50</w:t>
            </w:r>
          </w:p>
          <w:p w14:paraId="1DE88C94">
            <w:pPr>
              <w:widowControl/>
              <w:wordWrap w:val="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rPr>
              <w:t>（</w:t>
            </w:r>
            <w:r>
              <w:rPr>
                <w:rFonts w:asciiTheme="minorEastAsia" w:hAnsiTheme="minorEastAsia" w:eastAsiaTheme="minorEastAsia"/>
                <w:color w:val="000000" w:themeColor="text1"/>
              </w:rPr>
              <w:t>10.</w:t>
            </w:r>
            <w:r>
              <w:rPr>
                <w:rFonts w:hint="eastAsia" w:asciiTheme="minorEastAsia" w:hAnsiTheme="minorEastAsia" w:eastAsiaTheme="minorEastAsia"/>
                <w:color w:val="000000" w:themeColor="text1"/>
              </w:rPr>
              <w:t>中央级</w:t>
            </w:r>
            <w:r>
              <w:rPr>
                <w:rFonts w:asciiTheme="minorEastAsia" w:hAnsiTheme="minorEastAsia" w:eastAsiaTheme="minorEastAsia"/>
                <w:color w:val="000000" w:themeColor="text1"/>
              </w:rPr>
              <w:t xml:space="preserve"> 20.</w:t>
            </w:r>
            <w:r>
              <w:rPr>
                <w:rFonts w:hint="eastAsia" w:asciiTheme="minorEastAsia" w:hAnsiTheme="minorEastAsia" w:eastAsiaTheme="minorEastAsia"/>
                <w:color w:val="000000" w:themeColor="text1"/>
              </w:rPr>
              <w:t>省级</w:t>
            </w:r>
            <w:r>
              <w:rPr>
                <w:rFonts w:asciiTheme="minorEastAsia" w:hAnsiTheme="minorEastAsia" w:eastAsiaTheme="minorEastAsia"/>
                <w:color w:val="000000" w:themeColor="text1"/>
              </w:rPr>
              <w:t xml:space="preserve"> 30.</w:t>
            </w:r>
            <w:r>
              <w:rPr>
                <w:rFonts w:hint="eastAsia" w:asciiTheme="minorEastAsia" w:hAnsiTheme="minorEastAsia" w:eastAsiaTheme="minorEastAsia"/>
                <w:color w:val="000000" w:themeColor="text1"/>
              </w:rPr>
              <w:t>地（市）级</w:t>
            </w:r>
            <w:r>
              <w:rPr>
                <w:rFonts w:asciiTheme="minorEastAsia" w:hAnsiTheme="minorEastAsia" w:eastAsiaTheme="minorEastAsia"/>
                <w:color w:val="000000" w:themeColor="text1"/>
              </w:rPr>
              <w:t xml:space="preserve"> 40.</w:t>
            </w:r>
            <w:r>
              <w:rPr>
                <w:rFonts w:hint="eastAsia" w:asciiTheme="minorEastAsia" w:hAnsiTheme="minorEastAsia" w:eastAsiaTheme="minorEastAsia"/>
                <w:color w:val="000000" w:themeColor="text1"/>
              </w:rPr>
              <w:t>县级</w:t>
            </w:r>
            <w:r>
              <w:rPr>
                <w:rFonts w:asciiTheme="minorEastAsia" w:hAnsiTheme="minorEastAsia" w:eastAsiaTheme="minorEastAsia"/>
                <w:color w:val="000000" w:themeColor="text1"/>
              </w:rPr>
              <w:t xml:space="preserve"> 50.</w:t>
            </w:r>
            <w:r>
              <w:rPr>
                <w:rFonts w:hint="eastAsia" w:asciiTheme="minorEastAsia" w:hAnsiTheme="minorEastAsia" w:eastAsiaTheme="minorEastAsia"/>
                <w:color w:val="000000" w:themeColor="text1"/>
              </w:rPr>
              <w:t>乡镇级</w:t>
            </w:r>
            <w:r>
              <w:rPr>
                <w:rFonts w:asciiTheme="minorEastAsia" w:hAnsiTheme="minorEastAsia" w:eastAsiaTheme="minorEastAsia"/>
                <w:color w:val="000000" w:themeColor="text1"/>
              </w:rPr>
              <w:t xml:space="preserve"> 90.</w:t>
            </w:r>
            <w:r>
              <w:rPr>
                <w:rFonts w:hint="eastAsia" w:asciiTheme="minorEastAsia" w:hAnsiTheme="minorEastAsia" w:eastAsiaTheme="minorEastAsia"/>
                <w:color w:val="000000" w:themeColor="text1"/>
              </w:rPr>
              <w:t>非预算单位）</w:t>
            </w:r>
          </w:p>
        </w:tc>
      </w:tr>
      <w:tr w14:paraId="6C0A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23" w:type="dxa"/>
            <w:noWrap/>
            <w:vAlign w:val="center"/>
          </w:tcPr>
          <w:p w14:paraId="0EE9A6F3">
            <w:pPr>
              <w:widowControl/>
              <w:wordWrap w:val="0"/>
              <w:ind w:left="7200" w:hanging="7200" w:hangingChars="3000"/>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单位所在地区（国家标准：行政区划代码）：</w:t>
            </w:r>
            <w:r>
              <w:rPr>
                <w:rFonts w:asciiTheme="minorEastAsia" w:hAnsiTheme="minorEastAsia" w:eastAsiaTheme="minorEastAsia"/>
                <w:color w:val="000000" w:themeColor="text1"/>
                <w:sz w:val="24"/>
              </w:rPr>
              <w:t>溆浦县</w:t>
            </w:r>
          </w:p>
        </w:tc>
        <w:tc>
          <w:tcPr>
            <w:tcW w:w="7654" w:type="dxa"/>
            <w:vAlign w:val="center"/>
          </w:tcPr>
          <w:p w14:paraId="4E1BA633">
            <w:pPr>
              <w:widowControl/>
              <w:wordWrap w:val="0"/>
              <w:ind w:left="7200" w:hanging="7200" w:hangingChars="3000"/>
              <w:rPr>
                <w:rFonts w:asciiTheme="minorEastAsia" w:hAnsiTheme="minorEastAsia" w:eastAsiaTheme="minorEastAsia"/>
                <w:sz w:val="24"/>
              </w:rPr>
            </w:pPr>
            <w:r>
              <w:rPr>
                <w:rFonts w:hint="eastAsia" w:asciiTheme="minorEastAsia" w:hAnsiTheme="minorEastAsia" w:eastAsiaTheme="minorEastAsia"/>
                <w:color w:val="000000" w:themeColor="text1"/>
                <w:sz w:val="24"/>
              </w:rPr>
              <w:t>支出功能分类：</w:t>
            </w:r>
            <w:r>
              <w:rPr>
                <w:rFonts w:asciiTheme="minorEastAsia" w:hAnsiTheme="minorEastAsia" w:eastAsiaTheme="minorEastAsia"/>
                <w:color w:val="000000" w:themeColor="text1"/>
                <w:sz w:val="24"/>
              </w:rPr>
              <w:t>政府办公厅（室）及相关机构事务</w:t>
            </w:r>
          </w:p>
        </w:tc>
      </w:tr>
      <w:tr w14:paraId="4238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4677" w:type="dxa"/>
            <w:gridSpan w:val="2"/>
            <w:noWrap/>
            <w:vAlign w:val="center"/>
          </w:tcPr>
          <w:p w14:paraId="33209FAB">
            <w:pPr>
              <w:widowControl/>
              <w:wordWrap w:val="0"/>
              <w:ind w:left="7200" w:hanging="7200" w:hangingChars="3000"/>
              <w:jc w:val="left"/>
              <w:rPr>
                <w:rFonts w:asciiTheme="minorEastAsia" w:hAnsiTheme="minorEastAsia" w:eastAsiaTheme="minorEastAsia"/>
                <w:color w:val="000000" w:themeColor="text1"/>
                <w:sz w:val="24"/>
              </w:rPr>
            </w:pPr>
            <w:r>
              <w:rPr>
                <w:rFonts w:hint="eastAsia" w:asciiTheme="minorEastAsia" w:hAnsiTheme="minorEastAsia" w:eastAsiaTheme="minorEastAsia"/>
                <w:sz w:val="24"/>
              </w:rPr>
              <w:t>年末在职人数：</w:t>
            </w:r>
            <w:r>
              <w:rPr>
                <w:rFonts w:asciiTheme="minorEastAsia" w:hAnsiTheme="minorEastAsia" w:eastAsiaTheme="minorEastAsia"/>
                <w:sz w:val="24"/>
              </w:rPr>
              <w:t>71</w:t>
            </w:r>
          </w:p>
        </w:tc>
      </w:tr>
    </w:tbl>
    <w:p w14:paraId="4B37C53B">
      <w:pPr>
        <w:rPr>
          <w:rFonts w:ascii="黑体" w:eastAsia="黑体"/>
          <w:color w:val="000000" w:themeColor="text1"/>
          <w:sz w:val="24"/>
        </w:rPr>
      </w:pPr>
    </w:p>
    <w:tbl>
      <w:tblPr>
        <w:tblStyle w:val="11"/>
        <w:tblW w:w="15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328"/>
        <w:gridCol w:w="546"/>
        <w:gridCol w:w="142"/>
        <w:gridCol w:w="992"/>
        <w:gridCol w:w="25"/>
        <w:gridCol w:w="1459"/>
        <w:gridCol w:w="1282"/>
        <w:gridCol w:w="150"/>
        <w:gridCol w:w="660"/>
        <w:gridCol w:w="1153"/>
        <w:gridCol w:w="389"/>
        <w:gridCol w:w="2202"/>
        <w:gridCol w:w="48"/>
        <w:gridCol w:w="239"/>
        <w:gridCol w:w="2018"/>
        <w:gridCol w:w="1537"/>
      </w:tblGrid>
      <w:tr w14:paraId="4B4C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186DB584">
            <w:pPr>
              <w:widowControl/>
              <w:jc w:val="left"/>
              <w:rPr>
                <w:b/>
                <w:color w:val="000000" w:themeColor="text1"/>
                <w:sz w:val="28"/>
                <w:szCs w:val="28"/>
              </w:rPr>
            </w:pPr>
            <w:r>
              <w:rPr>
                <w:rFonts w:hint="eastAsia"/>
                <w:b/>
                <w:color w:val="000000" w:themeColor="text1"/>
                <w:sz w:val="28"/>
                <w:szCs w:val="28"/>
              </w:rPr>
              <w:t>第一部分：单位内部控制情况总体评价</w:t>
            </w:r>
          </w:p>
        </w:tc>
      </w:tr>
      <w:tr w14:paraId="6FFC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2656D9BB">
            <w:pPr>
              <w:widowControl/>
              <w:jc w:val="left"/>
              <w:rPr>
                <w:color w:val="000000" w:themeColor="text1"/>
                <w:sz w:val="24"/>
              </w:rPr>
            </w:pPr>
            <w:r>
              <w:rPr>
                <w:rFonts w:hint="eastAsia"/>
                <w:sz w:val="24"/>
              </w:rPr>
              <w:t>本单位内控总体运行情况</w:t>
            </w:r>
          </w:p>
        </w:tc>
        <w:tc>
          <w:tcPr>
            <w:tcW w:w="12154" w:type="dxa"/>
            <w:gridSpan w:val="13"/>
            <w:vAlign w:val="center"/>
          </w:tcPr>
          <w:p w14:paraId="11E0C547">
            <w:pPr>
              <w:widowControl/>
              <w:rPr>
                <w:rFonts w:ascii="楷体" w:hAnsi="楷体" w:eastAsia="楷体" w:cs="楷体"/>
                <w:bCs/>
                <w:color w:val="000000" w:themeColor="text1"/>
                <w:sz w:val="24"/>
              </w:rPr>
            </w:pPr>
            <w:r>
              <w:rPr>
                <w:rFonts w:ascii="楷体" w:hAnsi="楷体" w:eastAsia="楷体" w:cs="楷体"/>
                <w:bCs/>
                <w:color w:val="000000" w:themeColor="text1"/>
                <w:sz w:val="24"/>
              </w:rPr>
              <w:t>良</w:t>
            </w:r>
          </w:p>
        </w:tc>
      </w:tr>
      <w:tr w14:paraId="486E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19D40D7B">
            <w:pPr>
              <w:widowControl/>
              <w:jc w:val="left"/>
              <w:rPr>
                <w:b/>
                <w:color w:val="000000" w:themeColor="text1"/>
                <w:sz w:val="28"/>
                <w:szCs w:val="28"/>
              </w:rPr>
            </w:pPr>
            <w:r>
              <w:rPr>
                <w:rFonts w:hint="eastAsia"/>
                <w:b/>
                <w:color w:val="000000" w:themeColor="text1"/>
                <w:sz w:val="28"/>
                <w:szCs w:val="28"/>
              </w:rPr>
              <w:t>第二部分：单位内部控制总体成果</w:t>
            </w:r>
          </w:p>
        </w:tc>
      </w:tr>
      <w:tr w14:paraId="427E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2355D02E">
            <w:pPr>
              <w:widowControl/>
              <w:jc w:val="left"/>
              <w:rPr>
                <w:b/>
                <w:color w:val="000000" w:themeColor="text1"/>
                <w:sz w:val="28"/>
                <w:szCs w:val="28"/>
              </w:rPr>
            </w:pPr>
            <w:r>
              <w:rPr>
                <w:rFonts w:hint="eastAsia"/>
                <w:b/>
                <w:color w:val="000000" w:themeColor="text1"/>
                <w:sz w:val="24"/>
              </w:rPr>
              <w:t>一、单位层面内部控制情况</w:t>
            </w:r>
          </w:p>
        </w:tc>
      </w:tr>
      <w:tr w14:paraId="4A29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50555AD9">
            <w:pPr>
              <w:widowControl/>
              <w:jc w:val="left"/>
              <w:rPr>
                <w:b/>
                <w:color w:val="000000" w:themeColor="text1"/>
                <w:sz w:val="24"/>
              </w:rPr>
            </w:pPr>
            <w:r>
              <w:rPr>
                <w:rFonts w:hint="eastAsia"/>
                <w:bCs/>
                <w:color w:val="000000" w:themeColor="text1"/>
                <w:sz w:val="24"/>
              </w:rPr>
              <w:t>（一）内部控制机构组成情况</w:t>
            </w:r>
          </w:p>
        </w:tc>
      </w:tr>
      <w:tr w14:paraId="3FD5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4BD05C14">
            <w:pPr>
              <w:widowControl/>
              <w:jc w:val="left"/>
              <w:rPr>
                <w:color w:val="000000" w:themeColor="text1"/>
                <w:sz w:val="24"/>
              </w:rPr>
            </w:pPr>
            <w:r>
              <w:rPr>
                <w:rFonts w:hint="eastAsia"/>
                <w:color w:val="000000" w:themeColor="text1"/>
                <w:sz w:val="24"/>
              </w:rPr>
              <w:t>1.单位内部控制领导小组</w:t>
            </w:r>
          </w:p>
        </w:tc>
        <w:tc>
          <w:tcPr>
            <w:tcW w:w="4568" w:type="dxa"/>
            <w:gridSpan w:val="6"/>
            <w:vAlign w:val="center"/>
          </w:tcPr>
          <w:p w14:paraId="4D4A7B68">
            <w:pPr>
              <w:widowControl/>
              <w:jc w:val="left"/>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3792" w:type="dxa"/>
            <w:gridSpan w:val="4"/>
            <w:vAlign w:val="center"/>
          </w:tcPr>
          <w:p w14:paraId="13906098">
            <w:pPr>
              <w:widowControl/>
              <w:jc w:val="left"/>
              <w:rPr>
                <w:color w:val="000000" w:themeColor="text1"/>
                <w:sz w:val="24"/>
              </w:rPr>
            </w:pPr>
            <w:r>
              <w:rPr>
                <w:rFonts w:hint="eastAsia"/>
                <w:color w:val="000000" w:themeColor="text1"/>
                <w:sz w:val="24"/>
              </w:rPr>
              <w:t>2.单位内部控制领导小组负责人</w:t>
            </w:r>
          </w:p>
        </w:tc>
        <w:tc>
          <w:tcPr>
            <w:tcW w:w="3794" w:type="dxa"/>
            <w:gridSpan w:val="3"/>
            <w:vAlign w:val="center"/>
          </w:tcPr>
          <w:p w14:paraId="03E03191">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单位负责人,负责人姓名及岗位：</w:t>
            </w:r>
            <w:r>
              <w:rPr>
                <w:rFonts w:hint="eastAsia" w:ascii="楷体" w:hAnsi="楷体" w:eastAsia="楷体" w:cs="楷体"/>
                <w:bCs/>
                <w:color w:val="000000" w:themeColor="text1"/>
                <w:sz w:val="24"/>
                <w:lang w:eastAsia="zh-CN"/>
              </w:rPr>
              <w:t>张晖</w:t>
            </w:r>
            <w:r>
              <w:rPr>
                <w:rFonts w:hint="eastAsia" w:ascii="楷体" w:hAnsi="楷体" w:eastAsia="楷体" w:cs="楷体"/>
                <w:bCs/>
                <w:color w:val="000000" w:themeColor="text1"/>
                <w:sz w:val="24"/>
              </w:rPr>
              <w:t>、镇长</w:t>
            </w:r>
          </w:p>
        </w:tc>
      </w:tr>
      <w:tr w14:paraId="35CD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tcBorders>
              <w:left w:val="single" w:color="auto" w:sz="4" w:space="0"/>
              <w:bottom w:val="single" w:color="auto" w:sz="4" w:space="0"/>
              <w:right w:val="single" w:color="auto" w:sz="4" w:space="0"/>
            </w:tcBorders>
            <w:noWrap/>
            <w:vAlign w:val="center"/>
          </w:tcPr>
          <w:p w14:paraId="33611EA3">
            <w:pPr>
              <w:widowControl/>
              <w:jc w:val="left"/>
              <w:rPr>
                <w:color w:val="000000" w:themeColor="text1"/>
                <w:sz w:val="24"/>
              </w:rPr>
            </w:pPr>
            <w:r>
              <w:rPr>
                <w:rFonts w:hint="eastAsia"/>
                <w:color w:val="000000" w:themeColor="text1"/>
                <w:sz w:val="24"/>
              </w:rPr>
              <w:t>3.单位内部控制工作小组</w:t>
            </w:r>
          </w:p>
        </w:tc>
        <w:tc>
          <w:tcPr>
            <w:tcW w:w="4568" w:type="dxa"/>
            <w:gridSpan w:val="6"/>
            <w:tcBorders>
              <w:left w:val="single" w:color="auto" w:sz="4" w:space="0"/>
              <w:bottom w:val="single" w:color="auto" w:sz="4" w:space="0"/>
              <w:right w:val="single" w:color="auto" w:sz="4" w:space="0"/>
            </w:tcBorders>
            <w:vAlign w:val="center"/>
          </w:tcPr>
          <w:p w14:paraId="68CFBE71">
            <w:pPr>
              <w:widowControl/>
              <w:jc w:val="left"/>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3792" w:type="dxa"/>
            <w:gridSpan w:val="4"/>
            <w:tcBorders>
              <w:left w:val="single" w:color="auto" w:sz="4" w:space="0"/>
              <w:bottom w:val="single" w:color="auto" w:sz="4" w:space="0"/>
              <w:right w:val="single" w:color="auto" w:sz="4" w:space="0"/>
            </w:tcBorders>
            <w:vAlign w:val="center"/>
          </w:tcPr>
          <w:p w14:paraId="7367B1A7">
            <w:pPr>
              <w:widowControl/>
              <w:jc w:val="left"/>
              <w:rPr>
                <w:color w:val="000000" w:themeColor="text1"/>
                <w:sz w:val="24"/>
              </w:rPr>
            </w:pPr>
            <w:r>
              <w:rPr>
                <w:rFonts w:hint="eastAsia"/>
                <w:color w:val="000000" w:themeColor="text1"/>
                <w:sz w:val="24"/>
              </w:rPr>
              <w:t>4.单位内部控制工作小组负责人</w:t>
            </w:r>
          </w:p>
        </w:tc>
        <w:tc>
          <w:tcPr>
            <w:tcW w:w="3794" w:type="dxa"/>
            <w:gridSpan w:val="3"/>
            <w:tcBorders>
              <w:left w:val="single" w:color="auto" w:sz="4" w:space="0"/>
              <w:bottom w:val="single" w:color="auto" w:sz="4" w:space="0"/>
              <w:right w:val="single" w:color="auto" w:sz="4" w:space="0"/>
            </w:tcBorders>
            <w:vAlign w:val="center"/>
          </w:tcPr>
          <w:p w14:paraId="7D16BE20">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行政管理部门负责人，负责人姓名及岗位：</w:t>
            </w:r>
            <w:r>
              <w:rPr>
                <w:rFonts w:hint="eastAsia" w:ascii="楷体" w:hAnsi="楷体" w:eastAsia="楷体" w:cs="楷体"/>
                <w:bCs/>
                <w:color w:val="000000" w:themeColor="text1"/>
                <w:sz w:val="24"/>
                <w:lang w:eastAsia="zh-CN"/>
              </w:rPr>
              <w:t>张晖</w:t>
            </w:r>
            <w:r>
              <w:rPr>
                <w:rFonts w:hint="eastAsia" w:ascii="楷体" w:hAnsi="楷体" w:eastAsia="楷体" w:cs="楷体"/>
                <w:bCs/>
                <w:color w:val="000000" w:themeColor="text1"/>
                <w:sz w:val="24"/>
              </w:rPr>
              <w:t>、镇长</w:t>
            </w:r>
          </w:p>
        </w:tc>
      </w:tr>
      <w:tr w14:paraId="37FB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tcBorders>
              <w:top w:val="single" w:color="auto" w:sz="4" w:space="0"/>
              <w:left w:val="single" w:color="auto" w:sz="4" w:space="0"/>
              <w:bottom w:val="single" w:color="auto" w:sz="4" w:space="0"/>
              <w:right w:val="single" w:color="auto" w:sz="4" w:space="0"/>
            </w:tcBorders>
            <w:noWrap/>
            <w:vAlign w:val="center"/>
          </w:tcPr>
          <w:p w14:paraId="4445EA65">
            <w:pPr>
              <w:widowControl/>
              <w:jc w:val="left"/>
              <w:rPr>
                <w:color w:val="000000" w:themeColor="text1"/>
                <w:sz w:val="24"/>
              </w:rPr>
            </w:pPr>
            <w:r>
              <w:rPr>
                <w:rFonts w:hint="eastAsia"/>
                <w:color w:val="000000" w:themeColor="text1"/>
                <w:sz w:val="24"/>
              </w:rPr>
              <w:t>5.内部控制建设牵头部门</w:t>
            </w:r>
          </w:p>
        </w:tc>
        <w:tc>
          <w:tcPr>
            <w:tcW w:w="4568" w:type="dxa"/>
            <w:gridSpan w:val="6"/>
            <w:tcBorders>
              <w:top w:val="single" w:color="auto" w:sz="4" w:space="0"/>
              <w:left w:val="single" w:color="auto" w:sz="4" w:space="0"/>
              <w:bottom w:val="single" w:color="auto" w:sz="4" w:space="0"/>
              <w:right w:val="single" w:color="auto" w:sz="4" w:space="0"/>
            </w:tcBorders>
            <w:vAlign w:val="center"/>
          </w:tcPr>
          <w:p w14:paraId="214AABCE">
            <w:pPr>
              <w:widowControl/>
              <w:jc w:val="left"/>
              <w:rPr>
                <w:rFonts w:ascii="楷体" w:hAnsi="楷体" w:eastAsia="楷体" w:cs="楷体"/>
                <w:bCs/>
                <w:color w:val="000000" w:themeColor="text1"/>
                <w:sz w:val="24"/>
              </w:rPr>
            </w:pPr>
            <w:r>
              <w:rPr>
                <w:rFonts w:hint="eastAsia" w:ascii="楷体" w:hAnsi="楷体" w:eastAsia="楷体" w:cs="楷体"/>
                <w:bCs/>
                <w:color w:val="000000" w:themeColor="text1"/>
                <w:sz w:val="24"/>
              </w:rPr>
              <w:t>行政管理部门</w:t>
            </w:r>
          </w:p>
        </w:tc>
        <w:tc>
          <w:tcPr>
            <w:tcW w:w="3792" w:type="dxa"/>
            <w:gridSpan w:val="4"/>
            <w:tcBorders>
              <w:top w:val="single" w:color="auto" w:sz="4" w:space="0"/>
              <w:left w:val="single" w:color="auto" w:sz="4" w:space="0"/>
              <w:bottom w:val="single" w:color="auto" w:sz="4" w:space="0"/>
              <w:right w:val="single" w:color="auto" w:sz="4" w:space="0"/>
            </w:tcBorders>
            <w:vAlign w:val="center"/>
          </w:tcPr>
          <w:p w14:paraId="05E83796">
            <w:pPr>
              <w:widowControl/>
              <w:jc w:val="left"/>
              <w:rPr>
                <w:color w:val="000000" w:themeColor="text1"/>
                <w:sz w:val="24"/>
              </w:rPr>
            </w:pPr>
            <w:r>
              <w:rPr>
                <w:rFonts w:hint="eastAsia"/>
                <w:color w:val="000000" w:themeColor="text1"/>
                <w:sz w:val="24"/>
              </w:rPr>
              <w:t>6.内部控制评价与监督部门</w:t>
            </w:r>
          </w:p>
        </w:tc>
        <w:tc>
          <w:tcPr>
            <w:tcW w:w="3794" w:type="dxa"/>
            <w:gridSpan w:val="3"/>
            <w:tcBorders>
              <w:top w:val="single" w:color="auto" w:sz="4" w:space="0"/>
              <w:left w:val="single" w:color="auto" w:sz="4" w:space="0"/>
              <w:bottom w:val="single" w:color="auto" w:sz="4" w:space="0"/>
              <w:right w:val="single" w:color="auto" w:sz="4" w:space="0"/>
            </w:tcBorders>
            <w:vAlign w:val="center"/>
          </w:tcPr>
          <w:p w14:paraId="792321EC">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财务部门</w:t>
            </w:r>
          </w:p>
        </w:tc>
      </w:tr>
      <w:tr w14:paraId="10B8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5EA6C08A">
            <w:pPr>
              <w:widowControl/>
              <w:jc w:val="left"/>
              <w:rPr>
                <w:rFonts w:ascii="楷体" w:hAnsi="楷体" w:eastAsia="楷体"/>
                <w:bCs/>
                <w:color w:val="000000" w:themeColor="text1"/>
                <w:sz w:val="24"/>
              </w:rPr>
            </w:pPr>
            <w:r>
              <w:rPr>
                <w:rFonts w:hint="eastAsia"/>
                <w:bCs/>
                <w:color w:val="000000" w:themeColor="text1"/>
                <w:sz w:val="24"/>
              </w:rPr>
              <w:t>（二）内部控制机构运行情况</w:t>
            </w:r>
          </w:p>
        </w:tc>
      </w:tr>
      <w:tr w14:paraId="5DE9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0165C5FE">
            <w:pPr>
              <w:widowControl/>
              <w:jc w:val="left"/>
              <w:rPr>
                <w:color w:val="000000" w:themeColor="text1"/>
                <w:sz w:val="24"/>
              </w:rPr>
            </w:pPr>
            <w:r>
              <w:rPr>
                <w:rFonts w:hint="eastAsia"/>
                <w:color w:val="000000" w:themeColor="text1"/>
                <w:sz w:val="24"/>
              </w:rPr>
              <w:t>1.本年单位内部控制领导小组会议次数</w:t>
            </w:r>
          </w:p>
        </w:tc>
        <w:tc>
          <w:tcPr>
            <w:tcW w:w="4568" w:type="dxa"/>
            <w:gridSpan w:val="6"/>
            <w:vAlign w:val="center"/>
          </w:tcPr>
          <w:p w14:paraId="5A07B5AE">
            <w:pPr>
              <w:widowControl/>
              <w:rPr>
                <w:rFonts w:ascii="楷体" w:hAnsi="楷体" w:eastAsia="楷体" w:cs="楷体"/>
                <w:bCs/>
                <w:color w:val="000000" w:themeColor="text1"/>
                <w:sz w:val="24"/>
              </w:rPr>
            </w:pPr>
            <w:r>
              <w:rPr>
                <w:rFonts w:ascii="楷体" w:hAnsi="楷体" w:eastAsia="楷体" w:cs="楷体"/>
                <w:bCs/>
                <w:color w:val="000000" w:themeColor="text1"/>
                <w:sz w:val="24"/>
              </w:rPr>
              <w:t>2</w:t>
            </w:r>
          </w:p>
        </w:tc>
        <w:tc>
          <w:tcPr>
            <w:tcW w:w="3792" w:type="dxa"/>
            <w:gridSpan w:val="4"/>
            <w:vAlign w:val="center"/>
          </w:tcPr>
          <w:p w14:paraId="62E48E4D">
            <w:pPr>
              <w:widowControl/>
              <w:jc w:val="left"/>
              <w:rPr>
                <w:color w:val="000000" w:themeColor="text1"/>
                <w:sz w:val="24"/>
              </w:rPr>
            </w:pPr>
            <w:r>
              <w:rPr>
                <w:rFonts w:hint="eastAsia"/>
                <w:color w:val="000000" w:themeColor="text1"/>
                <w:sz w:val="24"/>
              </w:rPr>
              <w:t>2.本年单位开展内部控制专题培训次数</w:t>
            </w:r>
          </w:p>
        </w:tc>
        <w:tc>
          <w:tcPr>
            <w:tcW w:w="3794" w:type="dxa"/>
            <w:gridSpan w:val="3"/>
            <w:vAlign w:val="center"/>
          </w:tcPr>
          <w:p w14:paraId="72392A80">
            <w:pPr>
              <w:widowControl/>
              <w:rPr>
                <w:rFonts w:ascii="楷体" w:hAnsi="楷体" w:eastAsia="楷体" w:cs="楷体"/>
                <w:bCs/>
                <w:color w:val="000000" w:themeColor="text1"/>
                <w:sz w:val="24"/>
              </w:rPr>
            </w:pPr>
            <w:r>
              <w:rPr>
                <w:rFonts w:ascii="楷体" w:hAnsi="楷体" w:eastAsia="楷体" w:cs="楷体"/>
                <w:bCs/>
                <w:color w:val="000000" w:themeColor="text1"/>
                <w:sz w:val="24"/>
              </w:rPr>
              <w:t>2</w:t>
            </w:r>
          </w:p>
        </w:tc>
      </w:tr>
      <w:tr w14:paraId="68D1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001522D0">
            <w:pPr>
              <w:widowControl/>
              <w:jc w:val="left"/>
              <w:rPr>
                <w:color w:val="000000" w:themeColor="text1"/>
                <w:sz w:val="24"/>
              </w:rPr>
            </w:pPr>
            <w:r>
              <w:rPr>
                <w:rFonts w:hint="eastAsia"/>
                <w:color w:val="000000" w:themeColor="text1"/>
                <w:sz w:val="24"/>
              </w:rPr>
              <w:t>3.本年单位内部控制风险评估覆盖情况（单位层面）</w:t>
            </w:r>
          </w:p>
        </w:tc>
        <w:tc>
          <w:tcPr>
            <w:tcW w:w="4568" w:type="dxa"/>
            <w:gridSpan w:val="6"/>
            <w:vAlign w:val="center"/>
          </w:tcPr>
          <w:p w14:paraId="018ED3AE">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运行机制;关键岗位;制度体系;组织架构</w:t>
            </w:r>
          </w:p>
        </w:tc>
        <w:tc>
          <w:tcPr>
            <w:tcW w:w="3792" w:type="dxa"/>
            <w:gridSpan w:val="4"/>
            <w:vAlign w:val="center"/>
          </w:tcPr>
          <w:p w14:paraId="6F36DF6A">
            <w:pPr>
              <w:widowControl/>
              <w:jc w:val="left"/>
              <w:rPr>
                <w:color w:val="000000" w:themeColor="text1"/>
                <w:sz w:val="24"/>
              </w:rPr>
            </w:pPr>
            <w:r>
              <w:rPr>
                <w:rFonts w:hint="eastAsia"/>
                <w:color w:val="000000" w:themeColor="text1"/>
                <w:sz w:val="24"/>
              </w:rPr>
              <w:t>4.本年单位内部控制风险评估覆盖情况（业务层面）</w:t>
            </w:r>
          </w:p>
        </w:tc>
        <w:tc>
          <w:tcPr>
            <w:tcW w:w="3794" w:type="dxa"/>
            <w:gridSpan w:val="3"/>
            <w:vAlign w:val="center"/>
          </w:tcPr>
          <w:p w14:paraId="54B69888">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收支业务;政府采购业务;国有资产业务;建设项目业务;合同业务</w:t>
            </w:r>
          </w:p>
        </w:tc>
      </w:tr>
      <w:tr w14:paraId="32CB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48920915">
            <w:pPr>
              <w:widowControl/>
              <w:jc w:val="left"/>
              <w:rPr>
                <w:color w:val="000000" w:themeColor="text1"/>
                <w:sz w:val="24"/>
              </w:rPr>
            </w:pPr>
            <w:r>
              <w:rPr>
                <w:rFonts w:hint="eastAsia"/>
                <w:color w:val="000000" w:themeColor="text1"/>
                <w:sz w:val="24"/>
              </w:rPr>
              <w:t>5.本年单位是否开展内部控制评价</w:t>
            </w:r>
          </w:p>
        </w:tc>
        <w:tc>
          <w:tcPr>
            <w:tcW w:w="4568" w:type="dxa"/>
            <w:gridSpan w:val="6"/>
            <w:vAlign w:val="center"/>
          </w:tcPr>
          <w:p w14:paraId="70F013D9">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3792" w:type="dxa"/>
            <w:gridSpan w:val="4"/>
            <w:vAlign w:val="center"/>
          </w:tcPr>
          <w:p w14:paraId="7AD59E1B">
            <w:pPr>
              <w:widowControl/>
              <w:jc w:val="left"/>
              <w:rPr>
                <w:color w:val="000000" w:themeColor="text1"/>
                <w:sz w:val="24"/>
              </w:rPr>
            </w:pPr>
            <w:r>
              <w:rPr>
                <w:rFonts w:hint="eastAsia"/>
                <w:color w:val="000000" w:themeColor="text1"/>
                <w:sz w:val="24"/>
              </w:rPr>
              <w:t>6.本年单位内部控制评价结果应用领域</w:t>
            </w:r>
          </w:p>
        </w:tc>
        <w:tc>
          <w:tcPr>
            <w:tcW w:w="3794" w:type="dxa"/>
            <w:gridSpan w:val="3"/>
            <w:vAlign w:val="center"/>
          </w:tcPr>
          <w:p w14:paraId="7E7707AE">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作为领导干部选拔任用的参考;作为监督问责的重要参考依据</w:t>
            </w:r>
          </w:p>
        </w:tc>
      </w:tr>
      <w:tr w14:paraId="4B65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696B0C30">
            <w:pPr>
              <w:widowControl/>
              <w:jc w:val="left"/>
              <w:rPr>
                <w:color w:val="000000" w:themeColor="text1"/>
                <w:sz w:val="24"/>
              </w:rPr>
            </w:pPr>
            <w:r>
              <w:rPr>
                <w:rFonts w:hint="eastAsia"/>
                <w:color w:val="000000" w:themeColor="text1"/>
                <w:sz w:val="24"/>
              </w:rPr>
              <w:t>7.本年单位内部控制评价</w:t>
            </w:r>
            <w:r>
              <w:rPr>
                <w:rFonts w:hint="eastAsia" w:asciiTheme="minorEastAsia" w:hAnsiTheme="minorEastAsia" w:eastAsiaTheme="minorEastAsia"/>
                <w:color w:val="000000" w:themeColor="text1"/>
                <w:sz w:val="24"/>
              </w:rPr>
              <w:t>结果运用效果</w:t>
            </w:r>
          </w:p>
        </w:tc>
        <w:tc>
          <w:tcPr>
            <w:tcW w:w="12154" w:type="dxa"/>
            <w:gridSpan w:val="13"/>
            <w:vAlign w:val="center"/>
          </w:tcPr>
          <w:p w14:paraId="6B5056C6">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内部控制评价发现的内部控制相关问题总数：</w:t>
            </w:r>
            <w:r>
              <w:rPr>
                <w:rFonts w:ascii="楷体" w:hAnsi="楷体" w:eastAsia="楷体" w:cs="楷体"/>
                <w:bCs/>
                <w:color w:val="000000" w:themeColor="text1"/>
                <w:sz w:val="24"/>
              </w:rPr>
              <w:t>0</w:t>
            </w:r>
          </w:p>
          <w:p w14:paraId="0E40BA20">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针对发现问题通过内部控制体系调整优化及严格执行进行整改的问题数量：</w:t>
            </w:r>
            <w:r>
              <w:rPr>
                <w:rFonts w:ascii="楷体" w:hAnsi="楷体" w:eastAsia="楷体" w:cs="楷体"/>
                <w:bCs/>
                <w:color w:val="000000" w:themeColor="text1"/>
                <w:sz w:val="24"/>
              </w:rPr>
              <w:t>0</w:t>
            </w:r>
          </w:p>
          <w:p w14:paraId="4FC40D8F">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整改完成情况：</w:t>
            </w:r>
            <w:r>
              <w:rPr>
                <w:rFonts w:ascii="楷体" w:hAnsi="楷体" w:eastAsia="楷体" w:cs="楷体"/>
                <w:bCs/>
                <w:color w:val="000000" w:themeColor="text1"/>
                <w:sz w:val="24"/>
              </w:rPr>
              <w:t>0.00 %</w:t>
            </w:r>
          </w:p>
        </w:tc>
      </w:tr>
      <w:tr w14:paraId="6071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399C9D33">
            <w:pPr>
              <w:widowControl/>
              <w:jc w:val="left"/>
              <w:rPr>
                <w:color w:val="000000" w:themeColor="text1"/>
                <w:sz w:val="24"/>
              </w:rPr>
            </w:pPr>
            <w:r>
              <w:rPr>
                <w:rFonts w:hint="eastAsia"/>
                <w:color w:val="000000" w:themeColor="text1"/>
                <w:sz w:val="24"/>
              </w:rPr>
              <w:t>8.本年单位与内部控制相关的巡视结果运用效果</w:t>
            </w:r>
          </w:p>
        </w:tc>
        <w:tc>
          <w:tcPr>
            <w:tcW w:w="12154" w:type="dxa"/>
            <w:gridSpan w:val="13"/>
            <w:vAlign w:val="center"/>
          </w:tcPr>
          <w:p w14:paraId="31D198D7">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巡视发现的内部控制相关问题总数：</w:t>
            </w:r>
            <w:r>
              <w:rPr>
                <w:rFonts w:ascii="楷体" w:hAnsi="楷体" w:eastAsia="楷体" w:cs="楷体"/>
                <w:bCs/>
                <w:color w:val="000000" w:themeColor="text1"/>
                <w:sz w:val="24"/>
              </w:rPr>
              <w:t>0</w:t>
            </w:r>
          </w:p>
          <w:p w14:paraId="67ED1526">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针对发现问题通过内部控制体系调整优化及严格执行进行整改的问题数量：</w:t>
            </w:r>
            <w:r>
              <w:rPr>
                <w:rFonts w:ascii="楷体" w:hAnsi="楷体" w:eastAsia="楷体" w:cs="楷体"/>
                <w:bCs/>
                <w:color w:val="000000" w:themeColor="text1"/>
                <w:sz w:val="24"/>
              </w:rPr>
              <w:t>0</w:t>
            </w:r>
          </w:p>
          <w:p w14:paraId="5E674B7F">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整改完成情况：</w:t>
            </w:r>
            <w:r>
              <w:rPr>
                <w:rFonts w:ascii="楷体" w:hAnsi="楷体" w:eastAsia="楷体" w:cs="楷体"/>
                <w:bCs/>
                <w:color w:val="000000" w:themeColor="text1"/>
                <w:sz w:val="24"/>
              </w:rPr>
              <w:t>0.00 %</w:t>
            </w:r>
          </w:p>
        </w:tc>
      </w:tr>
      <w:tr w14:paraId="0D1D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58FE0C8B">
            <w:pPr>
              <w:widowControl/>
              <w:jc w:val="left"/>
              <w:rPr>
                <w:color w:val="000000" w:themeColor="text1"/>
                <w:sz w:val="24"/>
              </w:rPr>
            </w:pPr>
            <w:r>
              <w:rPr>
                <w:rFonts w:hint="eastAsia"/>
                <w:color w:val="000000" w:themeColor="text1"/>
                <w:sz w:val="24"/>
              </w:rPr>
              <w:t>9.本年单位与内部控制相关的纪检监察</w:t>
            </w:r>
            <w:r>
              <w:rPr>
                <w:rFonts w:hint="eastAsia" w:asciiTheme="minorEastAsia" w:hAnsiTheme="minorEastAsia" w:eastAsiaTheme="minorEastAsia"/>
                <w:color w:val="000000" w:themeColor="text1"/>
                <w:sz w:val="24"/>
              </w:rPr>
              <w:t>结果运用效果</w:t>
            </w:r>
          </w:p>
        </w:tc>
        <w:tc>
          <w:tcPr>
            <w:tcW w:w="12154" w:type="dxa"/>
            <w:gridSpan w:val="13"/>
            <w:vAlign w:val="center"/>
          </w:tcPr>
          <w:p w14:paraId="3CD87E07">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纪检监察发现的内部控制相关问题总数：</w:t>
            </w:r>
            <w:r>
              <w:rPr>
                <w:rFonts w:ascii="楷体" w:hAnsi="楷体" w:eastAsia="楷体" w:cs="楷体"/>
                <w:bCs/>
                <w:color w:val="000000" w:themeColor="text1"/>
                <w:sz w:val="24"/>
              </w:rPr>
              <w:t>0</w:t>
            </w:r>
          </w:p>
          <w:p w14:paraId="7A3046AC">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针对发现问题通过内部控制体系调整优化及严格执行进行整改的问题数量：</w:t>
            </w:r>
            <w:r>
              <w:rPr>
                <w:rFonts w:ascii="楷体" w:hAnsi="楷体" w:eastAsia="楷体" w:cs="楷体"/>
                <w:bCs/>
                <w:color w:val="000000" w:themeColor="text1"/>
                <w:sz w:val="24"/>
              </w:rPr>
              <w:t>0</w:t>
            </w:r>
          </w:p>
          <w:p w14:paraId="412CB936">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整改完成情况：</w:t>
            </w:r>
            <w:r>
              <w:rPr>
                <w:rFonts w:ascii="楷体" w:hAnsi="楷体" w:eastAsia="楷体" w:cs="楷体"/>
                <w:bCs/>
                <w:color w:val="000000" w:themeColor="text1"/>
                <w:sz w:val="24"/>
              </w:rPr>
              <w:t>0.00 %</w:t>
            </w:r>
          </w:p>
        </w:tc>
      </w:tr>
      <w:tr w14:paraId="6B6FC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4B225894">
            <w:pPr>
              <w:widowControl/>
              <w:jc w:val="left"/>
              <w:rPr>
                <w:color w:val="000000" w:themeColor="text1"/>
                <w:sz w:val="24"/>
              </w:rPr>
            </w:pPr>
            <w:r>
              <w:rPr>
                <w:rFonts w:hint="eastAsia"/>
                <w:color w:val="000000" w:themeColor="text1"/>
                <w:sz w:val="24"/>
              </w:rPr>
              <w:t>10.本年单位与内部控制相关的审计</w:t>
            </w:r>
            <w:r>
              <w:rPr>
                <w:rFonts w:hint="eastAsia" w:asciiTheme="minorEastAsia" w:hAnsiTheme="minorEastAsia" w:eastAsiaTheme="minorEastAsia"/>
                <w:color w:val="000000" w:themeColor="text1"/>
                <w:sz w:val="24"/>
              </w:rPr>
              <w:t>结果运用效果</w:t>
            </w:r>
          </w:p>
        </w:tc>
        <w:tc>
          <w:tcPr>
            <w:tcW w:w="12154" w:type="dxa"/>
            <w:gridSpan w:val="13"/>
            <w:vAlign w:val="center"/>
          </w:tcPr>
          <w:p w14:paraId="53DA7DF8">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审计发现的内部控制相关问题总数：</w:t>
            </w:r>
            <w:r>
              <w:rPr>
                <w:rFonts w:ascii="楷体" w:hAnsi="楷体" w:eastAsia="楷体" w:cs="楷体"/>
                <w:bCs/>
                <w:color w:val="000000" w:themeColor="text1"/>
                <w:sz w:val="24"/>
              </w:rPr>
              <w:t>0</w:t>
            </w:r>
          </w:p>
          <w:p w14:paraId="4B1B888A">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针对发现问题通过内部控制体系调整优化及严格执行进行整改的问题数量：</w:t>
            </w:r>
            <w:r>
              <w:rPr>
                <w:rFonts w:ascii="楷体" w:hAnsi="楷体" w:eastAsia="楷体" w:cs="楷体"/>
                <w:bCs/>
                <w:color w:val="000000" w:themeColor="text1"/>
                <w:sz w:val="24"/>
              </w:rPr>
              <w:t>0</w:t>
            </w:r>
          </w:p>
          <w:p w14:paraId="1D63A3FB">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整改完成情况：</w:t>
            </w:r>
            <w:r>
              <w:rPr>
                <w:rFonts w:ascii="楷体" w:hAnsi="楷体" w:eastAsia="楷体" w:cs="楷体"/>
                <w:bCs/>
                <w:color w:val="000000" w:themeColor="text1"/>
                <w:sz w:val="24"/>
              </w:rPr>
              <w:t>0.00 %</w:t>
            </w:r>
          </w:p>
        </w:tc>
      </w:tr>
      <w:tr w14:paraId="0BBB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74DDD5C1">
            <w:pPr>
              <w:widowControl/>
              <w:rPr>
                <w:rFonts w:ascii="楷体" w:hAnsi="楷体" w:eastAsia="楷体"/>
                <w:color w:val="000000" w:themeColor="text1"/>
                <w:sz w:val="24"/>
              </w:rPr>
            </w:pPr>
            <w:r>
              <w:rPr>
                <w:rFonts w:hint="eastAsia" w:asciiTheme="minorEastAsia" w:hAnsiTheme="minorEastAsia" w:eastAsiaTheme="minorEastAsia"/>
                <w:color w:val="000000" w:themeColor="text1"/>
                <w:sz w:val="24"/>
              </w:rPr>
              <w:t>（三）</w:t>
            </w:r>
            <w:r>
              <w:rPr>
                <w:rFonts w:hint="eastAsia"/>
                <w:color w:val="000000" w:themeColor="text1"/>
                <w:sz w:val="24"/>
              </w:rPr>
              <w:t>权力运行制衡机制建立情况</w:t>
            </w:r>
          </w:p>
        </w:tc>
      </w:tr>
      <w:tr w14:paraId="2BC9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3398F053">
            <w:pPr>
              <w:widowControl/>
              <w:rPr>
                <w:color w:val="000000" w:themeColor="text1"/>
                <w:sz w:val="24"/>
              </w:rPr>
            </w:pPr>
            <w:r>
              <w:rPr>
                <w:rFonts w:hint="eastAsia" w:asciiTheme="minorEastAsia" w:hAnsiTheme="minorEastAsia" w:eastAsiaTheme="minorEastAsia"/>
                <w:color w:val="000000" w:themeColor="text1"/>
                <w:sz w:val="24"/>
              </w:rPr>
              <w:t>1.分事行权</w:t>
            </w:r>
          </w:p>
        </w:tc>
        <w:tc>
          <w:tcPr>
            <w:tcW w:w="4568" w:type="dxa"/>
            <w:gridSpan w:val="6"/>
            <w:vAlign w:val="center"/>
          </w:tcPr>
          <w:p w14:paraId="02D467F2">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3792" w:type="dxa"/>
            <w:gridSpan w:val="4"/>
            <w:vAlign w:val="center"/>
          </w:tcPr>
          <w:p w14:paraId="6F63C4C7">
            <w:pPr>
              <w:widowControl/>
              <w:rPr>
                <w:color w:val="000000" w:themeColor="text1"/>
                <w:sz w:val="24"/>
              </w:rPr>
            </w:pPr>
            <w:r>
              <w:rPr>
                <w:rFonts w:hint="eastAsia" w:asciiTheme="minorEastAsia" w:hAnsiTheme="minorEastAsia" w:eastAsiaTheme="minorEastAsia"/>
                <w:color w:val="000000" w:themeColor="text1"/>
                <w:sz w:val="24"/>
              </w:rPr>
              <w:t>2.分岗设权</w:t>
            </w:r>
          </w:p>
        </w:tc>
        <w:tc>
          <w:tcPr>
            <w:tcW w:w="3794" w:type="dxa"/>
            <w:gridSpan w:val="3"/>
            <w:vAlign w:val="center"/>
          </w:tcPr>
          <w:p w14:paraId="161ADE89">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r>
      <w:tr w14:paraId="2185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0F6FE26C">
            <w:pPr>
              <w:widowControl/>
              <w:rPr>
                <w:color w:val="000000" w:themeColor="text1"/>
                <w:sz w:val="24"/>
              </w:rPr>
            </w:pPr>
            <w:r>
              <w:rPr>
                <w:rFonts w:hint="eastAsia" w:asciiTheme="minorEastAsia" w:hAnsiTheme="minorEastAsia" w:eastAsiaTheme="minorEastAsia"/>
                <w:color w:val="000000" w:themeColor="text1"/>
                <w:sz w:val="24"/>
              </w:rPr>
              <w:t>3.分级授权</w:t>
            </w:r>
          </w:p>
        </w:tc>
        <w:tc>
          <w:tcPr>
            <w:tcW w:w="4568" w:type="dxa"/>
            <w:gridSpan w:val="6"/>
            <w:vAlign w:val="center"/>
          </w:tcPr>
          <w:p w14:paraId="23E0520F">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3792" w:type="dxa"/>
            <w:gridSpan w:val="4"/>
            <w:vAlign w:val="center"/>
          </w:tcPr>
          <w:p w14:paraId="6ABDCDFA">
            <w:pPr>
              <w:widowControl/>
              <w:rPr>
                <w:color w:val="000000" w:themeColor="text1"/>
                <w:sz w:val="24"/>
              </w:rPr>
            </w:pPr>
            <w:r>
              <w:rPr>
                <w:rFonts w:hint="eastAsia" w:asciiTheme="minorEastAsia" w:hAnsiTheme="minorEastAsia" w:eastAsiaTheme="minorEastAsia"/>
                <w:color w:val="000000" w:themeColor="text1"/>
                <w:sz w:val="24"/>
              </w:rPr>
              <w:t>4.定期轮岗</w:t>
            </w:r>
          </w:p>
        </w:tc>
        <w:tc>
          <w:tcPr>
            <w:tcW w:w="3794" w:type="dxa"/>
            <w:gridSpan w:val="3"/>
            <w:vAlign w:val="center"/>
          </w:tcPr>
          <w:p w14:paraId="0251D995">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r>
      <w:tr w14:paraId="1775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3C47C1A4">
            <w:pPr>
              <w:widowControl/>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5.专项审计</w:t>
            </w:r>
          </w:p>
        </w:tc>
        <w:tc>
          <w:tcPr>
            <w:tcW w:w="4568" w:type="dxa"/>
            <w:gridSpan w:val="6"/>
            <w:vAlign w:val="center"/>
          </w:tcPr>
          <w:p w14:paraId="36563A86">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3792" w:type="dxa"/>
            <w:gridSpan w:val="4"/>
            <w:vAlign w:val="center"/>
          </w:tcPr>
          <w:p w14:paraId="646F6B63">
            <w:pPr>
              <w:widowControl/>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6.职责明晰</w:t>
            </w:r>
          </w:p>
        </w:tc>
        <w:tc>
          <w:tcPr>
            <w:tcW w:w="3794" w:type="dxa"/>
            <w:gridSpan w:val="3"/>
            <w:vAlign w:val="center"/>
          </w:tcPr>
          <w:p w14:paraId="40BF8798">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r>
      <w:tr w14:paraId="1EAF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512B4C49">
            <w:pPr>
              <w:widowControl/>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7.决策程序</w:t>
            </w:r>
          </w:p>
        </w:tc>
        <w:tc>
          <w:tcPr>
            <w:tcW w:w="12154" w:type="dxa"/>
            <w:gridSpan w:val="13"/>
            <w:vAlign w:val="center"/>
          </w:tcPr>
          <w:p w14:paraId="00AF03F0">
            <w:pPr>
              <w:widowControl/>
              <w:rPr>
                <w:color w:val="000000" w:themeColor="text1"/>
                <w:sz w:val="24"/>
              </w:rPr>
            </w:pPr>
            <w:r>
              <w:rPr>
                <w:rFonts w:ascii="楷体" w:hAnsi="楷体" w:eastAsia="楷体" w:cs="楷体"/>
                <w:bCs/>
                <w:color w:val="000000" w:themeColor="text1"/>
                <w:sz w:val="24"/>
              </w:rPr>
              <w:t>是</w:t>
            </w:r>
          </w:p>
        </w:tc>
      </w:tr>
      <w:tr w14:paraId="45D7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1861BEB1">
            <w:pPr>
              <w:widowControl/>
              <w:rPr>
                <w:b/>
                <w:bCs/>
                <w:color w:val="000000" w:themeColor="text1"/>
                <w:sz w:val="24"/>
              </w:rPr>
            </w:pPr>
            <w:r>
              <w:rPr>
                <w:rFonts w:hint="eastAsia"/>
                <w:bCs/>
                <w:color w:val="000000" w:themeColor="text1"/>
                <w:sz w:val="24"/>
              </w:rPr>
              <w:t>（四）政府会计改革</w:t>
            </w:r>
          </w:p>
        </w:tc>
      </w:tr>
      <w:tr w14:paraId="1349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7E7D3E63">
            <w:pPr>
              <w:widowControl/>
              <w:rPr>
                <w:b/>
                <w:bCs/>
                <w:color w:val="000000" w:themeColor="text1"/>
                <w:sz w:val="24"/>
              </w:rPr>
            </w:pPr>
            <w:r>
              <w:rPr>
                <w:rFonts w:hint="eastAsia"/>
                <w:bCs/>
                <w:color w:val="000000" w:themeColor="text1"/>
                <w:sz w:val="24"/>
              </w:rPr>
              <w:t>1.单位是否应当执行政府会计准则制度</w:t>
            </w:r>
          </w:p>
        </w:tc>
        <w:tc>
          <w:tcPr>
            <w:tcW w:w="4568" w:type="dxa"/>
            <w:gridSpan w:val="6"/>
            <w:noWrap/>
            <w:vAlign w:val="center"/>
          </w:tcPr>
          <w:p w14:paraId="4EA0DCED">
            <w:pPr>
              <w:widowControl/>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3792" w:type="dxa"/>
            <w:gridSpan w:val="4"/>
            <w:noWrap/>
            <w:vAlign w:val="center"/>
          </w:tcPr>
          <w:p w14:paraId="6FFA7B0A">
            <w:pPr>
              <w:widowControl/>
              <w:rPr>
                <w:b/>
                <w:bCs/>
                <w:color w:val="000000" w:themeColor="text1"/>
                <w:sz w:val="24"/>
              </w:rPr>
            </w:pPr>
            <w:r>
              <w:rPr>
                <w:bCs/>
                <w:color w:val="000000" w:themeColor="text1"/>
                <w:sz w:val="24"/>
              </w:rPr>
              <w:t>2.</w:t>
            </w:r>
            <w:r>
              <w:rPr>
                <w:rFonts w:hint="eastAsia"/>
                <w:bCs/>
                <w:color w:val="000000" w:themeColor="text1"/>
                <w:sz w:val="24"/>
              </w:rPr>
              <w:t>本年单位是否按照政府会计准则制度要求开展预算会计核算和财务会计核算</w:t>
            </w:r>
          </w:p>
        </w:tc>
        <w:tc>
          <w:tcPr>
            <w:tcW w:w="3794" w:type="dxa"/>
            <w:gridSpan w:val="3"/>
            <w:noWrap/>
            <w:vAlign w:val="center"/>
          </w:tcPr>
          <w:p w14:paraId="29FEBDE4">
            <w:pPr>
              <w:widowControl/>
              <w:rPr>
                <w:rFonts w:ascii="楷体" w:hAnsi="楷体" w:eastAsia="楷体" w:cs="楷体"/>
                <w:bCs/>
                <w:color w:val="000000" w:themeColor="text1"/>
                <w:sz w:val="24"/>
              </w:rPr>
            </w:pPr>
            <w:r>
              <w:rPr>
                <w:rFonts w:ascii="楷体" w:hAnsi="楷体" w:eastAsia="楷体" w:cs="楷体"/>
                <w:bCs/>
                <w:color w:val="000000" w:themeColor="text1"/>
                <w:sz w:val="24"/>
              </w:rPr>
              <w:t>是</w:t>
            </w:r>
          </w:p>
        </w:tc>
      </w:tr>
      <w:tr w14:paraId="2768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6855F181">
            <w:pPr>
              <w:widowControl/>
              <w:rPr>
                <w:b/>
                <w:bCs/>
                <w:color w:val="000000" w:themeColor="text1"/>
                <w:sz w:val="24"/>
              </w:rPr>
            </w:pPr>
            <w:r>
              <w:rPr>
                <w:rFonts w:hint="eastAsia"/>
                <w:bCs/>
                <w:color w:val="000000" w:themeColor="text1"/>
                <w:sz w:val="24"/>
              </w:rPr>
              <w:t>3.本年单位是否对固定资产和无形资产计提折旧或摊销</w:t>
            </w:r>
          </w:p>
        </w:tc>
        <w:tc>
          <w:tcPr>
            <w:tcW w:w="4568" w:type="dxa"/>
            <w:gridSpan w:val="6"/>
            <w:noWrap/>
            <w:vAlign w:val="center"/>
          </w:tcPr>
          <w:p w14:paraId="486E05F8">
            <w:pPr>
              <w:widowControl/>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3792" w:type="dxa"/>
            <w:gridSpan w:val="4"/>
            <w:noWrap/>
            <w:vAlign w:val="center"/>
          </w:tcPr>
          <w:p w14:paraId="5076C47E">
            <w:pPr>
              <w:widowControl/>
              <w:rPr>
                <w:b/>
                <w:bCs/>
                <w:color w:val="000000" w:themeColor="text1"/>
                <w:sz w:val="24"/>
              </w:rPr>
            </w:pPr>
            <w:r>
              <w:rPr>
                <w:bCs/>
                <w:color w:val="000000" w:themeColor="text1"/>
                <w:sz w:val="24"/>
              </w:rPr>
              <w:t>4.</w:t>
            </w:r>
            <w:r>
              <w:rPr>
                <w:rFonts w:hint="eastAsia"/>
                <w:bCs/>
                <w:color w:val="000000" w:themeColor="text1"/>
                <w:sz w:val="24"/>
              </w:rPr>
              <w:t>本年编制政府部门财务报告时，部门及所属单位之间发生的经济业务或事项是否在抵销前进行确认</w:t>
            </w:r>
          </w:p>
        </w:tc>
        <w:tc>
          <w:tcPr>
            <w:tcW w:w="3794" w:type="dxa"/>
            <w:gridSpan w:val="3"/>
            <w:noWrap/>
            <w:vAlign w:val="center"/>
          </w:tcPr>
          <w:p w14:paraId="27AF61F1">
            <w:pPr>
              <w:widowControl/>
              <w:rPr>
                <w:rFonts w:ascii="楷体" w:hAnsi="楷体" w:eastAsia="楷体" w:cs="楷体"/>
                <w:bCs/>
                <w:color w:val="000000" w:themeColor="text1"/>
                <w:sz w:val="24"/>
              </w:rPr>
            </w:pPr>
            <w:r>
              <w:rPr>
                <w:rFonts w:ascii="楷体" w:hAnsi="楷体" w:eastAsia="楷体" w:cs="楷体"/>
                <w:bCs/>
                <w:color w:val="000000" w:themeColor="text1"/>
                <w:sz w:val="24"/>
              </w:rPr>
              <w:t>是</w:t>
            </w:r>
          </w:p>
        </w:tc>
      </w:tr>
      <w:tr w14:paraId="1187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37414EF6">
            <w:pPr>
              <w:widowControl/>
              <w:rPr>
                <w:b/>
                <w:bCs/>
                <w:color w:val="000000" w:themeColor="text1"/>
                <w:sz w:val="24"/>
              </w:rPr>
            </w:pPr>
            <w:r>
              <w:rPr>
                <w:rFonts w:hint="eastAsia"/>
                <w:bCs/>
                <w:color w:val="000000" w:themeColor="text1"/>
                <w:sz w:val="24"/>
              </w:rPr>
              <w:t>5.单位是否将基本建设投资、公共基础设施、保障性住房、政府储备物资、国有文物文化资产等纳入统一账簿进行会计核算</w:t>
            </w:r>
          </w:p>
        </w:tc>
        <w:tc>
          <w:tcPr>
            <w:tcW w:w="12154" w:type="dxa"/>
            <w:gridSpan w:val="13"/>
            <w:noWrap/>
            <w:vAlign w:val="center"/>
          </w:tcPr>
          <w:p w14:paraId="6F0477EC">
            <w:pPr>
              <w:autoSpaceDE w:val="0"/>
              <w:autoSpaceDN w:val="0"/>
              <w:adjustRightInd w:val="0"/>
              <w:jc w:val="left"/>
              <w:rPr>
                <w:rFonts w:ascii="楷体" w:hAnsi="楷体" w:eastAsia="楷体" w:cs="楷体"/>
                <w:bCs/>
                <w:color w:val="000000" w:themeColor="text1"/>
                <w:sz w:val="24"/>
              </w:rPr>
            </w:pPr>
            <w:r>
              <w:rPr>
                <w:rFonts w:hint="eastAsia" w:ascii="楷体" w:hAnsi="楷体" w:eastAsia="楷体" w:cs="楷体"/>
                <w:bCs/>
                <w:color w:val="000000" w:themeColor="text1"/>
                <w:sz w:val="24"/>
              </w:rPr>
              <w:t>基本建设投资：</w:t>
            </w:r>
            <w:r>
              <w:rPr>
                <w:rFonts w:ascii="楷体" w:hAnsi="楷体" w:eastAsia="楷体" w:cs="楷体"/>
                <w:bCs/>
                <w:color w:val="000000" w:themeColor="text1"/>
                <w:sz w:val="24"/>
              </w:rPr>
              <w:t xml:space="preserve">是          </w:t>
            </w:r>
            <w:r>
              <w:rPr>
                <w:rFonts w:hint="eastAsia" w:ascii="楷体" w:hAnsi="楷体" w:eastAsia="楷体" w:cs="楷体"/>
                <w:bCs/>
                <w:color w:val="000000" w:themeColor="text1"/>
                <w:sz w:val="24"/>
              </w:rPr>
              <w:t>公共基础设施：</w:t>
            </w:r>
            <w:r>
              <w:rPr>
                <w:rFonts w:ascii="楷体" w:hAnsi="楷体" w:eastAsia="楷体" w:cs="楷体"/>
                <w:bCs/>
                <w:color w:val="000000" w:themeColor="text1"/>
                <w:sz w:val="24"/>
              </w:rPr>
              <w:t>是</w:t>
            </w:r>
          </w:p>
          <w:p w14:paraId="5E8C1417">
            <w:pPr>
              <w:autoSpaceDE w:val="0"/>
              <w:autoSpaceDN w:val="0"/>
              <w:adjustRightInd w:val="0"/>
              <w:jc w:val="left"/>
              <w:rPr>
                <w:rFonts w:ascii="楷体" w:hAnsi="楷体" w:eastAsia="楷体" w:cs="楷体"/>
                <w:bCs/>
                <w:color w:val="000000" w:themeColor="text1"/>
                <w:sz w:val="24"/>
              </w:rPr>
            </w:pPr>
            <w:r>
              <w:rPr>
                <w:rFonts w:hint="eastAsia" w:ascii="楷体" w:hAnsi="楷体" w:eastAsia="楷体" w:cs="楷体"/>
                <w:bCs/>
                <w:color w:val="000000" w:themeColor="text1"/>
                <w:sz w:val="24"/>
              </w:rPr>
              <w:t>保障性住房：</w:t>
            </w:r>
            <w:r>
              <w:rPr>
                <w:rFonts w:ascii="楷体" w:hAnsi="楷体" w:eastAsia="楷体" w:cs="楷体"/>
                <w:bCs/>
                <w:color w:val="000000" w:themeColor="text1"/>
                <w:sz w:val="24"/>
              </w:rPr>
              <w:t xml:space="preserve">是            </w:t>
            </w:r>
            <w:r>
              <w:rPr>
                <w:rFonts w:hint="eastAsia" w:ascii="楷体" w:hAnsi="楷体" w:eastAsia="楷体" w:cs="楷体"/>
                <w:bCs/>
                <w:color w:val="000000" w:themeColor="text1"/>
                <w:sz w:val="24"/>
              </w:rPr>
              <w:t>政府储备物资：</w:t>
            </w:r>
            <w:r>
              <w:rPr>
                <w:rFonts w:ascii="楷体" w:hAnsi="楷体" w:eastAsia="楷体" w:cs="楷体"/>
                <w:bCs/>
                <w:color w:val="000000" w:themeColor="text1"/>
                <w:sz w:val="24"/>
              </w:rPr>
              <w:t>是</w:t>
            </w:r>
          </w:p>
          <w:p w14:paraId="487879B4">
            <w:pPr>
              <w:autoSpaceDE w:val="0"/>
              <w:autoSpaceDN w:val="0"/>
              <w:adjustRightInd w:val="0"/>
              <w:jc w:val="left"/>
              <w:rPr>
                <w:rFonts w:ascii="楷体" w:hAnsi="楷体" w:eastAsia="楷体" w:cs="楷体"/>
                <w:bCs/>
                <w:color w:val="000000" w:themeColor="text1"/>
                <w:sz w:val="24"/>
              </w:rPr>
            </w:pPr>
            <w:r>
              <w:rPr>
                <w:rFonts w:hint="eastAsia" w:ascii="楷体" w:hAnsi="楷体" w:eastAsia="楷体" w:cs="楷体"/>
                <w:bCs/>
                <w:color w:val="000000" w:themeColor="text1"/>
                <w:sz w:val="24"/>
              </w:rPr>
              <w:t>国有文物文化资产：</w:t>
            </w:r>
            <w:r>
              <w:rPr>
                <w:rFonts w:ascii="楷体" w:hAnsi="楷体" w:eastAsia="楷体" w:cs="楷体"/>
                <w:bCs/>
                <w:color w:val="000000" w:themeColor="text1"/>
                <w:sz w:val="24"/>
              </w:rPr>
              <w:t>是</w:t>
            </w:r>
          </w:p>
        </w:tc>
      </w:tr>
      <w:tr w14:paraId="3306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3ACDF63D">
            <w:pPr>
              <w:widowControl/>
              <w:rPr>
                <w:b/>
                <w:bCs/>
                <w:color w:val="000000" w:themeColor="text1"/>
                <w:sz w:val="24"/>
              </w:rPr>
            </w:pPr>
            <w:r>
              <w:rPr>
                <w:rFonts w:hint="eastAsia"/>
                <w:b/>
                <w:bCs/>
                <w:color w:val="000000" w:themeColor="text1"/>
                <w:sz w:val="24"/>
              </w:rPr>
              <w:t>二、业务层面内部控制情况</w:t>
            </w:r>
          </w:p>
        </w:tc>
      </w:tr>
      <w:tr w14:paraId="36D7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5624C2AC">
            <w:pPr>
              <w:widowControl/>
              <w:rPr>
                <w:color w:val="000000" w:themeColor="text1"/>
                <w:sz w:val="24"/>
              </w:rPr>
            </w:pPr>
            <w:r>
              <w:rPr>
                <w:rFonts w:hint="eastAsia"/>
                <w:color w:val="000000" w:themeColor="text1"/>
                <w:sz w:val="24"/>
              </w:rPr>
              <w:t>（一）内部控制适用的业务领域</w:t>
            </w:r>
          </w:p>
        </w:tc>
      </w:tr>
      <w:tr w14:paraId="7E08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76B60D45">
            <w:pPr>
              <w:widowControl/>
              <w:rPr>
                <w:color w:val="000000" w:themeColor="text1"/>
                <w:sz w:val="24"/>
              </w:rPr>
            </w:pPr>
            <w:r>
              <w:rPr>
                <w:rFonts w:hint="eastAsia"/>
                <w:color w:val="000000" w:themeColor="text1"/>
                <w:sz w:val="24"/>
              </w:rPr>
              <w:t>1.内部控制适用的六大经济业务领域</w:t>
            </w:r>
          </w:p>
        </w:tc>
        <w:tc>
          <w:tcPr>
            <w:tcW w:w="4568" w:type="dxa"/>
            <w:gridSpan w:val="6"/>
            <w:noWrap/>
            <w:vAlign w:val="center"/>
          </w:tcPr>
          <w:p w14:paraId="3F76D3AC">
            <w:pPr>
              <w:widowControl/>
              <w:rPr>
                <w:rFonts w:ascii="楷体" w:hAnsi="楷体" w:eastAsia="楷体" w:cs="楷体"/>
                <w:bCs/>
                <w:color w:val="000000" w:themeColor="text1"/>
                <w:sz w:val="24"/>
              </w:rPr>
            </w:pPr>
            <w:r>
              <w:rPr>
                <w:rFonts w:ascii="楷体" w:hAnsi="楷体" w:eastAsia="楷体" w:cs="楷体"/>
                <w:bCs/>
                <w:color w:val="000000" w:themeColor="text1"/>
                <w:sz w:val="24"/>
              </w:rPr>
              <w:t>预算业务管理；收支业务管理；政府采购业务管理；国有资产业务管理；建设项目业务管理；合同业务管理；</w:t>
            </w:r>
          </w:p>
        </w:tc>
        <w:tc>
          <w:tcPr>
            <w:tcW w:w="3792" w:type="dxa"/>
            <w:gridSpan w:val="4"/>
            <w:noWrap/>
            <w:vAlign w:val="center"/>
          </w:tcPr>
          <w:p w14:paraId="639177E1">
            <w:pPr>
              <w:widowControl/>
              <w:rPr>
                <w:color w:val="000000" w:themeColor="text1"/>
                <w:sz w:val="24"/>
              </w:rPr>
            </w:pPr>
            <w:r>
              <w:rPr>
                <w:rFonts w:hint="eastAsia"/>
                <w:color w:val="000000" w:themeColor="text1"/>
                <w:sz w:val="24"/>
              </w:rPr>
              <w:t>2.内部控制适用的其他业务领域</w:t>
            </w:r>
          </w:p>
        </w:tc>
        <w:tc>
          <w:tcPr>
            <w:tcW w:w="3794" w:type="dxa"/>
            <w:gridSpan w:val="3"/>
            <w:noWrap/>
            <w:vAlign w:val="center"/>
          </w:tcPr>
          <w:p w14:paraId="3DDF3F8E">
            <w:pPr>
              <w:widowControl/>
              <w:rPr>
                <w:color w:val="000000" w:themeColor="text1"/>
                <w:sz w:val="24"/>
              </w:rPr>
            </w:pPr>
            <w:r>
              <w:rPr>
                <w:rFonts w:ascii="楷体" w:hAnsi="楷体" w:eastAsia="楷体" w:cs="楷体"/>
                <w:bCs/>
                <w:color w:val="000000" w:themeColor="text1"/>
                <w:sz w:val="24"/>
              </w:rPr>
              <w:t>无</w:t>
            </w:r>
          </w:p>
        </w:tc>
      </w:tr>
      <w:tr w14:paraId="3FA6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06A1C4F9">
            <w:pPr>
              <w:widowControl/>
              <w:rPr>
                <w:color w:val="000000" w:themeColor="text1"/>
                <w:sz w:val="24"/>
              </w:rPr>
            </w:pPr>
            <w:r>
              <w:rPr>
                <w:rFonts w:hint="eastAsia"/>
                <w:color w:val="000000" w:themeColor="text1"/>
                <w:sz w:val="24"/>
              </w:rPr>
              <w:t>（二）内部控制业务工作职责分离情况</w:t>
            </w:r>
          </w:p>
        </w:tc>
      </w:tr>
      <w:tr w14:paraId="4FA3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5E370F8C">
            <w:pPr>
              <w:widowControl/>
              <w:jc w:val="left"/>
              <w:rPr>
                <w:color w:val="000000" w:themeColor="text1"/>
                <w:sz w:val="24"/>
              </w:rPr>
            </w:pPr>
            <w:r>
              <w:rPr>
                <w:rFonts w:hint="eastAsia"/>
                <w:color w:val="000000" w:themeColor="text1"/>
                <w:sz w:val="24"/>
              </w:rPr>
              <w:t>1.预算业务管理</w:t>
            </w:r>
          </w:p>
        </w:tc>
        <w:tc>
          <w:tcPr>
            <w:tcW w:w="12154" w:type="dxa"/>
            <w:gridSpan w:val="13"/>
            <w:vAlign w:val="center"/>
          </w:tcPr>
          <w:p w14:paraId="12607502">
            <w:pPr>
              <w:widowControl/>
              <w:rPr>
                <w:rFonts w:ascii="楷体" w:hAnsi="楷体" w:eastAsia="楷体" w:cs="楷体"/>
                <w:bCs/>
                <w:color w:val="000000" w:themeColor="text1"/>
                <w:sz w:val="24"/>
              </w:rPr>
            </w:pPr>
            <w:r>
              <w:rPr>
                <w:rFonts w:ascii="楷体" w:hAnsi="楷体" w:eastAsia="楷体" w:cs="楷体"/>
                <w:bCs/>
                <w:color w:val="000000" w:themeColor="text1"/>
                <w:sz w:val="24"/>
              </w:rPr>
              <w:t>预算编制与审核分离；预算审批与执行分离；预算执行与分析分离；决算编制与审核分离；</w:t>
            </w:r>
          </w:p>
        </w:tc>
      </w:tr>
      <w:tr w14:paraId="4D6B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572BE264">
            <w:pPr>
              <w:widowControl/>
              <w:jc w:val="left"/>
              <w:rPr>
                <w:color w:val="000000" w:themeColor="text1"/>
                <w:sz w:val="24"/>
              </w:rPr>
            </w:pPr>
            <w:r>
              <w:rPr>
                <w:rFonts w:hint="eastAsia"/>
                <w:color w:val="000000" w:themeColor="text1"/>
                <w:sz w:val="24"/>
              </w:rPr>
              <w:t>2.收支业务管理</w:t>
            </w:r>
          </w:p>
        </w:tc>
        <w:tc>
          <w:tcPr>
            <w:tcW w:w="12154" w:type="dxa"/>
            <w:gridSpan w:val="13"/>
            <w:vAlign w:val="center"/>
          </w:tcPr>
          <w:p w14:paraId="70EA74FD">
            <w:pPr>
              <w:widowControl/>
              <w:rPr>
                <w:rFonts w:ascii="楷体" w:hAnsi="楷体" w:eastAsia="楷体" w:cs="楷体"/>
                <w:bCs/>
                <w:color w:val="000000" w:themeColor="text1"/>
                <w:sz w:val="24"/>
              </w:rPr>
            </w:pPr>
            <w:r>
              <w:rPr>
                <w:rFonts w:ascii="楷体" w:hAnsi="楷体" w:eastAsia="楷体" w:cs="楷体"/>
                <w:bCs/>
                <w:color w:val="000000" w:themeColor="text1"/>
                <w:sz w:val="24"/>
              </w:rPr>
              <w:t>收款与会计核算分离；支出申请与审批分离；支出审批与付款分离；业务经办与会计核算分离；</w:t>
            </w:r>
          </w:p>
        </w:tc>
      </w:tr>
      <w:tr w14:paraId="323F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177D1694">
            <w:pPr>
              <w:widowControl/>
              <w:jc w:val="left"/>
              <w:rPr>
                <w:color w:val="000000" w:themeColor="text1"/>
                <w:sz w:val="24"/>
              </w:rPr>
            </w:pPr>
            <w:r>
              <w:rPr>
                <w:rFonts w:hint="eastAsia"/>
                <w:color w:val="000000" w:themeColor="text1"/>
                <w:sz w:val="24"/>
              </w:rPr>
              <w:t>3.政府采购业务管理</w:t>
            </w:r>
          </w:p>
        </w:tc>
        <w:tc>
          <w:tcPr>
            <w:tcW w:w="12154" w:type="dxa"/>
            <w:gridSpan w:val="13"/>
            <w:vAlign w:val="center"/>
          </w:tcPr>
          <w:p w14:paraId="145C452A">
            <w:pPr>
              <w:widowControl/>
              <w:rPr>
                <w:rFonts w:ascii="楷体" w:hAnsi="楷体" w:eastAsia="楷体" w:cs="楷体"/>
                <w:bCs/>
                <w:color w:val="000000" w:themeColor="text1"/>
                <w:sz w:val="24"/>
              </w:rPr>
            </w:pPr>
            <w:r>
              <w:rPr>
                <w:rFonts w:ascii="楷体" w:hAnsi="楷体" w:eastAsia="楷体" w:cs="楷体"/>
                <w:bCs/>
                <w:color w:val="000000" w:themeColor="text1"/>
                <w:sz w:val="24"/>
              </w:rPr>
              <w:t>采购需求提出与审核分离；采购方式确定与审核分离；采购执行与验收分离；采购验收与登记分离；</w:t>
            </w:r>
          </w:p>
        </w:tc>
      </w:tr>
      <w:tr w14:paraId="19E6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2F2388E2">
            <w:pPr>
              <w:widowControl/>
              <w:jc w:val="left"/>
              <w:rPr>
                <w:color w:val="000000" w:themeColor="text1"/>
                <w:sz w:val="24"/>
              </w:rPr>
            </w:pPr>
            <w:r>
              <w:rPr>
                <w:rFonts w:hint="eastAsia"/>
                <w:color w:val="000000" w:themeColor="text1"/>
                <w:sz w:val="24"/>
              </w:rPr>
              <w:t>4.国有资产业务管理</w:t>
            </w:r>
          </w:p>
        </w:tc>
        <w:tc>
          <w:tcPr>
            <w:tcW w:w="12154" w:type="dxa"/>
            <w:gridSpan w:val="13"/>
            <w:vAlign w:val="center"/>
          </w:tcPr>
          <w:p w14:paraId="52A24647">
            <w:pPr>
              <w:widowControl/>
              <w:rPr>
                <w:rFonts w:ascii="楷体" w:hAnsi="楷体" w:eastAsia="楷体" w:cs="楷体"/>
                <w:bCs/>
                <w:color w:val="000000" w:themeColor="text1"/>
                <w:sz w:val="24"/>
              </w:rPr>
            </w:pPr>
            <w:r>
              <w:rPr>
                <w:rFonts w:ascii="楷体" w:hAnsi="楷体" w:eastAsia="楷体" w:cs="楷体"/>
                <w:bCs/>
                <w:color w:val="000000" w:themeColor="text1"/>
                <w:sz w:val="24"/>
              </w:rPr>
              <w:t>货币资金保管、稽核与账目登记分离；资产财务账与实物账分离；资产保管与清查分离；对外投资立项申报与审核不适用；</w:t>
            </w:r>
          </w:p>
        </w:tc>
      </w:tr>
      <w:tr w14:paraId="2FAB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40C26549">
            <w:pPr>
              <w:widowControl/>
              <w:jc w:val="left"/>
              <w:rPr>
                <w:color w:val="000000" w:themeColor="text1"/>
                <w:sz w:val="24"/>
              </w:rPr>
            </w:pPr>
            <w:r>
              <w:rPr>
                <w:rFonts w:hint="eastAsia"/>
                <w:color w:val="000000" w:themeColor="text1"/>
                <w:sz w:val="24"/>
              </w:rPr>
              <w:t>5.建设项目业务管理</w:t>
            </w:r>
          </w:p>
        </w:tc>
        <w:tc>
          <w:tcPr>
            <w:tcW w:w="12154" w:type="dxa"/>
            <w:gridSpan w:val="13"/>
            <w:vAlign w:val="center"/>
          </w:tcPr>
          <w:p w14:paraId="3B43435E">
            <w:pPr>
              <w:widowControl/>
              <w:rPr>
                <w:rFonts w:ascii="楷体" w:hAnsi="楷体" w:eastAsia="楷体" w:cs="楷体"/>
                <w:bCs/>
                <w:color w:val="000000" w:themeColor="text1"/>
                <w:sz w:val="24"/>
              </w:rPr>
            </w:pPr>
            <w:r>
              <w:rPr>
                <w:rFonts w:ascii="楷体" w:hAnsi="楷体" w:eastAsia="楷体" w:cs="楷体"/>
                <w:bCs/>
                <w:color w:val="000000" w:themeColor="text1"/>
                <w:sz w:val="24"/>
              </w:rPr>
              <w:t>项目立项申请与审核分离；概预算编制与审核分离；项目实施与价款支付分离；竣工决算与审计分离；</w:t>
            </w:r>
          </w:p>
        </w:tc>
      </w:tr>
      <w:tr w14:paraId="03C4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06801AD2">
            <w:pPr>
              <w:widowControl/>
              <w:jc w:val="left"/>
              <w:rPr>
                <w:color w:val="000000" w:themeColor="text1"/>
                <w:sz w:val="24"/>
              </w:rPr>
            </w:pPr>
            <w:r>
              <w:rPr>
                <w:rFonts w:hint="eastAsia"/>
                <w:color w:val="000000" w:themeColor="text1"/>
                <w:sz w:val="24"/>
              </w:rPr>
              <w:t>6.合同业务管理</w:t>
            </w:r>
          </w:p>
        </w:tc>
        <w:tc>
          <w:tcPr>
            <w:tcW w:w="12154" w:type="dxa"/>
            <w:gridSpan w:val="13"/>
            <w:vAlign w:val="center"/>
          </w:tcPr>
          <w:p w14:paraId="19154698">
            <w:pPr>
              <w:widowControl/>
              <w:rPr>
                <w:rFonts w:ascii="楷体" w:hAnsi="楷体" w:eastAsia="楷体" w:cs="楷体"/>
                <w:bCs/>
                <w:color w:val="000000" w:themeColor="text1"/>
                <w:sz w:val="24"/>
              </w:rPr>
            </w:pPr>
            <w:r>
              <w:rPr>
                <w:rFonts w:ascii="楷体" w:hAnsi="楷体" w:eastAsia="楷体" w:cs="楷体"/>
                <w:bCs/>
                <w:color w:val="000000" w:themeColor="text1"/>
                <w:sz w:val="24"/>
              </w:rPr>
              <w:t>合同的拟订与审核分离；合同文本订立与合同章管理分离；合同订立与登记台账分离；合同执行与监督分离；</w:t>
            </w:r>
          </w:p>
        </w:tc>
      </w:tr>
      <w:tr w14:paraId="7FB5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77CBD752">
            <w:pPr>
              <w:widowControl/>
              <w:rPr>
                <w:color w:val="000000" w:themeColor="text1"/>
                <w:sz w:val="24"/>
              </w:rPr>
            </w:pPr>
            <w:r>
              <w:rPr>
                <w:rFonts w:hint="eastAsia"/>
                <w:color w:val="000000" w:themeColor="text1"/>
                <w:sz w:val="24"/>
              </w:rPr>
              <w:t>（三）内部控制业务轮岗情况</w:t>
            </w:r>
          </w:p>
        </w:tc>
      </w:tr>
      <w:tr w14:paraId="2429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55B44A78">
            <w:pPr>
              <w:widowControl/>
              <w:jc w:val="left"/>
              <w:rPr>
                <w:color w:val="000000" w:themeColor="text1"/>
                <w:sz w:val="24"/>
              </w:rPr>
            </w:pPr>
            <w:r>
              <w:rPr>
                <w:rFonts w:hint="eastAsia"/>
                <w:color w:val="000000" w:themeColor="text1"/>
                <w:sz w:val="24"/>
              </w:rPr>
              <w:t>1.预算业务管理</w:t>
            </w:r>
          </w:p>
        </w:tc>
        <w:tc>
          <w:tcPr>
            <w:tcW w:w="12154" w:type="dxa"/>
            <w:gridSpan w:val="13"/>
            <w:vAlign w:val="center"/>
          </w:tcPr>
          <w:p w14:paraId="0591CD6E">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轮岗周期内已轮岗</w:t>
            </w:r>
          </w:p>
        </w:tc>
      </w:tr>
      <w:tr w14:paraId="4451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244552A1">
            <w:pPr>
              <w:widowControl/>
              <w:jc w:val="left"/>
              <w:rPr>
                <w:color w:val="000000" w:themeColor="text1"/>
                <w:sz w:val="24"/>
              </w:rPr>
            </w:pPr>
            <w:r>
              <w:rPr>
                <w:rFonts w:hint="eastAsia"/>
                <w:color w:val="000000" w:themeColor="text1"/>
                <w:sz w:val="24"/>
              </w:rPr>
              <w:t>2.收支业务管理</w:t>
            </w:r>
          </w:p>
        </w:tc>
        <w:tc>
          <w:tcPr>
            <w:tcW w:w="12154" w:type="dxa"/>
            <w:gridSpan w:val="13"/>
            <w:vAlign w:val="center"/>
          </w:tcPr>
          <w:p w14:paraId="50E51C1D">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轮岗周期内已轮岗</w:t>
            </w:r>
          </w:p>
        </w:tc>
      </w:tr>
      <w:tr w14:paraId="431A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2F95FBCA">
            <w:pPr>
              <w:widowControl/>
              <w:jc w:val="left"/>
              <w:rPr>
                <w:color w:val="000000" w:themeColor="text1"/>
                <w:sz w:val="24"/>
              </w:rPr>
            </w:pPr>
            <w:r>
              <w:rPr>
                <w:rFonts w:hint="eastAsia"/>
                <w:color w:val="000000" w:themeColor="text1"/>
                <w:sz w:val="24"/>
              </w:rPr>
              <w:t>3.政府采购业务管理</w:t>
            </w:r>
          </w:p>
        </w:tc>
        <w:tc>
          <w:tcPr>
            <w:tcW w:w="12154" w:type="dxa"/>
            <w:gridSpan w:val="13"/>
            <w:vAlign w:val="center"/>
          </w:tcPr>
          <w:p w14:paraId="045A80FA">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轮岗周期内已轮岗</w:t>
            </w:r>
          </w:p>
        </w:tc>
      </w:tr>
      <w:tr w14:paraId="67C0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42CAA152">
            <w:pPr>
              <w:widowControl/>
              <w:jc w:val="left"/>
              <w:rPr>
                <w:color w:val="000000" w:themeColor="text1"/>
                <w:sz w:val="24"/>
              </w:rPr>
            </w:pPr>
            <w:r>
              <w:rPr>
                <w:rFonts w:hint="eastAsia"/>
                <w:color w:val="000000" w:themeColor="text1"/>
                <w:sz w:val="24"/>
              </w:rPr>
              <w:t>4.国有资产业务管理</w:t>
            </w:r>
          </w:p>
        </w:tc>
        <w:tc>
          <w:tcPr>
            <w:tcW w:w="12154" w:type="dxa"/>
            <w:gridSpan w:val="13"/>
            <w:vAlign w:val="center"/>
          </w:tcPr>
          <w:p w14:paraId="13986F11">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轮岗周期内已轮岗</w:t>
            </w:r>
          </w:p>
        </w:tc>
      </w:tr>
      <w:tr w14:paraId="3E7F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4363AD32">
            <w:pPr>
              <w:widowControl/>
              <w:jc w:val="left"/>
              <w:rPr>
                <w:color w:val="000000" w:themeColor="text1"/>
                <w:sz w:val="24"/>
              </w:rPr>
            </w:pPr>
            <w:r>
              <w:rPr>
                <w:rFonts w:hint="eastAsia"/>
                <w:color w:val="000000" w:themeColor="text1"/>
                <w:sz w:val="24"/>
              </w:rPr>
              <w:t>5.建设项目业务管理</w:t>
            </w:r>
          </w:p>
        </w:tc>
        <w:tc>
          <w:tcPr>
            <w:tcW w:w="12154" w:type="dxa"/>
            <w:gridSpan w:val="13"/>
            <w:vAlign w:val="center"/>
          </w:tcPr>
          <w:p w14:paraId="6C9DB340">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轮岗周期内已轮岗</w:t>
            </w:r>
          </w:p>
        </w:tc>
      </w:tr>
      <w:tr w14:paraId="2972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1470C953">
            <w:pPr>
              <w:widowControl/>
              <w:jc w:val="left"/>
              <w:rPr>
                <w:color w:val="000000" w:themeColor="text1"/>
                <w:sz w:val="24"/>
              </w:rPr>
            </w:pPr>
            <w:r>
              <w:rPr>
                <w:rFonts w:hint="eastAsia"/>
                <w:color w:val="000000" w:themeColor="text1"/>
                <w:sz w:val="24"/>
              </w:rPr>
              <w:t>6.合同业务管理</w:t>
            </w:r>
          </w:p>
        </w:tc>
        <w:tc>
          <w:tcPr>
            <w:tcW w:w="12154" w:type="dxa"/>
            <w:gridSpan w:val="13"/>
            <w:vAlign w:val="center"/>
          </w:tcPr>
          <w:p w14:paraId="4B99C5CE">
            <w:pPr>
              <w:widowControl/>
              <w:rPr>
                <w:rFonts w:ascii="楷体" w:hAnsi="楷体" w:eastAsia="楷体" w:cs="楷体"/>
                <w:bCs/>
                <w:color w:val="000000" w:themeColor="text1"/>
                <w:sz w:val="24"/>
              </w:rPr>
            </w:pPr>
            <w:r>
              <w:rPr>
                <w:rFonts w:hint="eastAsia" w:ascii="楷体" w:hAnsi="楷体" w:eastAsia="楷体" w:cs="楷体"/>
                <w:bCs/>
                <w:color w:val="000000" w:themeColor="text1"/>
                <w:sz w:val="24"/>
              </w:rPr>
              <w:t>轮岗周期内已轮岗</w:t>
            </w:r>
          </w:p>
        </w:tc>
      </w:tr>
      <w:tr w14:paraId="2F59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218F24EC">
            <w:pPr>
              <w:widowControl/>
              <w:rPr>
                <w:color w:val="000000" w:themeColor="text1"/>
                <w:sz w:val="24"/>
              </w:rPr>
            </w:pPr>
            <w:r>
              <w:rPr>
                <w:rFonts w:hint="eastAsia" w:asciiTheme="minorEastAsia" w:hAnsiTheme="minorEastAsia" w:eastAsiaTheme="minorEastAsia"/>
                <w:color w:val="000000" w:themeColor="text1"/>
                <w:sz w:val="24"/>
              </w:rPr>
              <w:t>（四）建立健全内部控制制度情况</w:t>
            </w:r>
          </w:p>
        </w:tc>
      </w:tr>
      <w:tr w14:paraId="72C8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328" w:type="dxa"/>
            <w:noWrap/>
            <w:vAlign w:val="center"/>
          </w:tcPr>
          <w:p w14:paraId="3C9FCB05">
            <w:pPr>
              <w:widowControl/>
              <w:jc w:val="center"/>
              <w:rPr>
                <w:b/>
                <w:bCs/>
                <w:color w:val="000000" w:themeColor="text1"/>
                <w:sz w:val="24"/>
              </w:rPr>
            </w:pPr>
            <w:r>
              <w:rPr>
                <w:rFonts w:hint="eastAsia"/>
                <w:b/>
                <w:bCs/>
                <w:color w:val="000000" w:themeColor="text1"/>
                <w:sz w:val="24"/>
              </w:rPr>
              <w:t>业务类型</w:t>
            </w:r>
          </w:p>
        </w:tc>
        <w:tc>
          <w:tcPr>
            <w:tcW w:w="3164" w:type="dxa"/>
            <w:gridSpan w:val="5"/>
            <w:vAlign w:val="center"/>
          </w:tcPr>
          <w:p w14:paraId="13CA78DC">
            <w:pPr>
              <w:widowControl/>
              <w:jc w:val="center"/>
              <w:rPr>
                <w:b/>
                <w:bCs/>
                <w:color w:val="000000" w:themeColor="text1"/>
                <w:sz w:val="24"/>
              </w:rPr>
            </w:pPr>
            <w:r>
              <w:rPr>
                <w:rFonts w:hint="eastAsia"/>
                <w:b/>
                <w:bCs/>
                <w:color w:val="000000" w:themeColor="text1"/>
                <w:sz w:val="24"/>
              </w:rPr>
              <w:t>环节（类别）</w:t>
            </w:r>
          </w:p>
        </w:tc>
        <w:tc>
          <w:tcPr>
            <w:tcW w:w="1432" w:type="dxa"/>
            <w:gridSpan w:val="2"/>
            <w:vAlign w:val="center"/>
          </w:tcPr>
          <w:p w14:paraId="029170E9">
            <w:pPr>
              <w:widowControl/>
              <w:jc w:val="center"/>
              <w:rPr>
                <w:b/>
                <w:bCs/>
                <w:color w:val="000000" w:themeColor="text1"/>
                <w:sz w:val="24"/>
              </w:rPr>
            </w:pPr>
            <w:r>
              <w:rPr>
                <w:rFonts w:hint="eastAsia"/>
                <w:b/>
                <w:bCs/>
                <w:color w:val="000000" w:themeColor="text1"/>
                <w:sz w:val="24"/>
              </w:rPr>
              <w:t>是否适用</w:t>
            </w:r>
          </w:p>
        </w:tc>
        <w:tc>
          <w:tcPr>
            <w:tcW w:w="2202" w:type="dxa"/>
            <w:gridSpan w:val="3"/>
            <w:vAlign w:val="center"/>
          </w:tcPr>
          <w:p w14:paraId="0CC95BC6">
            <w:pPr>
              <w:widowControl/>
              <w:jc w:val="center"/>
              <w:rPr>
                <w:b/>
                <w:bCs/>
                <w:color w:val="000000" w:themeColor="text1"/>
                <w:sz w:val="24"/>
              </w:rPr>
            </w:pPr>
            <w:r>
              <w:rPr>
                <w:rFonts w:hint="eastAsia"/>
                <w:b/>
                <w:bCs/>
                <w:color w:val="000000" w:themeColor="text1"/>
                <w:sz w:val="24"/>
              </w:rPr>
              <w:t>是否已建立制度和流程图</w:t>
            </w:r>
          </w:p>
        </w:tc>
        <w:tc>
          <w:tcPr>
            <w:tcW w:w="2202" w:type="dxa"/>
            <w:vAlign w:val="center"/>
          </w:tcPr>
          <w:p w14:paraId="1B956A78">
            <w:pPr>
              <w:widowControl/>
              <w:jc w:val="center"/>
              <w:rPr>
                <w:b/>
                <w:bCs/>
                <w:color w:val="000000" w:themeColor="text1"/>
                <w:sz w:val="24"/>
              </w:rPr>
            </w:pPr>
            <w:r>
              <w:rPr>
                <w:rFonts w:hint="eastAsia"/>
                <w:b/>
                <w:bCs/>
                <w:color w:val="000000" w:themeColor="text1"/>
                <w:sz w:val="24"/>
              </w:rPr>
              <w:t>本年是否更新</w:t>
            </w:r>
          </w:p>
        </w:tc>
        <w:tc>
          <w:tcPr>
            <w:tcW w:w="3842" w:type="dxa"/>
            <w:gridSpan w:val="4"/>
            <w:vAlign w:val="center"/>
          </w:tcPr>
          <w:p w14:paraId="3AF2A54C">
            <w:pPr>
              <w:widowControl/>
              <w:jc w:val="center"/>
              <w:rPr>
                <w:b/>
                <w:bCs/>
                <w:color w:val="000000" w:themeColor="text1"/>
                <w:sz w:val="24"/>
              </w:rPr>
            </w:pPr>
            <w:r>
              <w:rPr>
                <w:rFonts w:hint="eastAsia"/>
                <w:b/>
                <w:bCs/>
                <w:color w:val="000000" w:themeColor="text1"/>
                <w:sz w:val="24"/>
              </w:rPr>
              <w:t>制度关键管控点</w:t>
            </w:r>
          </w:p>
        </w:tc>
      </w:tr>
      <w:tr w14:paraId="0755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restart"/>
            <w:noWrap/>
            <w:vAlign w:val="center"/>
          </w:tcPr>
          <w:p w14:paraId="049084BE">
            <w:pPr>
              <w:widowControl/>
              <w:jc w:val="left"/>
              <w:rPr>
                <w:color w:val="000000" w:themeColor="text1"/>
                <w:sz w:val="24"/>
              </w:rPr>
            </w:pPr>
            <w:r>
              <w:rPr>
                <w:rFonts w:hint="eastAsia"/>
                <w:color w:val="000000" w:themeColor="text1"/>
                <w:sz w:val="24"/>
              </w:rPr>
              <w:t>预算业务管理</w:t>
            </w:r>
          </w:p>
        </w:tc>
        <w:tc>
          <w:tcPr>
            <w:tcW w:w="3164" w:type="dxa"/>
            <w:gridSpan w:val="5"/>
            <w:vAlign w:val="center"/>
          </w:tcPr>
          <w:p w14:paraId="5D1D4AC7">
            <w:pPr>
              <w:widowControl/>
              <w:rPr>
                <w:color w:val="000000" w:themeColor="text1"/>
                <w:sz w:val="24"/>
              </w:rPr>
            </w:pPr>
            <w:r>
              <w:rPr>
                <w:rFonts w:hint="eastAsia" w:asciiTheme="minorEastAsia" w:hAnsiTheme="minorEastAsia" w:eastAsiaTheme="minorEastAsia"/>
                <w:sz w:val="24"/>
              </w:rPr>
              <w:t>1.预算编制与审核</w:t>
            </w:r>
          </w:p>
        </w:tc>
        <w:tc>
          <w:tcPr>
            <w:tcW w:w="1432" w:type="dxa"/>
            <w:gridSpan w:val="2"/>
            <w:vAlign w:val="center"/>
          </w:tcPr>
          <w:p w14:paraId="1C588DBC">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177A9B2B">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7A1FC868">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70A8B363">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0913398E">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1BEECC17">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1.单位预算项目库入库标准与动态管理;2.单位预算编制主体、程序及标准;3.单位重大或新增预算项目评审程序</w:t>
            </w:r>
          </w:p>
        </w:tc>
      </w:tr>
      <w:tr w14:paraId="19CC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2C4D2D20">
            <w:pPr>
              <w:widowControl/>
            </w:pPr>
          </w:p>
        </w:tc>
        <w:tc>
          <w:tcPr>
            <w:tcW w:w="3164" w:type="dxa"/>
            <w:gridSpan w:val="5"/>
            <w:vAlign w:val="center"/>
          </w:tcPr>
          <w:p w14:paraId="1E1409A9">
            <w:pPr>
              <w:widowControl/>
              <w:rPr>
                <w:color w:val="000000" w:themeColor="text1"/>
                <w:sz w:val="24"/>
              </w:rPr>
            </w:pPr>
            <w:r>
              <w:rPr>
                <w:rFonts w:hint="eastAsia" w:asciiTheme="minorEastAsia" w:hAnsiTheme="minorEastAsia" w:eastAsiaTheme="minorEastAsia"/>
                <w:sz w:val="24"/>
              </w:rPr>
              <w:t>2.预算执行与调整</w:t>
            </w:r>
          </w:p>
        </w:tc>
        <w:tc>
          <w:tcPr>
            <w:tcW w:w="1432" w:type="dxa"/>
            <w:gridSpan w:val="2"/>
            <w:vAlign w:val="center"/>
          </w:tcPr>
          <w:p w14:paraId="6B519848">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7890391F">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2FB10C2A">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3FF1A27A">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2808499C">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6E825656">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1.单位预算执行分析次数、内容及结果应用;2.单位预算调整主体、程序及标准</w:t>
            </w:r>
          </w:p>
          <w:p w14:paraId="07DD0A9C">
            <w:pPr>
              <w:autoSpaceDE w:val="0"/>
              <w:autoSpaceDN w:val="0"/>
              <w:adjustRightInd w:val="0"/>
              <w:rPr>
                <w:rFonts w:ascii="楷体" w:hAnsi="楷体" w:eastAsia="楷体" w:cs="楷体"/>
                <w:bCs/>
                <w:color w:val="000000" w:themeColor="text1"/>
                <w:sz w:val="24"/>
              </w:rPr>
            </w:pPr>
          </w:p>
        </w:tc>
      </w:tr>
      <w:tr w14:paraId="5EFC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4510FDE1">
            <w:pPr>
              <w:widowControl/>
              <w:rPr>
                <w:color w:val="000000" w:themeColor="text1"/>
                <w:sz w:val="24"/>
              </w:rPr>
            </w:pPr>
          </w:p>
        </w:tc>
        <w:tc>
          <w:tcPr>
            <w:tcW w:w="3164" w:type="dxa"/>
            <w:gridSpan w:val="5"/>
            <w:vAlign w:val="center"/>
          </w:tcPr>
          <w:p w14:paraId="4C646586">
            <w:pPr>
              <w:widowControl/>
              <w:rPr>
                <w:color w:val="000000" w:themeColor="text1"/>
                <w:sz w:val="24"/>
              </w:rPr>
            </w:pPr>
            <w:r>
              <w:rPr>
                <w:rFonts w:hint="eastAsia" w:asciiTheme="minorEastAsia" w:hAnsiTheme="minorEastAsia" w:eastAsiaTheme="minorEastAsia"/>
                <w:sz w:val="24"/>
              </w:rPr>
              <w:t>3.决算管理</w:t>
            </w:r>
          </w:p>
        </w:tc>
        <w:tc>
          <w:tcPr>
            <w:tcW w:w="1432" w:type="dxa"/>
            <w:gridSpan w:val="2"/>
            <w:vAlign w:val="center"/>
          </w:tcPr>
          <w:p w14:paraId="2965265E">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1028477F">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41C3038B">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789130A2">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167B8DB9">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6FD37FC9">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1.单位决算编制主体、程序及标准;2.单位决算分析报告内容与应用机制</w:t>
            </w:r>
          </w:p>
        </w:tc>
      </w:tr>
      <w:tr w14:paraId="0D79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17E38824">
            <w:pPr>
              <w:widowControl/>
              <w:rPr>
                <w:color w:val="000000" w:themeColor="text1"/>
                <w:sz w:val="24"/>
              </w:rPr>
            </w:pPr>
          </w:p>
        </w:tc>
        <w:tc>
          <w:tcPr>
            <w:tcW w:w="3164" w:type="dxa"/>
            <w:gridSpan w:val="5"/>
            <w:vAlign w:val="center"/>
          </w:tcPr>
          <w:p w14:paraId="411D9541">
            <w:pPr>
              <w:widowControl/>
              <w:rPr>
                <w:rFonts w:eastAsiaTheme="minorEastAsia"/>
                <w:color w:val="000000" w:themeColor="text1"/>
                <w:sz w:val="24"/>
              </w:rPr>
            </w:pPr>
            <w:r>
              <w:rPr>
                <w:rFonts w:hint="eastAsia" w:asciiTheme="minorEastAsia" w:hAnsiTheme="minorEastAsia" w:eastAsiaTheme="minorEastAsia"/>
                <w:sz w:val="24"/>
              </w:rPr>
              <w:t>4.绩效管理</w:t>
            </w:r>
          </w:p>
        </w:tc>
        <w:tc>
          <w:tcPr>
            <w:tcW w:w="1432" w:type="dxa"/>
            <w:gridSpan w:val="2"/>
            <w:vAlign w:val="center"/>
          </w:tcPr>
          <w:p w14:paraId="2319AEAF">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12DC2AC5">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0A479630">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3B0AED01">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6DA64DBA">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6A9F2031">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2.单位预算项目绩效执行主体、程序及标准;3.单位预算项目绩效运行监控;4.单位绩效评价主体、程序及结果应用;1.单位预算绩效目标编制与审核，项目预算绩效目标编制与审核</w:t>
            </w:r>
          </w:p>
        </w:tc>
      </w:tr>
      <w:tr w14:paraId="724D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restart"/>
            <w:noWrap/>
            <w:vAlign w:val="center"/>
          </w:tcPr>
          <w:p w14:paraId="64D9C8C5">
            <w:pPr>
              <w:widowControl/>
              <w:jc w:val="left"/>
              <w:rPr>
                <w:color w:val="000000" w:themeColor="text1"/>
                <w:sz w:val="24"/>
              </w:rPr>
            </w:pPr>
            <w:r>
              <w:rPr>
                <w:rFonts w:hint="eastAsia"/>
                <w:color w:val="000000" w:themeColor="text1"/>
                <w:sz w:val="24"/>
              </w:rPr>
              <w:t>收支业务管理</w:t>
            </w:r>
          </w:p>
        </w:tc>
        <w:tc>
          <w:tcPr>
            <w:tcW w:w="3164" w:type="dxa"/>
            <w:gridSpan w:val="5"/>
            <w:vAlign w:val="center"/>
          </w:tcPr>
          <w:p w14:paraId="460F3629">
            <w:pPr>
              <w:widowControl/>
              <w:rPr>
                <w:color w:val="000000" w:themeColor="text1"/>
                <w:sz w:val="24"/>
              </w:rPr>
            </w:pPr>
            <w:r>
              <w:rPr>
                <w:rFonts w:hint="eastAsia" w:asciiTheme="minorEastAsia" w:hAnsiTheme="minorEastAsia" w:eastAsiaTheme="minorEastAsia"/>
                <w:sz w:val="24"/>
              </w:rPr>
              <w:t>1.收入管理</w:t>
            </w:r>
          </w:p>
        </w:tc>
        <w:tc>
          <w:tcPr>
            <w:tcW w:w="1432" w:type="dxa"/>
            <w:gridSpan w:val="2"/>
            <w:vAlign w:val="center"/>
          </w:tcPr>
          <w:p w14:paraId="5226CF34">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165957CC">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7A4748B8">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588EE9FA">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17B5EFB0">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03CC9586">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1.单位财政收入种类与收缴管理</w:t>
            </w:r>
          </w:p>
        </w:tc>
      </w:tr>
      <w:tr w14:paraId="0549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 w:hRule="atLeast"/>
          <w:jc w:val="center"/>
        </w:trPr>
        <w:tc>
          <w:tcPr>
            <w:tcW w:w="2328" w:type="dxa"/>
            <w:vMerge w:val="continue"/>
            <w:noWrap/>
            <w:vAlign w:val="center"/>
          </w:tcPr>
          <w:p w14:paraId="0C3EA447">
            <w:pPr>
              <w:widowControl/>
            </w:pPr>
          </w:p>
        </w:tc>
        <w:tc>
          <w:tcPr>
            <w:tcW w:w="3164" w:type="dxa"/>
            <w:gridSpan w:val="5"/>
            <w:vAlign w:val="center"/>
          </w:tcPr>
          <w:p w14:paraId="6732AF2E">
            <w:pPr>
              <w:widowControl/>
              <w:rPr>
                <w:color w:val="000000" w:themeColor="text1"/>
                <w:sz w:val="24"/>
              </w:rPr>
            </w:pPr>
            <w:r>
              <w:rPr>
                <w:rFonts w:hint="eastAsia" w:asciiTheme="minorEastAsia" w:hAnsiTheme="minorEastAsia" w:eastAsiaTheme="minorEastAsia"/>
                <w:sz w:val="24"/>
              </w:rPr>
              <w:t>2.财政票据管理</w:t>
            </w:r>
          </w:p>
        </w:tc>
        <w:tc>
          <w:tcPr>
            <w:tcW w:w="1432" w:type="dxa"/>
            <w:gridSpan w:val="2"/>
            <w:vAlign w:val="center"/>
          </w:tcPr>
          <w:p w14:paraId="3FBFCF9D">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303A0EC9">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64901A27">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7EF3270F">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34CA873B">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781F677D">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1.单位财政票据申领、使用保管及核销</w:t>
            </w:r>
          </w:p>
        </w:tc>
      </w:tr>
      <w:tr w14:paraId="5FBF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7A795CAB">
            <w:pPr>
              <w:widowControl/>
              <w:rPr>
                <w:color w:val="000000" w:themeColor="text1"/>
                <w:sz w:val="24"/>
              </w:rPr>
            </w:pPr>
          </w:p>
        </w:tc>
        <w:tc>
          <w:tcPr>
            <w:tcW w:w="3164" w:type="dxa"/>
            <w:gridSpan w:val="5"/>
            <w:vAlign w:val="center"/>
          </w:tcPr>
          <w:p w14:paraId="4EE82525">
            <w:pPr>
              <w:widowControl/>
              <w:rPr>
                <w:color w:val="000000" w:themeColor="text1"/>
                <w:sz w:val="24"/>
              </w:rPr>
            </w:pPr>
            <w:r>
              <w:rPr>
                <w:rFonts w:hint="eastAsia" w:asciiTheme="minorEastAsia" w:hAnsiTheme="minorEastAsia" w:eastAsiaTheme="minorEastAsia"/>
                <w:sz w:val="24"/>
              </w:rPr>
              <w:t>3.支出管理</w:t>
            </w:r>
          </w:p>
        </w:tc>
        <w:tc>
          <w:tcPr>
            <w:tcW w:w="1432" w:type="dxa"/>
            <w:gridSpan w:val="2"/>
            <w:vAlign w:val="center"/>
          </w:tcPr>
          <w:p w14:paraId="544CEF3F">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0C7BB8FC">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6E679DB5">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4B22FA70">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044B33F7">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2F32F521">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1.单位支出范围与标准;2.单位各类支出审批权限</w:t>
            </w:r>
          </w:p>
        </w:tc>
      </w:tr>
      <w:tr w14:paraId="1CF3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627DD3CF">
            <w:pPr>
              <w:widowControl/>
              <w:rPr>
                <w:color w:val="000000" w:themeColor="text1"/>
                <w:sz w:val="24"/>
              </w:rPr>
            </w:pPr>
          </w:p>
        </w:tc>
        <w:tc>
          <w:tcPr>
            <w:tcW w:w="3164" w:type="dxa"/>
            <w:gridSpan w:val="5"/>
            <w:vAlign w:val="center"/>
          </w:tcPr>
          <w:p w14:paraId="3C70706D">
            <w:pPr>
              <w:widowControl/>
              <w:rPr>
                <w:color w:val="000000" w:themeColor="text1"/>
                <w:sz w:val="24"/>
              </w:rPr>
            </w:pPr>
            <w:r>
              <w:rPr>
                <w:rFonts w:hint="eastAsia" w:asciiTheme="minorEastAsia" w:hAnsiTheme="minorEastAsia" w:eastAsiaTheme="minorEastAsia"/>
                <w:sz w:val="24"/>
              </w:rPr>
              <w:t>4.公务卡管理</w:t>
            </w:r>
          </w:p>
        </w:tc>
        <w:tc>
          <w:tcPr>
            <w:tcW w:w="1432" w:type="dxa"/>
            <w:gridSpan w:val="2"/>
            <w:vAlign w:val="center"/>
          </w:tcPr>
          <w:p w14:paraId="1F19F8CA">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5F68D240">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4F448092">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7BB37D5D">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695DC599">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0F670343">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1.单位公务卡结算范围及报销程序;2.单位公务卡办卡及销卡管理</w:t>
            </w:r>
          </w:p>
        </w:tc>
      </w:tr>
      <w:tr w14:paraId="21CE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restart"/>
            <w:noWrap/>
            <w:vAlign w:val="center"/>
          </w:tcPr>
          <w:p w14:paraId="23DE94C3">
            <w:pPr>
              <w:widowControl/>
              <w:jc w:val="left"/>
              <w:rPr>
                <w:color w:val="000000" w:themeColor="text1"/>
                <w:sz w:val="24"/>
              </w:rPr>
            </w:pPr>
            <w:r>
              <w:rPr>
                <w:rFonts w:hint="eastAsia"/>
                <w:color w:val="000000" w:themeColor="text1"/>
                <w:sz w:val="24"/>
              </w:rPr>
              <w:t>政府采购业务管理</w:t>
            </w:r>
          </w:p>
        </w:tc>
        <w:tc>
          <w:tcPr>
            <w:tcW w:w="3164" w:type="dxa"/>
            <w:gridSpan w:val="5"/>
            <w:vAlign w:val="center"/>
          </w:tcPr>
          <w:p w14:paraId="6E307000">
            <w:pPr>
              <w:widowControl/>
              <w:rPr>
                <w:color w:val="000000" w:themeColor="text1"/>
                <w:sz w:val="24"/>
              </w:rPr>
            </w:pPr>
            <w:r>
              <w:rPr>
                <w:rFonts w:hint="eastAsia" w:asciiTheme="minorEastAsia" w:hAnsiTheme="minorEastAsia" w:eastAsiaTheme="minorEastAsia"/>
                <w:sz w:val="24"/>
              </w:rPr>
              <w:t xml:space="preserve">1.采购申请与审核 </w:t>
            </w:r>
          </w:p>
        </w:tc>
        <w:tc>
          <w:tcPr>
            <w:tcW w:w="1432" w:type="dxa"/>
            <w:gridSpan w:val="2"/>
            <w:vAlign w:val="center"/>
          </w:tcPr>
          <w:p w14:paraId="46722A1E">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1F9512C5">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4B23B05C">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4E987017">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77A923F9">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32946A9E">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1.单位采购审核分级授权机制;2.单位业务归口部门与财务归口部门审核内容</w:t>
            </w:r>
          </w:p>
        </w:tc>
      </w:tr>
      <w:tr w14:paraId="54F3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4A15BA7B">
            <w:pPr>
              <w:widowControl/>
            </w:pPr>
          </w:p>
        </w:tc>
        <w:tc>
          <w:tcPr>
            <w:tcW w:w="3164" w:type="dxa"/>
            <w:gridSpan w:val="5"/>
            <w:vAlign w:val="center"/>
          </w:tcPr>
          <w:p w14:paraId="2EFCE604">
            <w:pPr>
              <w:widowControl/>
              <w:rPr>
                <w:color w:val="000000" w:themeColor="text1"/>
                <w:sz w:val="24"/>
              </w:rPr>
            </w:pPr>
            <w:r>
              <w:rPr>
                <w:rFonts w:hint="eastAsia" w:asciiTheme="minorEastAsia" w:hAnsiTheme="minorEastAsia" w:eastAsiaTheme="minorEastAsia"/>
                <w:sz w:val="24"/>
              </w:rPr>
              <w:t>2.采购组织形式确定</w:t>
            </w:r>
          </w:p>
        </w:tc>
        <w:tc>
          <w:tcPr>
            <w:tcW w:w="1432" w:type="dxa"/>
            <w:gridSpan w:val="2"/>
            <w:vAlign w:val="center"/>
          </w:tcPr>
          <w:p w14:paraId="72094DC5">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736A93C8">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6734CAC0">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3A8A9016">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44340746">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6A13C7DA">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1.单位政府集中采购组织形式及范围标准;2.单位自行采购组织形式及范围标准</w:t>
            </w:r>
          </w:p>
        </w:tc>
      </w:tr>
      <w:tr w14:paraId="4F46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54AB51B9">
            <w:pPr>
              <w:widowControl/>
              <w:rPr>
                <w:color w:val="000000" w:themeColor="text1"/>
                <w:sz w:val="24"/>
              </w:rPr>
            </w:pPr>
          </w:p>
        </w:tc>
        <w:tc>
          <w:tcPr>
            <w:tcW w:w="3164" w:type="dxa"/>
            <w:gridSpan w:val="5"/>
            <w:vAlign w:val="center"/>
          </w:tcPr>
          <w:p w14:paraId="729DE643">
            <w:pPr>
              <w:widowControl/>
              <w:rPr>
                <w:color w:val="000000" w:themeColor="text1"/>
                <w:sz w:val="24"/>
              </w:rPr>
            </w:pPr>
            <w:r>
              <w:rPr>
                <w:rFonts w:hint="eastAsia" w:asciiTheme="minorEastAsia" w:hAnsiTheme="minorEastAsia" w:eastAsiaTheme="minorEastAsia"/>
                <w:sz w:val="24"/>
              </w:rPr>
              <w:t>3.采购方式确定及变更</w:t>
            </w:r>
          </w:p>
        </w:tc>
        <w:tc>
          <w:tcPr>
            <w:tcW w:w="1432" w:type="dxa"/>
            <w:gridSpan w:val="2"/>
            <w:vAlign w:val="center"/>
          </w:tcPr>
          <w:p w14:paraId="66B3D339">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38B28267">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7209BC1A">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4F2D3674">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56C559EF">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743C3010">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单位采购方式确定及变更的主体、权限、程序</w:t>
            </w:r>
          </w:p>
        </w:tc>
      </w:tr>
      <w:tr w14:paraId="088B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5F1D5688">
            <w:pPr>
              <w:widowControl/>
              <w:rPr>
                <w:color w:val="000000" w:themeColor="text1"/>
                <w:sz w:val="24"/>
              </w:rPr>
            </w:pPr>
          </w:p>
        </w:tc>
        <w:tc>
          <w:tcPr>
            <w:tcW w:w="3164" w:type="dxa"/>
            <w:gridSpan w:val="5"/>
            <w:vAlign w:val="center"/>
          </w:tcPr>
          <w:p w14:paraId="24DE4E0B">
            <w:pPr>
              <w:widowControl/>
              <w:rPr>
                <w:color w:val="000000" w:themeColor="text1"/>
                <w:sz w:val="24"/>
              </w:rPr>
            </w:pPr>
            <w:r>
              <w:rPr>
                <w:rFonts w:hint="eastAsia" w:asciiTheme="minorEastAsia" w:hAnsiTheme="minorEastAsia" w:eastAsiaTheme="minorEastAsia"/>
                <w:sz w:val="24"/>
              </w:rPr>
              <w:t>4.采购验收</w:t>
            </w:r>
          </w:p>
        </w:tc>
        <w:tc>
          <w:tcPr>
            <w:tcW w:w="1432" w:type="dxa"/>
            <w:gridSpan w:val="2"/>
            <w:vAlign w:val="center"/>
          </w:tcPr>
          <w:p w14:paraId="748907C0">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62547340">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1EBB5AE9">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4FC9ABF5">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512CD291">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6E83A070">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单位采购验收主体、程序及结果应用</w:t>
            </w:r>
          </w:p>
        </w:tc>
      </w:tr>
      <w:tr w14:paraId="68FC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restart"/>
            <w:noWrap/>
            <w:vAlign w:val="center"/>
          </w:tcPr>
          <w:p w14:paraId="7B0AEC79">
            <w:pPr>
              <w:widowControl/>
              <w:jc w:val="left"/>
              <w:rPr>
                <w:color w:val="000000" w:themeColor="text1"/>
                <w:sz w:val="24"/>
              </w:rPr>
            </w:pPr>
            <w:r>
              <w:rPr>
                <w:rFonts w:hint="eastAsia"/>
                <w:color w:val="000000" w:themeColor="text1"/>
                <w:sz w:val="24"/>
              </w:rPr>
              <w:t>国有资产业务管理</w:t>
            </w:r>
          </w:p>
        </w:tc>
        <w:tc>
          <w:tcPr>
            <w:tcW w:w="3164" w:type="dxa"/>
            <w:gridSpan w:val="5"/>
            <w:vAlign w:val="center"/>
          </w:tcPr>
          <w:p w14:paraId="1C468E48">
            <w:pPr>
              <w:widowControl/>
              <w:rPr>
                <w:color w:val="000000" w:themeColor="text1"/>
                <w:sz w:val="24"/>
              </w:rPr>
            </w:pPr>
            <w:r>
              <w:rPr>
                <w:rFonts w:hint="eastAsia" w:asciiTheme="minorEastAsia" w:hAnsiTheme="minorEastAsia" w:eastAsiaTheme="minorEastAsia"/>
                <w:sz w:val="24"/>
              </w:rPr>
              <w:t>1.货币资金管理</w:t>
            </w:r>
          </w:p>
        </w:tc>
        <w:tc>
          <w:tcPr>
            <w:tcW w:w="1432" w:type="dxa"/>
            <w:gridSpan w:val="2"/>
            <w:vAlign w:val="center"/>
          </w:tcPr>
          <w:p w14:paraId="5A13032E">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446B8AA4">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67060302">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4D0304F5">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1F352490">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67E4CA65">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单位银行账户类型，开立、变更、撤销程序及年检</w:t>
            </w:r>
          </w:p>
        </w:tc>
      </w:tr>
      <w:tr w14:paraId="435B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3C9D3F84">
            <w:pPr>
              <w:widowControl/>
            </w:pPr>
          </w:p>
        </w:tc>
        <w:tc>
          <w:tcPr>
            <w:tcW w:w="3164" w:type="dxa"/>
            <w:gridSpan w:val="5"/>
            <w:vAlign w:val="center"/>
          </w:tcPr>
          <w:p w14:paraId="64ADBC18">
            <w:pPr>
              <w:widowControl/>
              <w:rPr>
                <w:color w:val="000000" w:themeColor="text1"/>
                <w:sz w:val="24"/>
              </w:rPr>
            </w:pPr>
            <w:r>
              <w:rPr>
                <w:rFonts w:hint="eastAsia" w:asciiTheme="minorEastAsia" w:hAnsiTheme="minorEastAsia" w:eastAsiaTheme="minorEastAsia"/>
                <w:sz w:val="24"/>
              </w:rPr>
              <w:t>2.固定资产管理</w:t>
            </w:r>
          </w:p>
        </w:tc>
        <w:tc>
          <w:tcPr>
            <w:tcW w:w="1432" w:type="dxa"/>
            <w:gridSpan w:val="2"/>
            <w:vAlign w:val="center"/>
          </w:tcPr>
          <w:p w14:paraId="258024A5">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2821E1CB">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121401EE">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461CD1B3">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0AA31ADB">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230B22AA">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2.单位固定资产清查范围及程序;3.单位资产处置标准与审批权限</w:t>
            </w:r>
          </w:p>
        </w:tc>
      </w:tr>
      <w:tr w14:paraId="23C7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7705847F">
            <w:pPr>
              <w:widowControl/>
              <w:rPr>
                <w:color w:val="000000" w:themeColor="text1"/>
                <w:sz w:val="24"/>
              </w:rPr>
            </w:pPr>
          </w:p>
        </w:tc>
        <w:tc>
          <w:tcPr>
            <w:tcW w:w="3164" w:type="dxa"/>
            <w:gridSpan w:val="5"/>
            <w:vAlign w:val="center"/>
          </w:tcPr>
          <w:p w14:paraId="33720285">
            <w:pPr>
              <w:widowControl/>
              <w:rPr>
                <w:color w:val="000000" w:themeColor="text1"/>
                <w:sz w:val="24"/>
              </w:rPr>
            </w:pPr>
            <w:r>
              <w:rPr>
                <w:rFonts w:hint="eastAsia" w:asciiTheme="minorEastAsia" w:hAnsiTheme="minorEastAsia" w:eastAsiaTheme="minorEastAsia"/>
                <w:sz w:val="24"/>
              </w:rPr>
              <w:t>3.无形资产管理</w:t>
            </w:r>
          </w:p>
        </w:tc>
        <w:tc>
          <w:tcPr>
            <w:tcW w:w="1432" w:type="dxa"/>
            <w:gridSpan w:val="2"/>
            <w:vAlign w:val="center"/>
          </w:tcPr>
          <w:p w14:paraId="18DA1362">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4322C5E7">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709D7CB5">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002004AB">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0FA1ED28">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0F27FEDE">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单位无形资产类别、登记确认、价值评估及处置</w:t>
            </w:r>
          </w:p>
        </w:tc>
      </w:tr>
      <w:tr w14:paraId="676C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60F489DB">
            <w:pPr>
              <w:widowControl/>
              <w:rPr>
                <w:color w:val="000000" w:themeColor="text1"/>
                <w:sz w:val="24"/>
              </w:rPr>
            </w:pPr>
          </w:p>
        </w:tc>
        <w:tc>
          <w:tcPr>
            <w:tcW w:w="3164" w:type="dxa"/>
            <w:gridSpan w:val="5"/>
            <w:vAlign w:val="center"/>
          </w:tcPr>
          <w:p w14:paraId="05C49EFF">
            <w:pPr>
              <w:widowControl/>
              <w:rPr>
                <w:color w:val="000000" w:themeColor="text1"/>
                <w:sz w:val="24"/>
              </w:rPr>
            </w:pPr>
            <w:r>
              <w:rPr>
                <w:rFonts w:hint="eastAsia" w:asciiTheme="minorEastAsia" w:hAnsiTheme="minorEastAsia" w:eastAsiaTheme="minorEastAsia"/>
                <w:sz w:val="24"/>
              </w:rPr>
              <w:t>4.对外投资管理</w:t>
            </w:r>
          </w:p>
        </w:tc>
        <w:tc>
          <w:tcPr>
            <w:tcW w:w="1432" w:type="dxa"/>
            <w:gridSpan w:val="2"/>
            <w:vAlign w:val="center"/>
          </w:tcPr>
          <w:p w14:paraId="47911572">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否</w:t>
            </w:r>
          </w:p>
        </w:tc>
        <w:tc>
          <w:tcPr>
            <w:tcW w:w="2202" w:type="dxa"/>
            <w:gridSpan w:val="3"/>
            <w:vAlign w:val="center"/>
          </w:tcPr>
          <w:p w14:paraId="1CAB6FE4">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w:t>
            </w:r>
          </w:p>
          <w:p w14:paraId="4BB7873A">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w:t>
            </w:r>
          </w:p>
        </w:tc>
        <w:tc>
          <w:tcPr>
            <w:tcW w:w="2202" w:type="dxa"/>
            <w:vAlign w:val="center"/>
          </w:tcPr>
          <w:p w14:paraId="14E64930">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w:t>
            </w:r>
          </w:p>
          <w:p w14:paraId="0EAD4CC5">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w:t>
            </w:r>
          </w:p>
        </w:tc>
        <w:tc>
          <w:tcPr>
            <w:tcW w:w="3842" w:type="dxa"/>
            <w:gridSpan w:val="4"/>
            <w:vAlign w:val="center"/>
          </w:tcPr>
          <w:p w14:paraId="7597D6A3">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w:t>
            </w:r>
          </w:p>
        </w:tc>
      </w:tr>
      <w:tr w14:paraId="7D8B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restart"/>
            <w:noWrap/>
            <w:vAlign w:val="center"/>
          </w:tcPr>
          <w:p w14:paraId="238B4BFB">
            <w:pPr>
              <w:widowControl/>
              <w:jc w:val="left"/>
              <w:rPr>
                <w:color w:val="000000" w:themeColor="text1"/>
                <w:sz w:val="24"/>
              </w:rPr>
            </w:pPr>
            <w:r>
              <w:rPr>
                <w:rFonts w:hint="eastAsia"/>
                <w:color w:val="000000" w:themeColor="text1"/>
                <w:sz w:val="24"/>
              </w:rPr>
              <w:t>建设项目业务管理</w:t>
            </w:r>
          </w:p>
        </w:tc>
        <w:tc>
          <w:tcPr>
            <w:tcW w:w="3164" w:type="dxa"/>
            <w:gridSpan w:val="5"/>
            <w:vAlign w:val="center"/>
          </w:tcPr>
          <w:p w14:paraId="5AAC66A6">
            <w:pPr>
              <w:widowControl/>
              <w:rPr>
                <w:color w:val="000000" w:themeColor="text1"/>
                <w:sz w:val="24"/>
              </w:rPr>
            </w:pPr>
            <w:r>
              <w:rPr>
                <w:rFonts w:hint="eastAsia" w:asciiTheme="minorEastAsia" w:hAnsiTheme="minorEastAsia" w:eastAsiaTheme="minorEastAsia"/>
                <w:sz w:val="24"/>
              </w:rPr>
              <w:t>1.项目立项、设计与概预算</w:t>
            </w:r>
          </w:p>
        </w:tc>
        <w:tc>
          <w:tcPr>
            <w:tcW w:w="1432" w:type="dxa"/>
            <w:gridSpan w:val="2"/>
            <w:vAlign w:val="center"/>
          </w:tcPr>
          <w:p w14:paraId="53C6B4AF">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7C7C646B">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20BF841D">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1D055DA3">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589E5C46">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4475BE7D">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单位项目投资评审、立项依据与审批程序</w:t>
            </w:r>
          </w:p>
        </w:tc>
      </w:tr>
      <w:tr w14:paraId="352A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60781621">
            <w:pPr>
              <w:widowControl/>
            </w:pPr>
          </w:p>
        </w:tc>
        <w:tc>
          <w:tcPr>
            <w:tcW w:w="3164" w:type="dxa"/>
            <w:gridSpan w:val="5"/>
            <w:vAlign w:val="center"/>
          </w:tcPr>
          <w:p w14:paraId="327BE92F">
            <w:pPr>
              <w:widowControl/>
              <w:rPr>
                <w:color w:val="000000" w:themeColor="text1"/>
                <w:sz w:val="24"/>
              </w:rPr>
            </w:pPr>
            <w:r>
              <w:rPr>
                <w:rFonts w:hint="eastAsia" w:asciiTheme="minorEastAsia" w:hAnsiTheme="minorEastAsia" w:eastAsiaTheme="minorEastAsia"/>
                <w:sz w:val="24"/>
              </w:rPr>
              <w:t>2.项目采购管理</w:t>
            </w:r>
          </w:p>
        </w:tc>
        <w:tc>
          <w:tcPr>
            <w:tcW w:w="1432" w:type="dxa"/>
            <w:gridSpan w:val="2"/>
            <w:vAlign w:val="center"/>
          </w:tcPr>
          <w:p w14:paraId="2E966E4C">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4C6B835F">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08EC8416">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236E3D4C">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02CD745C">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42B0B8DC">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单位项目采购范围、方式及程序</w:t>
            </w:r>
          </w:p>
        </w:tc>
      </w:tr>
      <w:tr w14:paraId="57EE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 w:hRule="atLeast"/>
          <w:jc w:val="center"/>
        </w:trPr>
        <w:tc>
          <w:tcPr>
            <w:tcW w:w="2328" w:type="dxa"/>
            <w:vMerge w:val="continue"/>
            <w:noWrap/>
            <w:vAlign w:val="center"/>
          </w:tcPr>
          <w:p w14:paraId="39DBF510">
            <w:pPr>
              <w:widowControl/>
              <w:rPr>
                <w:color w:val="000000" w:themeColor="text1"/>
                <w:sz w:val="24"/>
              </w:rPr>
            </w:pPr>
          </w:p>
        </w:tc>
        <w:tc>
          <w:tcPr>
            <w:tcW w:w="3164" w:type="dxa"/>
            <w:gridSpan w:val="5"/>
            <w:vAlign w:val="center"/>
          </w:tcPr>
          <w:p w14:paraId="7E4E7B12">
            <w:pPr>
              <w:widowControl/>
              <w:rPr>
                <w:color w:val="000000" w:themeColor="text1"/>
                <w:sz w:val="24"/>
              </w:rPr>
            </w:pPr>
            <w:r>
              <w:rPr>
                <w:rFonts w:hint="eastAsia" w:asciiTheme="minorEastAsia" w:hAnsiTheme="minorEastAsia" w:eastAsiaTheme="minorEastAsia"/>
                <w:sz w:val="24"/>
              </w:rPr>
              <w:t>3.项目施工、变更与资金支付</w:t>
            </w:r>
          </w:p>
        </w:tc>
        <w:tc>
          <w:tcPr>
            <w:tcW w:w="1432" w:type="dxa"/>
            <w:gridSpan w:val="2"/>
            <w:vAlign w:val="center"/>
          </w:tcPr>
          <w:p w14:paraId="0D530A16">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1FA80CF7">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7EAAF408">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03CA82A9">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6E809D85">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54D66FA1">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2.单位项目变更审批权限及程序</w:t>
            </w:r>
          </w:p>
        </w:tc>
      </w:tr>
      <w:tr w14:paraId="2C12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 w:hRule="atLeast"/>
          <w:jc w:val="center"/>
        </w:trPr>
        <w:tc>
          <w:tcPr>
            <w:tcW w:w="2328" w:type="dxa"/>
            <w:vMerge w:val="continue"/>
            <w:noWrap/>
            <w:vAlign w:val="center"/>
          </w:tcPr>
          <w:p w14:paraId="0065A39E">
            <w:pPr>
              <w:widowControl/>
              <w:rPr>
                <w:color w:val="000000" w:themeColor="text1"/>
                <w:sz w:val="24"/>
              </w:rPr>
            </w:pPr>
          </w:p>
        </w:tc>
        <w:tc>
          <w:tcPr>
            <w:tcW w:w="3164" w:type="dxa"/>
            <w:gridSpan w:val="5"/>
            <w:vAlign w:val="center"/>
          </w:tcPr>
          <w:p w14:paraId="65A9E878">
            <w:pPr>
              <w:widowControl/>
              <w:rPr>
                <w:color w:val="000000" w:themeColor="text1"/>
                <w:sz w:val="24"/>
              </w:rPr>
            </w:pPr>
            <w:r>
              <w:rPr>
                <w:rFonts w:hint="eastAsia" w:asciiTheme="minorEastAsia" w:hAnsiTheme="minorEastAsia" w:eastAsiaTheme="minorEastAsia"/>
                <w:sz w:val="24"/>
              </w:rPr>
              <w:t>4.项目验收管理与绩效评价</w:t>
            </w:r>
          </w:p>
        </w:tc>
        <w:tc>
          <w:tcPr>
            <w:tcW w:w="1432" w:type="dxa"/>
            <w:gridSpan w:val="2"/>
            <w:vAlign w:val="center"/>
          </w:tcPr>
          <w:p w14:paraId="6B1AD303">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58C001CA">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4D857E8B">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55B05B95">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7A12695A">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39366BE7">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2.单位项目绩效评价形式与内容</w:t>
            </w:r>
          </w:p>
        </w:tc>
      </w:tr>
      <w:tr w14:paraId="25E4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5" w:hRule="atLeast"/>
          <w:jc w:val="center"/>
        </w:trPr>
        <w:tc>
          <w:tcPr>
            <w:tcW w:w="2328" w:type="dxa"/>
            <w:vMerge w:val="restart"/>
            <w:noWrap/>
            <w:vAlign w:val="center"/>
          </w:tcPr>
          <w:p w14:paraId="36535469">
            <w:pPr>
              <w:widowControl/>
              <w:jc w:val="left"/>
              <w:rPr>
                <w:color w:val="000000" w:themeColor="text1"/>
                <w:sz w:val="24"/>
              </w:rPr>
            </w:pPr>
            <w:r>
              <w:rPr>
                <w:rFonts w:hint="eastAsia"/>
                <w:color w:val="000000" w:themeColor="text1"/>
                <w:sz w:val="24"/>
              </w:rPr>
              <w:t>合同业务管理</w:t>
            </w:r>
          </w:p>
        </w:tc>
        <w:tc>
          <w:tcPr>
            <w:tcW w:w="3164" w:type="dxa"/>
            <w:gridSpan w:val="5"/>
            <w:vAlign w:val="center"/>
          </w:tcPr>
          <w:p w14:paraId="68A5EF81">
            <w:pPr>
              <w:widowControl/>
              <w:rPr>
                <w:color w:val="000000" w:themeColor="text1"/>
                <w:sz w:val="24"/>
              </w:rPr>
            </w:pPr>
            <w:r>
              <w:rPr>
                <w:rFonts w:hint="eastAsia" w:asciiTheme="minorEastAsia" w:hAnsiTheme="minorEastAsia" w:eastAsiaTheme="minorEastAsia"/>
                <w:sz w:val="24"/>
              </w:rPr>
              <w:t>1.合同拟订与审批</w:t>
            </w:r>
          </w:p>
        </w:tc>
        <w:tc>
          <w:tcPr>
            <w:tcW w:w="1432" w:type="dxa"/>
            <w:gridSpan w:val="2"/>
            <w:vAlign w:val="center"/>
          </w:tcPr>
          <w:p w14:paraId="79E5E9CF">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53419F8A">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3103EEA9">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17F4B241">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3521EE0D">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7505B40D">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2.单位法务或外聘法律顾问介入条件与环节</w:t>
            </w:r>
          </w:p>
        </w:tc>
      </w:tr>
      <w:tr w14:paraId="2A68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5" w:hRule="atLeast"/>
          <w:jc w:val="center"/>
        </w:trPr>
        <w:tc>
          <w:tcPr>
            <w:tcW w:w="2328" w:type="dxa"/>
            <w:vMerge w:val="continue"/>
            <w:noWrap/>
            <w:vAlign w:val="center"/>
          </w:tcPr>
          <w:p w14:paraId="59FC4760">
            <w:pPr>
              <w:widowControl/>
            </w:pPr>
          </w:p>
        </w:tc>
        <w:tc>
          <w:tcPr>
            <w:tcW w:w="3164" w:type="dxa"/>
            <w:gridSpan w:val="5"/>
            <w:vAlign w:val="center"/>
          </w:tcPr>
          <w:p w14:paraId="47567A0C">
            <w:pPr>
              <w:widowControl/>
              <w:rPr>
                <w:color w:val="000000" w:themeColor="text1"/>
                <w:sz w:val="24"/>
              </w:rPr>
            </w:pPr>
            <w:r>
              <w:rPr>
                <w:rFonts w:hint="eastAsia" w:asciiTheme="minorEastAsia" w:hAnsiTheme="minorEastAsia" w:eastAsiaTheme="minorEastAsia"/>
                <w:sz w:val="24"/>
              </w:rPr>
              <w:t>2.合同履行与监督</w:t>
            </w:r>
          </w:p>
        </w:tc>
        <w:tc>
          <w:tcPr>
            <w:tcW w:w="1432" w:type="dxa"/>
            <w:gridSpan w:val="2"/>
            <w:vAlign w:val="center"/>
          </w:tcPr>
          <w:p w14:paraId="2A94D49E">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4588CB57">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20B14E67">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2D605368">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47E1E109">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5B41E689">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2.单位合同章种类、使用权限及使用范围;3.单位合同执行监督机制</w:t>
            </w:r>
          </w:p>
        </w:tc>
      </w:tr>
      <w:tr w14:paraId="4D7C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5" w:hRule="atLeast"/>
          <w:jc w:val="center"/>
        </w:trPr>
        <w:tc>
          <w:tcPr>
            <w:tcW w:w="2328" w:type="dxa"/>
            <w:vMerge w:val="continue"/>
            <w:noWrap/>
            <w:vAlign w:val="center"/>
          </w:tcPr>
          <w:p w14:paraId="697A4795">
            <w:pPr>
              <w:widowControl/>
              <w:rPr>
                <w:color w:val="000000" w:themeColor="text1"/>
                <w:sz w:val="24"/>
              </w:rPr>
            </w:pPr>
          </w:p>
        </w:tc>
        <w:tc>
          <w:tcPr>
            <w:tcW w:w="3164" w:type="dxa"/>
            <w:gridSpan w:val="5"/>
            <w:vAlign w:val="center"/>
          </w:tcPr>
          <w:p w14:paraId="5C65BCE1">
            <w:pPr>
              <w:widowControl/>
              <w:rPr>
                <w:color w:val="000000" w:themeColor="text1"/>
                <w:sz w:val="24"/>
              </w:rPr>
            </w:pPr>
            <w:r>
              <w:rPr>
                <w:rFonts w:hint="eastAsia" w:asciiTheme="minorEastAsia" w:hAnsiTheme="minorEastAsia" w:eastAsiaTheme="minorEastAsia"/>
                <w:sz w:val="24"/>
              </w:rPr>
              <w:t>3.合同档案与纠纷管理</w:t>
            </w:r>
          </w:p>
        </w:tc>
        <w:tc>
          <w:tcPr>
            <w:tcW w:w="1432" w:type="dxa"/>
            <w:gridSpan w:val="2"/>
            <w:vAlign w:val="center"/>
          </w:tcPr>
          <w:p w14:paraId="356120E7">
            <w:pPr>
              <w:widowControl/>
              <w:jc w:val="center"/>
              <w:rPr>
                <w:rFonts w:ascii="楷体" w:hAnsi="楷体" w:eastAsia="楷体" w:cs="楷体"/>
                <w:bCs/>
                <w:color w:val="000000" w:themeColor="text1"/>
                <w:sz w:val="24"/>
              </w:rPr>
            </w:pPr>
            <w:r>
              <w:rPr>
                <w:rFonts w:ascii="楷体" w:hAnsi="楷体" w:eastAsia="楷体" w:cs="楷体"/>
                <w:bCs/>
                <w:color w:val="000000" w:themeColor="text1"/>
                <w:sz w:val="24"/>
              </w:rPr>
              <w:t>是</w:t>
            </w:r>
          </w:p>
        </w:tc>
        <w:tc>
          <w:tcPr>
            <w:tcW w:w="2202" w:type="dxa"/>
            <w:gridSpan w:val="3"/>
            <w:vAlign w:val="center"/>
          </w:tcPr>
          <w:p w14:paraId="3FFF0809">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建立制度：</w:t>
            </w:r>
            <w:r>
              <w:rPr>
                <w:rFonts w:ascii="楷体" w:hAnsi="楷体" w:eastAsia="楷体" w:cs="楷体"/>
                <w:bCs/>
                <w:color w:val="000000" w:themeColor="text1"/>
                <w:sz w:val="24"/>
              </w:rPr>
              <w:t>是</w:t>
            </w:r>
          </w:p>
          <w:p w14:paraId="3B20BF8F">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建立流程图：</w:t>
            </w:r>
            <w:r>
              <w:rPr>
                <w:rFonts w:ascii="楷体" w:hAnsi="楷体" w:eastAsia="楷体" w:cs="楷体"/>
                <w:bCs/>
                <w:color w:val="000000" w:themeColor="text1"/>
                <w:sz w:val="24"/>
              </w:rPr>
              <w:t>是</w:t>
            </w:r>
          </w:p>
        </w:tc>
        <w:tc>
          <w:tcPr>
            <w:tcW w:w="2202" w:type="dxa"/>
            <w:vAlign w:val="center"/>
          </w:tcPr>
          <w:p w14:paraId="5031E043">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更新制度：</w:t>
            </w:r>
            <w:r>
              <w:rPr>
                <w:rFonts w:ascii="楷体" w:hAnsi="楷体" w:eastAsia="楷体" w:cs="楷体"/>
                <w:bCs/>
                <w:color w:val="000000" w:themeColor="text1"/>
                <w:sz w:val="24"/>
              </w:rPr>
              <w:t>否</w:t>
            </w:r>
          </w:p>
          <w:p w14:paraId="5F1ADF36">
            <w:pPr>
              <w:autoSpaceDE w:val="0"/>
              <w:autoSpaceDN w:val="0"/>
              <w:adjustRightInd w:val="0"/>
              <w:rPr>
                <w:rFonts w:ascii="楷体" w:hAnsi="楷体" w:eastAsia="楷体" w:cs="楷体"/>
                <w:bCs/>
                <w:color w:val="000000" w:themeColor="text1"/>
                <w:sz w:val="24"/>
              </w:rPr>
            </w:pPr>
            <w:r>
              <w:rPr>
                <w:rFonts w:hint="eastAsia" w:ascii="楷体" w:hAnsi="楷体" w:eastAsia="楷体" w:cs="楷体"/>
                <w:bCs/>
                <w:color w:val="000000" w:themeColor="text1"/>
                <w:sz w:val="24"/>
              </w:rPr>
              <w:t>更新流程图：</w:t>
            </w:r>
            <w:r>
              <w:rPr>
                <w:rFonts w:ascii="楷体" w:hAnsi="楷体" w:eastAsia="楷体" w:cs="楷体"/>
                <w:bCs/>
                <w:color w:val="000000" w:themeColor="text1"/>
                <w:sz w:val="24"/>
              </w:rPr>
              <w:t>否</w:t>
            </w:r>
          </w:p>
        </w:tc>
        <w:tc>
          <w:tcPr>
            <w:tcW w:w="3842" w:type="dxa"/>
            <w:gridSpan w:val="4"/>
            <w:vAlign w:val="center"/>
          </w:tcPr>
          <w:p w14:paraId="40D4B413">
            <w:pPr>
              <w:autoSpaceDE w:val="0"/>
              <w:autoSpaceDN w:val="0"/>
              <w:adjustRightInd w:val="0"/>
              <w:rPr>
                <w:rFonts w:ascii="楷体" w:hAnsi="楷体" w:eastAsia="楷体" w:cs="楷体"/>
                <w:bCs/>
                <w:color w:val="000000" w:themeColor="text1"/>
                <w:sz w:val="24"/>
              </w:rPr>
            </w:pPr>
            <w:r>
              <w:rPr>
                <w:rFonts w:ascii="楷体" w:hAnsi="楷体" w:eastAsia="楷体" w:cs="楷体"/>
                <w:bCs/>
                <w:color w:val="000000" w:themeColor="text1"/>
                <w:sz w:val="24"/>
              </w:rPr>
              <w:t>2.单位合同纠纷处理程序;1.单位合同执行归档制度</w:t>
            </w:r>
          </w:p>
        </w:tc>
      </w:tr>
      <w:tr w14:paraId="30D3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688BA04E">
            <w:pPr>
              <w:widowControl/>
              <w:rPr>
                <w:color w:val="000000" w:themeColor="text1"/>
                <w:sz w:val="24"/>
              </w:rPr>
            </w:pPr>
            <w:r>
              <w:rPr>
                <w:rFonts w:hint="eastAsia"/>
                <w:bCs/>
                <w:color w:val="000000" w:themeColor="text1"/>
                <w:sz w:val="24"/>
              </w:rPr>
              <w:t>（五）内部控制制度执行情况</w:t>
            </w:r>
          </w:p>
        </w:tc>
      </w:tr>
      <w:tr w14:paraId="74E7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7677DA56">
            <w:pPr>
              <w:widowControl/>
              <w:jc w:val="center"/>
              <w:rPr>
                <w:rFonts w:asciiTheme="minorEastAsia" w:hAnsiTheme="minorEastAsia" w:eastAsiaTheme="minorEastAsia"/>
                <w:b/>
                <w:color w:val="000000" w:themeColor="text1"/>
                <w:sz w:val="24"/>
              </w:rPr>
            </w:pPr>
            <w:r>
              <w:rPr>
                <w:rFonts w:hint="eastAsia"/>
                <w:b/>
                <w:sz w:val="24"/>
              </w:rPr>
              <w:t>评价要点</w:t>
            </w:r>
          </w:p>
        </w:tc>
        <w:tc>
          <w:tcPr>
            <w:tcW w:w="1159" w:type="dxa"/>
            <w:gridSpan w:val="3"/>
            <w:vAlign w:val="center"/>
          </w:tcPr>
          <w:p w14:paraId="1A74BC50">
            <w:pPr>
              <w:widowControl/>
              <w:jc w:val="center"/>
              <w:rPr>
                <w:b/>
                <w:sz w:val="24"/>
              </w:rPr>
            </w:pPr>
            <w:r>
              <w:rPr>
                <w:rFonts w:hint="eastAsia"/>
                <w:b/>
                <w:sz w:val="24"/>
              </w:rPr>
              <w:t>是否适用</w:t>
            </w:r>
          </w:p>
        </w:tc>
        <w:tc>
          <w:tcPr>
            <w:tcW w:w="2741" w:type="dxa"/>
            <w:gridSpan w:val="2"/>
            <w:vAlign w:val="center"/>
          </w:tcPr>
          <w:p w14:paraId="14F812D8">
            <w:pPr>
              <w:widowControl/>
              <w:jc w:val="center"/>
              <w:rPr>
                <w:b/>
                <w:sz w:val="24"/>
              </w:rPr>
            </w:pPr>
            <w:r>
              <w:rPr>
                <w:rFonts w:hint="eastAsia"/>
                <w:b/>
                <w:sz w:val="24"/>
              </w:rPr>
              <w:t>数据一</w:t>
            </w:r>
          </w:p>
        </w:tc>
        <w:tc>
          <w:tcPr>
            <w:tcW w:w="1963" w:type="dxa"/>
            <w:gridSpan w:val="3"/>
            <w:vAlign w:val="center"/>
          </w:tcPr>
          <w:p w14:paraId="6192996D">
            <w:pPr>
              <w:widowControl/>
              <w:jc w:val="center"/>
              <w:rPr>
                <w:b/>
                <w:sz w:val="24"/>
              </w:rPr>
            </w:pPr>
            <w:r>
              <w:rPr>
                <w:rFonts w:hint="eastAsia"/>
                <w:b/>
                <w:sz w:val="24"/>
              </w:rPr>
              <w:t>数值</w:t>
            </w:r>
          </w:p>
        </w:tc>
        <w:tc>
          <w:tcPr>
            <w:tcW w:w="2878" w:type="dxa"/>
            <w:gridSpan w:val="4"/>
            <w:vAlign w:val="center"/>
          </w:tcPr>
          <w:p w14:paraId="5EC7C046">
            <w:pPr>
              <w:widowControl/>
              <w:jc w:val="center"/>
              <w:rPr>
                <w:b/>
                <w:sz w:val="24"/>
              </w:rPr>
            </w:pPr>
            <w:r>
              <w:rPr>
                <w:rFonts w:hint="eastAsia"/>
                <w:b/>
                <w:sz w:val="24"/>
              </w:rPr>
              <w:t>数据二</w:t>
            </w:r>
          </w:p>
        </w:tc>
        <w:tc>
          <w:tcPr>
            <w:tcW w:w="2018" w:type="dxa"/>
            <w:vAlign w:val="center"/>
          </w:tcPr>
          <w:p w14:paraId="3ED318F3">
            <w:pPr>
              <w:widowControl/>
              <w:jc w:val="center"/>
              <w:rPr>
                <w:b/>
                <w:sz w:val="24"/>
              </w:rPr>
            </w:pPr>
            <w:r>
              <w:rPr>
                <w:rFonts w:hint="eastAsia"/>
                <w:b/>
                <w:sz w:val="24"/>
              </w:rPr>
              <w:t>数值</w:t>
            </w:r>
          </w:p>
        </w:tc>
        <w:tc>
          <w:tcPr>
            <w:tcW w:w="1537" w:type="dxa"/>
            <w:vAlign w:val="center"/>
          </w:tcPr>
          <w:p w14:paraId="2079209A">
            <w:pPr>
              <w:widowControl/>
              <w:jc w:val="center"/>
              <w:rPr>
                <w:b/>
                <w:sz w:val="24"/>
              </w:rPr>
            </w:pPr>
            <w:r>
              <w:rPr>
                <w:rFonts w:hint="eastAsia"/>
                <w:b/>
                <w:sz w:val="24"/>
              </w:rPr>
              <w:t>评价指标值</w:t>
            </w:r>
          </w:p>
        </w:tc>
      </w:tr>
      <w:tr w14:paraId="72D0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62664EDF">
            <w:pPr>
              <w:widowControl/>
              <w:rPr>
                <w:rFonts w:asciiTheme="minorEastAsia" w:hAnsiTheme="minorEastAsia" w:eastAsiaTheme="minorEastAsia"/>
                <w:color w:val="000000" w:themeColor="text1"/>
                <w:sz w:val="24"/>
              </w:rPr>
            </w:pPr>
            <w:r>
              <w:rPr>
                <w:rFonts w:hint="eastAsia"/>
                <w:bCs/>
                <w:color w:val="000000" w:themeColor="text1"/>
                <w:sz w:val="24"/>
              </w:rPr>
              <w:t>1.本年单位事前绩效评估执行情况</w:t>
            </w:r>
          </w:p>
        </w:tc>
        <w:tc>
          <w:tcPr>
            <w:tcW w:w="1159" w:type="dxa"/>
            <w:gridSpan w:val="3"/>
            <w:vAlign w:val="center"/>
          </w:tcPr>
          <w:p w14:paraId="47721028">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2741" w:type="dxa"/>
            <w:gridSpan w:val="2"/>
            <w:vAlign w:val="center"/>
          </w:tcPr>
          <w:p w14:paraId="7F47ED00">
            <w:pPr>
              <w:widowControl/>
              <w:jc w:val="left"/>
              <w:rPr>
                <w:sz w:val="24"/>
              </w:rPr>
            </w:pPr>
            <w:r>
              <w:rPr>
                <w:rFonts w:hint="eastAsia"/>
                <w:color w:val="000000" w:themeColor="text1"/>
                <w:sz w:val="24"/>
              </w:rPr>
              <w:t>本年新增重大项目数量</w:t>
            </w:r>
          </w:p>
        </w:tc>
        <w:tc>
          <w:tcPr>
            <w:tcW w:w="1963" w:type="dxa"/>
            <w:gridSpan w:val="3"/>
            <w:vAlign w:val="center"/>
          </w:tcPr>
          <w:p w14:paraId="0087C259">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1</w:t>
            </w:r>
          </w:p>
        </w:tc>
        <w:tc>
          <w:tcPr>
            <w:tcW w:w="2878" w:type="dxa"/>
            <w:gridSpan w:val="4"/>
            <w:vAlign w:val="center"/>
          </w:tcPr>
          <w:p w14:paraId="21349675">
            <w:pPr>
              <w:widowControl/>
              <w:jc w:val="left"/>
              <w:rPr>
                <w:sz w:val="24"/>
              </w:rPr>
            </w:pPr>
            <w:r>
              <w:rPr>
                <w:rFonts w:hint="eastAsia"/>
                <w:color w:val="000000" w:themeColor="text1"/>
                <w:sz w:val="24"/>
              </w:rPr>
              <w:t>已开展事前绩效评估的本年新增重大项目数量</w:t>
            </w:r>
          </w:p>
        </w:tc>
        <w:tc>
          <w:tcPr>
            <w:tcW w:w="2018" w:type="dxa"/>
            <w:vAlign w:val="center"/>
          </w:tcPr>
          <w:p w14:paraId="30C05C76">
            <w:pPr>
              <w:widowControl/>
              <w:jc w:val="center"/>
              <w:rPr>
                <w:rFonts w:ascii="楷体" w:hAnsi="楷体" w:eastAsia="楷体" w:cs="楷体"/>
                <w:bCs/>
                <w:color w:val="000000" w:themeColor="text1"/>
                <w:sz w:val="24"/>
              </w:rPr>
            </w:pPr>
            <w:r>
              <w:rPr>
                <w:rFonts w:hint="eastAsia" w:ascii="楷体" w:hAnsi="楷体" w:eastAsia="楷体"/>
                <w:color w:val="000000"/>
                <w:sz w:val="24"/>
              </w:rPr>
              <w:t>1</w:t>
            </w:r>
          </w:p>
        </w:tc>
        <w:tc>
          <w:tcPr>
            <w:tcW w:w="1537" w:type="dxa"/>
            <w:vAlign w:val="center"/>
          </w:tcPr>
          <w:p w14:paraId="3ADDB8CB">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78AD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29278E35">
            <w:pPr>
              <w:widowControl/>
              <w:rPr>
                <w:rFonts w:asciiTheme="minorEastAsia" w:hAnsiTheme="minorEastAsia" w:eastAsiaTheme="minorEastAsia"/>
                <w:color w:val="000000" w:themeColor="text1"/>
                <w:sz w:val="24"/>
              </w:rPr>
            </w:pPr>
            <w:r>
              <w:rPr>
                <w:rFonts w:hint="eastAsia"/>
                <w:bCs/>
                <w:color w:val="000000" w:themeColor="text1"/>
                <w:sz w:val="24"/>
              </w:rPr>
              <w:t>2.本年单位项目支出绩效目标管理情况</w:t>
            </w:r>
          </w:p>
        </w:tc>
        <w:tc>
          <w:tcPr>
            <w:tcW w:w="1159" w:type="dxa"/>
            <w:gridSpan w:val="3"/>
            <w:vAlign w:val="center"/>
          </w:tcPr>
          <w:p w14:paraId="2E585DBB">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2741" w:type="dxa"/>
            <w:gridSpan w:val="2"/>
            <w:vAlign w:val="center"/>
          </w:tcPr>
          <w:p w14:paraId="60282FE1">
            <w:pPr>
              <w:widowControl/>
              <w:jc w:val="left"/>
              <w:rPr>
                <w:sz w:val="24"/>
              </w:rPr>
            </w:pPr>
            <w:r>
              <w:rPr>
                <w:rFonts w:hint="eastAsia"/>
                <w:color w:val="000000" w:themeColor="text1"/>
                <w:sz w:val="24"/>
              </w:rPr>
              <w:t>项目总数</w:t>
            </w:r>
          </w:p>
        </w:tc>
        <w:tc>
          <w:tcPr>
            <w:tcW w:w="1963" w:type="dxa"/>
            <w:gridSpan w:val="3"/>
            <w:vAlign w:val="center"/>
          </w:tcPr>
          <w:p w14:paraId="3006182B">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1</w:t>
            </w:r>
          </w:p>
        </w:tc>
        <w:tc>
          <w:tcPr>
            <w:tcW w:w="2878" w:type="dxa"/>
            <w:gridSpan w:val="4"/>
            <w:vAlign w:val="center"/>
          </w:tcPr>
          <w:p w14:paraId="461920AE">
            <w:pPr>
              <w:widowControl/>
              <w:jc w:val="left"/>
              <w:rPr>
                <w:sz w:val="24"/>
              </w:rPr>
            </w:pPr>
            <w:r>
              <w:rPr>
                <w:rFonts w:hint="eastAsia"/>
                <w:color w:val="000000" w:themeColor="text1"/>
                <w:sz w:val="24"/>
              </w:rPr>
              <w:t>已开展绩效目标管理的项目数量</w:t>
            </w:r>
          </w:p>
        </w:tc>
        <w:tc>
          <w:tcPr>
            <w:tcW w:w="2018" w:type="dxa"/>
            <w:vAlign w:val="center"/>
          </w:tcPr>
          <w:p w14:paraId="287CC70F">
            <w:pPr>
              <w:widowControl/>
              <w:jc w:val="center"/>
              <w:rPr>
                <w:rFonts w:ascii="楷体" w:hAnsi="楷体" w:eastAsia="楷体" w:cs="楷体"/>
                <w:bCs/>
                <w:color w:val="000000" w:themeColor="text1"/>
                <w:sz w:val="24"/>
              </w:rPr>
            </w:pPr>
            <w:r>
              <w:rPr>
                <w:rFonts w:hint="eastAsia" w:ascii="楷体" w:hAnsi="楷体" w:eastAsia="楷体"/>
                <w:color w:val="000000"/>
                <w:sz w:val="24"/>
              </w:rPr>
              <w:t>1</w:t>
            </w:r>
          </w:p>
        </w:tc>
        <w:tc>
          <w:tcPr>
            <w:tcW w:w="1537" w:type="dxa"/>
            <w:vAlign w:val="center"/>
          </w:tcPr>
          <w:p w14:paraId="27B0DC8B">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591C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2874" w:type="dxa"/>
            <w:gridSpan w:val="2"/>
            <w:noWrap/>
            <w:vAlign w:val="center"/>
          </w:tcPr>
          <w:p w14:paraId="7347AAEA">
            <w:pPr>
              <w:widowControl/>
              <w:rPr>
                <w:rFonts w:asciiTheme="minorEastAsia" w:hAnsiTheme="minorEastAsia" w:eastAsiaTheme="minorEastAsia"/>
                <w:color w:val="000000" w:themeColor="text1"/>
                <w:sz w:val="24"/>
              </w:rPr>
            </w:pPr>
            <w:r>
              <w:rPr>
                <w:rFonts w:hint="eastAsia"/>
                <w:bCs/>
                <w:color w:val="000000" w:themeColor="text1"/>
                <w:sz w:val="24"/>
              </w:rPr>
              <w:t>3.本年单位预算绩效运行监控执行情况</w:t>
            </w:r>
          </w:p>
        </w:tc>
        <w:tc>
          <w:tcPr>
            <w:tcW w:w="1159" w:type="dxa"/>
            <w:gridSpan w:val="3"/>
            <w:vAlign w:val="center"/>
          </w:tcPr>
          <w:p w14:paraId="4A27867E">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2741" w:type="dxa"/>
            <w:gridSpan w:val="2"/>
            <w:vAlign w:val="center"/>
          </w:tcPr>
          <w:p w14:paraId="045D1060">
            <w:pPr>
              <w:widowControl/>
              <w:jc w:val="left"/>
              <w:rPr>
                <w:sz w:val="24"/>
              </w:rPr>
            </w:pPr>
            <w:r>
              <w:rPr>
                <w:rFonts w:hint="eastAsia"/>
                <w:color w:val="000000" w:themeColor="text1"/>
                <w:sz w:val="24"/>
              </w:rPr>
              <w:t>项目总数</w:t>
            </w:r>
          </w:p>
        </w:tc>
        <w:tc>
          <w:tcPr>
            <w:tcW w:w="1963" w:type="dxa"/>
            <w:gridSpan w:val="3"/>
            <w:vAlign w:val="center"/>
          </w:tcPr>
          <w:p w14:paraId="16516CAC">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1</w:t>
            </w:r>
          </w:p>
        </w:tc>
        <w:tc>
          <w:tcPr>
            <w:tcW w:w="2878" w:type="dxa"/>
            <w:gridSpan w:val="4"/>
            <w:vAlign w:val="center"/>
          </w:tcPr>
          <w:p w14:paraId="4819375E">
            <w:pPr>
              <w:widowControl/>
              <w:jc w:val="left"/>
              <w:rPr>
                <w:sz w:val="24"/>
              </w:rPr>
            </w:pPr>
            <w:r>
              <w:rPr>
                <w:rFonts w:hint="eastAsia"/>
                <w:color w:val="000000" w:themeColor="text1"/>
                <w:sz w:val="24"/>
              </w:rPr>
              <w:t>已开展预算绩效运行监控的项目数量</w:t>
            </w:r>
          </w:p>
        </w:tc>
        <w:tc>
          <w:tcPr>
            <w:tcW w:w="2018" w:type="dxa"/>
            <w:vAlign w:val="center"/>
          </w:tcPr>
          <w:p w14:paraId="0C776C4F">
            <w:pPr>
              <w:widowControl/>
              <w:jc w:val="center"/>
              <w:rPr>
                <w:rFonts w:ascii="楷体" w:hAnsi="楷体" w:eastAsia="楷体" w:cs="楷体"/>
                <w:bCs/>
                <w:color w:val="000000" w:themeColor="text1"/>
                <w:sz w:val="24"/>
              </w:rPr>
            </w:pPr>
            <w:r>
              <w:rPr>
                <w:rFonts w:hint="eastAsia" w:ascii="楷体" w:hAnsi="楷体" w:eastAsia="楷体"/>
                <w:color w:val="000000"/>
                <w:sz w:val="24"/>
              </w:rPr>
              <w:t>1</w:t>
            </w:r>
          </w:p>
        </w:tc>
        <w:tc>
          <w:tcPr>
            <w:tcW w:w="1537" w:type="dxa"/>
            <w:vAlign w:val="center"/>
          </w:tcPr>
          <w:p w14:paraId="4A317225">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488E1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78E868B2">
            <w:pPr>
              <w:widowControl/>
              <w:rPr>
                <w:rFonts w:asciiTheme="minorEastAsia" w:hAnsiTheme="minorEastAsia" w:eastAsiaTheme="minorEastAsia"/>
                <w:color w:val="000000" w:themeColor="text1"/>
                <w:sz w:val="24"/>
              </w:rPr>
            </w:pPr>
            <w:r>
              <w:rPr>
                <w:rFonts w:hint="eastAsia"/>
                <w:bCs/>
                <w:color w:val="000000" w:themeColor="text1"/>
                <w:sz w:val="24"/>
              </w:rPr>
              <w:t>4.本年单位预算绩效自评执行情况</w:t>
            </w:r>
          </w:p>
        </w:tc>
        <w:tc>
          <w:tcPr>
            <w:tcW w:w="1159" w:type="dxa"/>
            <w:gridSpan w:val="3"/>
            <w:vAlign w:val="center"/>
          </w:tcPr>
          <w:p w14:paraId="6A963B9D">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2741" w:type="dxa"/>
            <w:gridSpan w:val="2"/>
            <w:vAlign w:val="center"/>
          </w:tcPr>
          <w:p w14:paraId="7430579C">
            <w:pPr>
              <w:widowControl/>
              <w:jc w:val="left"/>
              <w:rPr>
                <w:sz w:val="24"/>
              </w:rPr>
            </w:pPr>
            <w:r>
              <w:rPr>
                <w:rFonts w:hint="eastAsia"/>
                <w:color w:val="000000" w:themeColor="text1"/>
                <w:sz w:val="24"/>
              </w:rPr>
              <w:t>项目总数</w:t>
            </w:r>
          </w:p>
        </w:tc>
        <w:tc>
          <w:tcPr>
            <w:tcW w:w="1963" w:type="dxa"/>
            <w:gridSpan w:val="3"/>
            <w:vAlign w:val="center"/>
          </w:tcPr>
          <w:p w14:paraId="2A43A314">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1</w:t>
            </w:r>
          </w:p>
        </w:tc>
        <w:tc>
          <w:tcPr>
            <w:tcW w:w="2878" w:type="dxa"/>
            <w:gridSpan w:val="4"/>
            <w:vAlign w:val="center"/>
          </w:tcPr>
          <w:p w14:paraId="39BCFC16">
            <w:pPr>
              <w:widowControl/>
              <w:jc w:val="left"/>
              <w:rPr>
                <w:sz w:val="24"/>
              </w:rPr>
            </w:pPr>
            <w:r>
              <w:rPr>
                <w:rFonts w:hint="eastAsia"/>
                <w:color w:val="000000" w:themeColor="text1"/>
                <w:sz w:val="24"/>
              </w:rPr>
              <w:t>已开展预算绩效自评的项目数量</w:t>
            </w:r>
          </w:p>
        </w:tc>
        <w:tc>
          <w:tcPr>
            <w:tcW w:w="2018" w:type="dxa"/>
            <w:vAlign w:val="center"/>
          </w:tcPr>
          <w:p w14:paraId="38AFF75A">
            <w:pPr>
              <w:widowControl/>
              <w:jc w:val="center"/>
              <w:rPr>
                <w:rFonts w:ascii="楷体" w:hAnsi="楷体" w:eastAsia="楷体" w:cs="楷体"/>
                <w:bCs/>
                <w:color w:val="000000" w:themeColor="text1"/>
                <w:sz w:val="24"/>
              </w:rPr>
            </w:pPr>
            <w:r>
              <w:rPr>
                <w:rFonts w:hint="eastAsia" w:ascii="楷体" w:hAnsi="楷体" w:eastAsia="楷体"/>
                <w:color w:val="000000"/>
                <w:sz w:val="24"/>
              </w:rPr>
              <w:t>1</w:t>
            </w:r>
          </w:p>
        </w:tc>
        <w:tc>
          <w:tcPr>
            <w:tcW w:w="1537" w:type="dxa"/>
            <w:vAlign w:val="center"/>
          </w:tcPr>
          <w:p w14:paraId="16EF3CF8">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5EDF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7BEDC64F">
            <w:pPr>
              <w:widowControl/>
              <w:rPr>
                <w:rFonts w:asciiTheme="minorEastAsia" w:hAnsiTheme="minorEastAsia" w:eastAsiaTheme="minorEastAsia"/>
                <w:strike/>
                <w:color w:val="000000" w:themeColor="text1"/>
                <w:sz w:val="24"/>
              </w:rPr>
            </w:pPr>
            <w:r>
              <w:rPr>
                <w:rFonts w:hint="eastAsia" w:asciiTheme="minorEastAsia" w:hAnsiTheme="minorEastAsia" w:eastAsiaTheme="minorEastAsia"/>
                <w:color w:val="000000" w:themeColor="text1"/>
                <w:sz w:val="24"/>
              </w:rPr>
              <w:t>5</w:t>
            </w:r>
            <w:r>
              <w:rPr>
                <w:rFonts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非税收入管控情况</w:t>
            </w:r>
          </w:p>
        </w:tc>
        <w:tc>
          <w:tcPr>
            <w:tcW w:w="1159" w:type="dxa"/>
            <w:gridSpan w:val="3"/>
            <w:vAlign w:val="center"/>
          </w:tcPr>
          <w:p w14:paraId="6A63C99D">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2741" w:type="dxa"/>
            <w:gridSpan w:val="2"/>
            <w:vAlign w:val="center"/>
          </w:tcPr>
          <w:p w14:paraId="66654530">
            <w:pPr>
              <w:widowControl/>
              <w:jc w:val="left"/>
              <w:rPr>
                <w:sz w:val="24"/>
              </w:rPr>
            </w:pPr>
            <w:r>
              <w:rPr>
                <w:rFonts w:hint="eastAsia"/>
                <w:sz w:val="24"/>
              </w:rPr>
              <w:t>应上缴非税收入金额</w:t>
            </w:r>
          </w:p>
        </w:tc>
        <w:tc>
          <w:tcPr>
            <w:tcW w:w="1963" w:type="dxa"/>
            <w:gridSpan w:val="3"/>
            <w:vAlign w:val="center"/>
          </w:tcPr>
          <w:p w14:paraId="78526782">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0</w:t>
            </w:r>
          </w:p>
        </w:tc>
        <w:tc>
          <w:tcPr>
            <w:tcW w:w="2878" w:type="dxa"/>
            <w:gridSpan w:val="4"/>
            <w:vAlign w:val="center"/>
          </w:tcPr>
          <w:p w14:paraId="6AC26DBC">
            <w:pPr>
              <w:widowControl/>
              <w:jc w:val="left"/>
              <w:rPr>
                <w:sz w:val="24"/>
              </w:rPr>
            </w:pPr>
            <w:r>
              <w:rPr>
                <w:rFonts w:hint="eastAsia"/>
                <w:sz w:val="24"/>
              </w:rPr>
              <w:t>实际上缴非税收入金额</w:t>
            </w:r>
          </w:p>
        </w:tc>
        <w:tc>
          <w:tcPr>
            <w:tcW w:w="2018" w:type="dxa"/>
            <w:vAlign w:val="center"/>
          </w:tcPr>
          <w:p w14:paraId="3B792B96">
            <w:pPr>
              <w:widowControl/>
              <w:jc w:val="center"/>
              <w:rPr>
                <w:rFonts w:ascii="楷体" w:hAnsi="楷体" w:eastAsia="楷体" w:cs="楷体"/>
                <w:bCs/>
                <w:color w:val="000000" w:themeColor="text1"/>
                <w:sz w:val="24"/>
              </w:rPr>
            </w:pPr>
            <w:r>
              <w:rPr>
                <w:rFonts w:hint="eastAsia" w:ascii="楷体" w:hAnsi="楷体" w:eastAsia="楷体"/>
                <w:color w:val="000000"/>
                <w:sz w:val="24"/>
              </w:rPr>
              <w:t>0</w:t>
            </w:r>
          </w:p>
        </w:tc>
        <w:tc>
          <w:tcPr>
            <w:tcW w:w="1537" w:type="dxa"/>
            <w:vAlign w:val="center"/>
          </w:tcPr>
          <w:p w14:paraId="680AA28C">
            <w:pPr>
              <w:widowControl/>
              <w:jc w:val="center"/>
              <w:rPr>
                <w:rFonts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 xml:space="preserve"> </w:t>
            </w:r>
            <w:r>
              <w:rPr>
                <w:rFonts w:hint="eastAsia" w:ascii="楷体" w:hAnsi="楷体" w:eastAsia="楷体"/>
                <w:color w:val="000000"/>
                <w:sz w:val="24"/>
              </w:rPr>
              <w:t>%</w:t>
            </w:r>
          </w:p>
        </w:tc>
      </w:tr>
      <w:tr w14:paraId="19B8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7F34041C">
            <w:pPr>
              <w:widowControl/>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6.本年支出预决算对比情况</w:t>
            </w:r>
          </w:p>
        </w:tc>
        <w:tc>
          <w:tcPr>
            <w:tcW w:w="1159" w:type="dxa"/>
            <w:gridSpan w:val="3"/>
            <w:vAlign w:val="center"/>
          </w:tcPr>
          <w:p w14:paraId="458D2693">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2741" w:type="dxa"/>
            <w:gridSpan w:val="2"/>
            <w:vAlign w:val="center"/>
          </w:tcPr>
          <w:p w14:paraId="2833AD01">
            <w:pPr>
              <w:widowControl/>
              <w:jc w:val="left"/>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本年支出预算金额</w:t>
            </w:r>
          </w:p>
        </w:tc>
        <w:tc>
          <w:tcPr>
            <w:tcW w:w="1963" w:type="dxa"/>
            <w:gridSpan w:val="3"/>
            <w:vAlign w:val="center"/>
          </w:tcPr>
          <w:p w14:paraId="0428D035">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18614876</w:t>
            </w:r>
          </w:p>
        </w:tc>
        <w:tc>
          <w:tcPr>
            <w:tcW w:w="2878" w:type="dxa"/>
            <w:gridSpan w:val="4"/>
            <w:vAlign w:val="center"/>
          </w:tcPr>
          <w:p w14:paraId="3FC6BD2B">
            <w:pPr>
              <w:widowControl/>
              <w:jc w:val="left"/>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本年实际支出总额</w:t>
            </w:r>
          </w:p>
        </w:tc>
        <w:tc>
          <w:tcPr>
            <w:tcW w:w="2018" w:type="dxa"/>
            <w:vAlign w:val="center"/>
          </w:tcPr>
          <w:p w14:paraId="5801C245">
            <w:pPr>
              <w:widowControl/>
              <w:jc w:val="center"/>
              <w:rPr>
                <w:rFonts w:ascii="楷体" w:hAnsi="楷体" w:eastAsia="楷体" w:cs="楷体"/>
                <w:bCs/>
                <w:color w:val="000000" w:themeColor="text1"/>
                <w:sz w:val="24"/>
              </w:rPr>
            </w:pPr>
            <w:r>
              <w:rPr>
                <w:rFonts w:hint="eastAsia" w:ascii="楷体" w:hAnsi="楷体" w:eastAsia="楷体"/>
                <w:color w:val="000000"/>
                <w:sz w:val="24"/>
              </w:rPr>
              <w:t>18614876</w:t>
            </w:r>
          </w:p>
        </w:tc>
        <w:tc>
          <w:tcPr>
            <w:tcW w:w="1537" w:type="dxa"/>
            <w:vAlign w:val="center"/>
          </w:tcPr>
          <w:p w14:paraId="60581F79">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2958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2EF22B60">
            <w:pPr>
              <w:widowControl/>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7.“三公”经费支出上下年对比情况</w:t>
            </w:r>
          </w:p>
        </w:tc>
        <w:tc>
          <w:tcPr>
            <w:tcW w:w="1159" w:type="dxa"/>
            <w:gridSpan w:val="3"/>
            <w:vAlign w:val="center"/>
          </w:tcPr>
          <w:p w14:paraId="64B6C7FA">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2741" w:type="dxa"/>
            <w:gridSpan w:val="2"/>
            <w:vAlign w:val="center"/>
          </w:tcPr>
          <w:p w14:paraId="0C37E2CB">
            <w:pPr>
              <w:widowControl/>
              <w:jc w:val="left"/>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上年“三公”经费决算数</w:t>
            </w:r>
          </w:p>
        </w:tc>
        <w:tc>
          <w:tcPr>
            <w:tcW w:w="1963" w:type="dxa"/>
            <w:gridSpan w:val="3"/>
            <w:vAlign w:val="center"/>
          </w:tcPr>
          <w:p w14:paraId="29D02FF9">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31456</w:t>
            </w:r>
          </w:p>
        </w:tc>
        <w:tc>
          <w:tcPr>
            <w:tcW w:w="2878" w:type="dxa"/>
            <w:gridSpan w:val="4"/>
            <w:vAlign w:val="center"/>
          </w:tcPr>
          <w:p w14:paraId="62DB7C4E">
            <w:pPr>
              <w:widowControl/>
              <w:jc w:val="left"/>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本年“三公”经费决算数</w:t>
            </w:r>
          </w:p>
        </w:tc>
        <w:tc>
          <w:tcPr>
            <w:tcW w:w="2018" w:type="dxa"/>
            <w:vAlign w:val="center"/>
          </w:tcPr>
          <w:p w14:paraId="45ED80BC">
            <w:pPr>
              <w:widowControl/>
              <w:jc w:val="center"/>
              <w:rPr>
                <w:rFonts w:ascii="楷体" w:hAnsi="楷体" w:eastAsia="楷体" w:cs="楷体"/>
                <w:bCs/>
                <w:color w:val="000000" w:themeColor="text1"/>
                <w:sz w:val="24"/>
              </w:rPr>
            </w:pPr>
            <w:r>
              <w:rPr>
                <w:rFonts w:hint="eastAsia" w:ascii="楷体" w:hAnsi="楷体" w:eastAsia="楷体"/>
                <w:color w:val="000000"/>
                <w:sz w:val="24"/>
              </w:rPr>
              <w:t>30000</w:t>
            </w:r>
          </w:p>
        </w:tc>
        <w:tc>
          <w:tcPr>
            <w:tcW w:w="1537" w:type="dxa"/>
            <w:vAlign w:val="center"/>
          </w:tcPr>
          <w:p w14:paraId="5A826F63">
            <w:pPr>
              <w:widowControl/>
              <w:jc w:val="center"/>
              <w:rPr>
                <w:rFonts w:ascii="楷体" w:hAnsi="楷体" w:eastAsia="楷体"/>
                <w:color w:val="000000"/>
                <w:sz w:val="24"/>
              </w:rPr>
            </w:pPr>
            <w:r>
              <w:rPr>
                <w:rFonts w:hint="eastAsia" w:ascii="楷体" w:hAnsi="楷体" w:eastAsia="楷体"/>
                <w:color w:val="000000"/>
                <w:sz w:val="24"/>
              </w:rPr>
              <w:t>95.37</w:t>
            </w:r>
            <w:r>
              <w:rPr>
                <w:rFonts w:ascii="楷体" w:hAnsi="楷体" w:eastAsia="楷体"/>
                <w:color w:val="000000"/>
                <w:sz w:val="24"/>
              </w:rPr>
              <w:t xml:space="preserve"> </w:t>
            </w:r>
            <w:r>
              <w:rPr>
                <w:rFonts w:hint="eastAsia" w:ascii="楷体" w:hAnsi="楷体" w:eastAsia="楷体"/>
                <w:color w:val="000000"/>
                <w:sz w:val="24"/>
              </w:rPr>
              <w:t>%</w:t>
            </w:r>
          </w:p>
        </w:tc>
      </w:tr>
      <w:tr w14:paraId="7977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76149618">
            <w:pPr>
              <w:widowControl/>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8.政府采购预算完成情况</w:t>
            </w:r>
          </w:p>
        </w:tc>
        <w:tc>
          <w:tcPr>
            <w:tcW w:w="1159" w:type="dxa"/>
            <w:gridSpan w:val="3"/>
            <w:vAlign w:val="center"/>
          </w:tcPr>
          <w:p w14:paraId="2BFCF148">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2741" w:type="dxa"/>
            <w:gridSpan w:val="2"/>
            <w:vAlign w:val="center"/>
          </w:tcPr>
          <w:p w14:paraId="336D5520">
            <w:pPr>
              <w:widowControl/>
              <w:jc w:val="left"/>
              <w:rPr>
                <w:sz w:val="24"/>
              </w:rPr>
            </w:pPr>
            <w:r>
              <w:rPr>
                <w:rFonts w:hint="eastAsia"/>
                <w:sz w:val="24"/>
              </w:rPr>
              <w:t>本年计划采购金额</w:t>
            </w:r>
          </w:p>
        </w:tc>
        <w:tc>
          <w:tcPr>
            <w:tcW w:w="1963" w:type="dxa"/>
            <w:gridSpan w:val="3"/>
            <w:vAlign w:val="center"/>
          </w:tcPr>
          <w:p w14:paraId="25769172">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0</w:t>
            </w:r>
          </w:p>
        </w:tc>
        <w:tc>
          <w:tcPr>
            <w:tcW w:w="2878" w:type="dxa"/>
            <w:gridSpan w:val="4"/>
            <w:vAlign w:val="center"/>
          </w:tcPr>
          <w:p w14:paraId="66C29B12">
            <w:pPr>
              <w:widowControl/>
              <w:jc w:val="left"/>
              <w:rPr>
                <w:sz w:val="24"/>
              </w:rPr>
            </w:pPr>
            <w:r>
              <w:rPr>
                <w:rFonts w:hint="eastAsia"/>
                <w:sz w:val="24"/>
              </w:rPr>
              <w:t>本年实际采购金额</w:t>
            </w:r>
          </w:p>
        </w:tc>
        <w:tc>
          <w:tcPr>
            <w:tcW w:w="2018" w:type="dxa"/>
            <w:vAlign w:val="center"/>
          </w:tcPr>
          <w:p w14:paraId="3CDBFCF7">
            <w:pPr>
              <w:widowControl/>
              <w:jc w:val="center"/>
              <w:rPr>
                <w:rFonts w:ascii="楷体" w:hAnsi="楷体" w:eastAsia="楷体" w:cs="楷体"/>
                <w:bCs/>
                <w:color w:val="000000" w:themeColor="text1"/>
                <w:sz w:val="24"/>
              </w:rPr>
            </w:pPr>
            <w:r>
              <w:rPr>
                <w:rFonts w:hint="eastAsia" w:ascii="楷体" w:hAnsi="楷体" w:eastAsia="楷体"/>
                <w:color w:val="000000"/>
                <w:sz w:val="24"/>
              </w:rPr>
              <w:t>0</w:t>
            </w:r>
          </w:p>
        </w:tc>
        <w:tc>
          <w:tcPr>
            <w:tcW w:w="1537" w:type="dxa"/>
            <w:vAlign w:val="center"/>
          </w:tcPr>
          <w:p w14:paraId="47D62A0F">
            <w:pPr>
              <w:widowControl/>
              <w:jc w:val="center"/>
              <w:rPr>
                <w:rFonts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 xml:space="preserve"> </w:t>
            </w:r>
            <w:r>
              <w:rPr>
                <w:rFonts w:hint="eastAsia" w:ascii="楷体" w:hAnsi="楷体" w:eastAsia="楷体"/>
                <w:color w:val="000000"/>
                <w:sz w:val="24"/>
              </w:rPr>
              <w:t>%</w:t>
            </w:r>
          </w:p>
        </w:tc>
      </w:tr>
      <w:tr w14:paraId="4B29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5066720B">
            <w:pPr>
              <w:widowControl/>
              <w:rPr>
                <w:rFonts w:asciiTheme="minorEastAsia" w:hAnsiTheme="minorEastAsia" w:eastAsiaTheme="minorEastAsia"/>
                <w:strike/>
                <w:color w:val="000000" w:themeColor="text1"/>
                <w:sz w:val="24"/>
              </w:rPr>
            </w:pPr>
            <w:r>
              <w:rPr>
                <w:rFonts w:hint="eastAsia" w:asciiTheme="minorEastAsia" w:hAnsiTheme="minorEastAsia" w:eastAsiaTheme="minorEastAsia"/>
                <w:color w:val="000000" w:themeColor="text1"/>
                <w:sz w:val="24"/>
              </w:rPr>
              <w:t>9</w:t>
            </w:r>
            <w:r>
              <w:rPr>
                <w:rFonts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资产账实相符程度</w:t>
            </w:r>
          </w:p>
        </w:tc>
        <w:tc>
          <w:tcPr>
            <w:tcW w:w="1159" w:type="dxa"/>
            <w:gridSpan w:val="3"/>
            <w:vAlign w:val="center"/>
          </w:tcPr>
          <w:p w14:paraId="547809B4">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2741" w:type="dxa"/>
            <w:gridSpan w:val="2"/>
            <w:vAlign w:val="center"/>
          </w:tcPr>
          <w:p w14:paraId="5499A7F4">
            <w:pPr>
              <w:widowControl/>
              <w:jc w:val="left"/>
              <w:rPr>
                <w:sz w:val="24"/>
              </w:rPr>
            </w:pPr>
            <w:r>
              <w:rPr>
                <w:rFonts w:hint="eastAsia"/>
                <w:sz w:val="24"/>
              </w:rPr>
              <w:t>年末总资产账面金额</w:t>
            </w:r>
          </w:p>
        </w:tc>
        <w:tc>
          <w:tcPr>
            <w:tcW w:w="1963" w:type="dxa"/>
            <w:gridSpan w:val="3"/>
            <w:vAlign w:val="center"/>
          </w:tcPr>
          <w:p w14:paraId="395D8CE5">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6745392</w:t>
            </w:r>
          </w:p>
        </w:tc>
        <w:tc>
          <w:tcPr>
            <w:tcW w:w="2878" w:type="dxa"/>
            <w:gridSpan w:val="4"/>
            <w:vAlign w:val="center"/>
          </w:tcPr>
          <w:p w14:paraId="1A06A482">
            <w:pPr>
              <w:widowControl/>
              <w:jc w:val="left"/>
              <w:rPr>
                <w:sz w:val="24"/>
              </w:rPr>
            </w:pPr>
            <w:r>
              <w:rPr>
                <w:rFonts w:hint="eastAsia"/>
                <w:sz w:val="24"/>
              </w:rPr>
              <w:t>年末资产清查总额</w:t>
            </w:r>
          </w:p>
        </w:tc>
        <w:tc>
          <w:tcPr>
            <w:tcW w:w="2018" w:type="dxa"/>
            <w:vAlign w:val="center"/>
          </w:tcPr>
          <w:p w14:paraId="2BA1DC9D">
            <w:pPr>
              <w:widowControl/>
              <w:jc w:val="center"/>
              <w:rPr>
                <w:rFonts w:ascii="楷体" w:hAnsi="楷体" w:eastAsia="楷体" w:cs="楷体"/>
                <w:bCs/>
                <w:color w:val="000000" w:themeColor="text1"/>
                <w:sz w:val="24"/>
              </w:rPr>
            </w:pPr>
            <w:r>
              <w:rPr>
                <w:rFonts w:hint="eastAsia" w:ascii="楷体" w:hAnsi="楷体" w:eastAsia="楷体"/>
                <w:color w:val="000000"/>
                <w:sz w:val="24"/>
              </w:rPr>
              <w:t>6648675</w:t>
            </w:r>
          </w:p>
        </w:tc>
        <w:tc>
          <w:tcPr>
            <w:tcW w:w="1537" w:type="dxa"/>
            <w:vAlign w:val="center"/>
          </w:tcPr>
          <w:p w14:paraId="1C75624E">
            <w:pPr>
              <w:widowControl/>
              <w:jc w:val="center"/>
              <w:rPr>
                <w:rFonts w:ascii="楷体" w:hAnsi="楷体" w:eastAsia="楷体"/>
                <w:color w:val="000000"/>
                <w:sz w:val="24"/>
              </w:rPr>
            </w:pPr>
            <w:r>
              <w:rPr>
                <w:rFonts w:hint="eastAsia" w:ascii="楷体" w:hAnsi="楷体" w:eastAsia="楷体"/>
                <w:color w:val="000000"/>
                <w:sz w:val="24"/>
              </w:rPr>
              <w:t>98.57</w:t>
            </w:r>
            <w:r>
              <w:rPr>
                <w:rFonts w:ascii="楷体" w:hAnsi="楷体" w:eastAsia="楷体"/>
                <w:color w:val="000000"/>
                <w:sz w:val="24"/>
              </w:rPr>
              <w:t xml:space="preserve"> </w:t>
            </w:r>
            <w:r>
              <w:rPr>
                <w:rFonts w:hint="eastAsia" w:ascii="楷体" w:hAnsi="楷体" w:eastAsia="楷体"/>
                <w:color w:val="000000"/>
                <w:sz w:val="24"/>
              </w:rPr>
              <w:t>%</w:t>
            </w:r>
          </w:p>
        </w:tc>
      </w:tr>
      <w:tr w14:paraId="4F36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17E85BBC">
            <w:pPr>
              <w:widowControl/>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10</w:t>
            </w:r>
            <w:r>
              <w:rPr>
                <w:rFonts w:asciiTheme="minorEastAsia" w:hAnsiTheme="minorEastAsia" w:eastAsiaTheme="minorEastAsia"/>
                <w:color w:val="000000" w:themeColor="text1"/>
                <w:sz w:val="24"/>
              </w:rPr>
              <w:t>.</w:t>
            </w:r>
            <w:r>
              <w:rPr>
                <w:rFonts w:hint="eastAsia" w:asciiTheme="minorEastAsia" w:hAnsiTheme="minorEastAsia" w:eastAsiaTheme="minorEastAsia"/>
                <w:sz w:val="24"/>
              </w:rPr>
              <w:t>固定资产处置规范程度</w:t>
            </w:r>
          </w:p>
        </w:tc>
        <w:tc>
          <w:tcPr>
            <w:tcW w:w="1159" w:type="dxa"/>
            <w:gridSpan w:val="3"/>
            <w:vAlign w:val="center"/>
          </w:tcPr>
          <w:p w14:paraId="475154AB">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2741" w:type="dxa"/>
            <w:gridSpan w:val="2"/>
            <w:vAlign w:val="center"/>
          </w:tcPr>
          <w:p w14:paraId="7B52C070">
            <w:pPr>
              <w:widowControl/>
              <w:jc w:val="left"/>
              <w:rPr>
                <w:sz w:val="24"/>
              </w:rPr>
            </w:pPr>
            <w:r>
              <w:rPr>
                <w:rFonts w:hint="eastAsia"/>
                <w:sz w:val="24"/>
              </w:rPr>
              <w:t>固定资产本期减少额</w:t>
            </w:r>
          </w:p>
        </w:tc>
        <w:tc>
          <w:tcPr>
            <w:tcW w:w="1963" w:type="dxa"/>
            <w:gridSpan w:val="3"/>
            <w:vAlign w:val="center"/>
          </w:tcPr>
          <w:p w14:paraId="58025879">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0</w:t>
            </w:r>
          </w:p>
        </w:tc>
        <w:tc>
          <w:tcPr>
            <w:tcW w:w="2878" w:type="dxa"/>
            <w:gridSpan w:val="4"/>
            <w:vAlign w:val="center"/>
          </w:tcPr>
          <w:p w14:paraId="76F8E075">
            <w:pPr>
              <w:widowControl/>
              <w:jc w:val="left"/>
              <w:rPr>
                <w:sz w:val="24"/>
              </w:rPr>
            </w:pPr>
            <w:r>
              <w:rPr>
                <w:rFonts w:hint="eastAsia"/>
                <w:sz w:val="24"/>
              </w:rPr>
              <w:t>固定资产处置审批金额</w:t>
            </w:r>
          </w:p>
        </w:tc>
        <w:tc>
          <w:tcPr>
            <w:tcW w:w="2018" w:type="dxa"/>
            <w:vAlign w:val="center"/>
          </w:tcPr>
          <w:p w14:paraId="5D02DAB0">
            <w:pPr>
              <w:widowControl/>
              <w:jc w:val="center"/>
              <w:rPr>
                <w:rFonts w:ascii="楷体" w:hAnsi="楷体" w:eastAsia="楷体" w:cs="楷体"/>
                <w:bCs/>
                <w:color w:val="000000" w:themeColor="text1"/>
                <w:sz w:val="24"/>
              </w:rPr>
            </w:pPr>
            <w:r>
              <w:rPr>
                <w:rFonts w:hint="eastAsia" w:ascii="楷体" w:hAnsi="楷体" w:eastAsia="楷体"/>
                <w:color w:val="000000"/>
                <w:sz w:val="24"/>
              </w:rPr>
              <w:t>0</w:t>
            </w:r>
          </w:p>
        </w:tc>
        <w:tc>
          <w:tcPr>
            <w:tcW w:w="1537" w:type="dxa"/>
            <w:vAlign w:val="center"/>
          </w:tcPr>
          <w:p w14:paraId="741952B7">
            <w:pPr>
              <w:widowControl/>
              <w:jc w:val="center"/>
              <w:rPr>
                <w:rFonts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 xml:space="preserve"> </w:t>
            </w:r>
            <w:r>
              <w:rPr>
                <w:rFonts w:hint="eastAsia" w:ascii="楷体" w:hAnsi="楷体" w:eastAsia="楷体"/>
                <w:color w:val="000000"/>
                <w:sz w:val="24"/>
              </w:rPr>
              <w:t>%</w:t>
            </w:r>
          </w:p>
        </w:tc>
      </w:tr>
      <w:tr w14:paraId="0812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18272BC4">
            <w:pPr>
              <w:widowControl/>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11.项目投资计划完成情况</w:t>
            </w:r>
          </w:p>
        </w:tc>
        <w:tc>
          <w:tcPr>
            <w:tcW w:w="1159" w:type="dxa"/>
            <w:gridSpan w:val="3"/>
            <w:vAlign w:val="center"/>
          </w:tcPr>
          <w:p w14:paraId="64905317">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2741" w:type="dxa"/>
            <w:gridSpan w:val="2"/>
            <w:vAlign w:val="center"/>
          </w:tcPr>
          <w:p w14:paraId="1FE1D87D">
            <w:pPr>
              <w:widowControl/>
              <w:jc w:val="left"/>
              <w:rPr>
                <w:sz w:val="24"/>
              </w:rPr>
            </w:pPr>
            <w:r>
              <w:rPr>
                <w:rFonts w:hint="eastAsia"/>
                <w:sz w:val="24"/>
              </w:rPr>
              <w:t>年度投资计划总额</w:t>
            </w:r>
          </w:p>
        </w:tc>
        <w:tc>
          <w:tcPr>
            <w:tcW w:w="1963" w:type="dxa"/>
            <w:gridSpan w:val="3"/>
            <w:vAlign w:val="center"/>
          </w:tcPr>
          <w:p w14:paraId="5B82BE73">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6648675</w:t>
            </w:r>
          </w:p>
        </w:tc>
        <w:tc>
          <w:tcPr>
            <w:tcW w:w="2878" w:type="dxa"/>
            <w:gridSpan w:val="4"/>
            <w:vAlign w:val="center"/>
          </w:tcPr>
          <w:p w14:paraId="3DC53573">
            <w:pPr>
              <w:widowControl/>
              <w:jc w:val="left"/>
              <w:rPr>
                <w:sz w:val="24"/>
              </w:rPr>
            </w:pPr>
            <w:r>
              <w:rPr>
                <w:rFonts w:hint="eastAsia"/>
                <w:sz w:val="24"/>
              </w:rPr>
              <w:t>年度实际投资额</w:t>
            </w:r>
          </w:p>
        </w:tc>
        <w:tc>
          <w:tcPr>
            <w:tcW w:w="2018" w:type="dxa"/>
            <w:vAlign w:val="center"/>
          </w:tcPr>
          <w:p w14:paraId="43323CA3">
            <w:pPr>
              <w:widowControl/>
              <w:jc w:val="center"/>
              <w:rPr>
                <w:rFonts w:ascii="楷体" w:hAnsi="楷体" w:eastAsia="楷体" w:cs="楷体"/>
                <w:bCs/>
                <w:color w:val="000000" w:themeColor="text1"/>
                <w:sz w:val="24"/>
              </w:rPr>
            </w:pPr>
            <w:r>
              <w:rPr>
                <w:rFonts w:hint="eastAsia" w:ascii="楷体" w:hAnsi="楷体" w:eastAsia="楷体"/>
                <w:color w:val="000000"/>
                <w:sz w:val="24"/>
              </w:rPr>
              <w:t>6648675</w:t>
            </w:r>
          </w:p>
        </w:tc>
        <w:tc>
          <w:tcPr>
            <w:tcW w:w="1537" w:type="dxa"/>
            <w:vAlign w:val="center"/>
          </w:tcPr>
          <w:p w14:paraId="52AC428A">
            <w:pPr>
              <w:widowControl/>
              <w:jc w:val="center"/>
              <w:rPr>
                <w:rFonts w:ascii="楷体" w:hAnsi="楷体" w:eastAsia="楷体"/>
                <w:color w:val="000000"/>
                <w:sz w:val="24"/>
              </w:rPr>
            </w:pPr>
            <w:r>
              <w:rPr>
                <w:rFonts w:hint="eastAsia" w:ascii="楷体" w:hAnsi="楷体" w:eastAsia="楷体"/>
                <w:color w:val="000000"/>
                <w:sz w:val="24"/>
              </w:rPr>
              <w:t>100.00</w:t>
            </w:r>
            <w:r>
              <w:rPr>
                <w:rFonts w:ascii="楷体" w:hAnsi="楷体" w:eastAsia="楷体"/>
                <w:color w:val="000000"/>
                <w:sz w:val="24"/>
              </w:rPr>
              <w:t xml:space="preserve"> </w:t>
            </w:r>
            <w:r>
              <w:rPr>
                <w:rFonts w:hint="eastAsia" w:ascii="楷体" w:hAnsi="楷体" w:eastAsia="楷体"/>
                <w:color w:val="000000"/>
                <w:sz w:val="24"/>
              </w:rPr>
              <w:t>%</w:t>
            </w:r>
          </w:p>
        </w:tc>
      </w:tr>
      <w:tr w14:paraId="0D73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2874" w:type="dxa"/>
            <w:gridSpan w:val="2"/>
            <w:noWrap/>
            <w:vAlign w:val="center"/>
          </w:tcPr>
          <w:p w14:paraId="702522E5">
            <w:pPr>
              <w:widowControl/>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12.合同订立规范情况</w:t>
            </w:r>
          </w:p>
        </w:tc>
        <w:tc>
          <w:tcPr>
            <w:tcW w:w="1159" w:type="dxa"/>
            <w:gridSpan w:val="3"/>
            <w:vAlign w:val="center"/>
          </w:tcPr>
          <w:p w14:paraId="745E5392">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是</w:t>
            </w:r>
          </w:p>
        </w:tc>
        <w:tc>
          <w:tcPr>
            <w:tcW w:w="2741" w:type="dxa"/>
            <w:gridSpan w:val="2"/>
            <w:vAlign w:val="center"/>
          </w:tcPr>
          <w:p w14:paraId="5D50EA26">
            <w:pPr>
              <w:widowControl/>
              <w:jc w:val="left"/>
              <w:rPr>
                <w:sz w:val="24"/>
              </w:rPr>
            </w:pPr>
            <w:r>
              <w:rPr>
                <w:rFonts w:hint="eastAsia"/>
                <w:sz w:val="24"/>
              </w:rPr>
              <w:t>合同订立数</w:t>
            </w:r>
          </w:p>
        </w:tc>
        <w:tc>
          <w:tcPr>
            <w:tcW w:w="1963" w:type="dxa"/>
            <w:gridSpan w:val="3"/>
            <w:vAlign w:val="center"/>
          </w:tcPr>
          <w:p w14:paraId="1045E436">
            <w:pPr>
              <w:widowControl/>
              <w:jc w:val="center"/>
              <w:rPr>
                <w:rFonts w:ascii="楷体" w:hAnsi="楷体" w:eastAsia="楷体" w:cs="楷体"/>
                <w:bCs/>
                <w:color w:val="000000" w:themeColor="text1"/>
                <w:sz w:val="24"/>
              </w:rPr>
            </w:pPr>
            <w:r>
              <w:rPr>
                <w:rFonts w:hint="eastAsia" w:ascii="楷体" w:hAnsi="楷体" w:eastAsia="楷体" w:cs="楷体"/>
                <w:bCs/>
                <w:color w:val="000000" w:themeColor="text1"/>
                <w:sz w:val="24"/>
              </w:rPr>
              <w:t>0</w:t>
            </w:r>
          </w:p>
        </w:tc>
        <w:tc>
          <w:tcPr>
            <w:tcW w:w="2878" w:type="dxa"/>
            <w:gridSpan w:val="4"/>
            <w:vAlign w:val="center"/>
          </w:tcPr>
          <w:p w14:paraId="310893E0">
            <w:pPr>
              <w:widowControl/>
              <w:jc w:val="left"/>
              <w:rPr>
                <w:sz w:val="24"/>
              </w:rPr>
            </w:pPr>
            <w:r>
              <w:rPr>
                <w:rFonts w:hint="eastAsia"/>
                <w:sz w:val="24"/>
              </w:rPr>
              <w:t>经合法性审查的合同数</w:t>
            </w:r>
          </w:p>
        </w:tc>
        <w:tc>
          <w:tcPr>
            <w:tcW w:w="2018" w:type="dxa"/>
            <w:vAlign w:val="center"/>
          </w:tcPr>
          <w:p w14:paraId="4F2A8CB0">
            <w:pPr>
              <w:widowControl/>
              <w:jc w:val="center"/>
              <w:rPr>
                <w:rFonts w:ascii="楷体" w:hAnsi="楷体" w:eastAsia="楷体" w:cs="楷体"/>
                <w:bCs/>
                <w:color w:val="000000" w:themeColor="text1"/>
                <w:sz w:val="24"/>
              </w:rPr>
            </w:pPr>
            <w:r>
              <w:rPr>
                <w:rFonts w:hint="eastAsia" w:ascii="楷体" w:hAnsi="楷体" w:eastAsia="楷体"/>
                <w:color w:val="000000"/>
                <w:sz w:val="24"/>
              </w:rPr>
              <w:t>0</w:t>
            </w:r>
          </w:p>
        </w:tc>
        <w:tc>
          <w:tcPr>
            <w:tcW w:w="1537" w:type="dxa"/>
            <w:vAlign w:val="center"/>
          </w:tcPr>
          <w:p w14:paraId="7E278B61">
            <w:pPr>
              <w:widowControl/>
              <w:jc w:val="center"/>
              <w:rPr>
                <w:rFonts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 xml:space="preserve"> </w:t>
            </w:r>
            <w:r>
              <w:rPr>
                <w:rFonts w:hint="eastAsia" w:ascii="楷体" w:hAnsi="楷体" w:eastAsia="楷体"/>
                <w:color w:val="000000"/>
                <w:sz w:val="24"/>
              </w:rPr>
              <w:t>%</w:t>
            </w:r>
          </w:p>
        </w:tc>
      </w:tr>
      <w:tr w14:paraId="4FF6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23751138">
            <w:pPr>
              <w:widowControl/>
              <w:rPr>
                <w:b/>
                <w:color w:val="000000" w:themeColor="text1"/>
                <w:sz w:val="24"/>
              </w:rPr>
            </w:pPr>
            <w:r>
              <w:rPr>
                <w:rFonts w:hint="eastAsia"/>
                <w:b/>
                <w:color w:val="000000" w:themeColor="text1"/>
                <w:sz w:val="24"/>
              </w:rPr>
              <w:t>三、内部控制信息化情况</w:t>
            </w:r>
          </w:p>
        </w:tc>
      </w:tr>
      <w:tr w14:paraId="33C1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087FAB9F">
            <w:pPr>
              <w:widowControl/>
              <w:rPr>
                <w:color w:val="000000" w:themeColor="text1"/>
                <w:sz w:val="24"/>
              </w:rPr>
            </w:pPr>
            <w:r>
              <w:rPr>
                <w:rFonts w:hint="eastAsia"/>
                <w:color w:val="000000" w:themeColor="text1"/>
                <w:sz w:val="24"/>
              </w:rPr>
              <w:t>1</w:t>
            </w:r>
            <w:r>
              <w:rPr>
                <w:color w:val="000000" w:themeColor="text1"/>
                <w:sz w:val="24"/>
              </w:rPr>
              <w:t>.</w:t>
            </w:r>
            <w:r>
              <w:rPr>
                <w:rFonts w:hint="eastAsia"/>
                <w:color w:val="000000" w:themeColor="text1"/>
                <w:sz w:val="24"/>
              </w:rPr>
              <w:t>单位内部控制信息化覆盖情况</w:t>
            </w:r>
          </w:p>
        </w:tc>
        <w:tc>
          <w:tcPr>
            <w:tcW w:w="4568" w:type="dxa"/>
            <w:gridSpan w:val="6"/>
            <w:vAlign w:val="center"/>
          </w:tcPr>
          <w:p w14:paraId="25019398">
            <w:pPr>
              <w:widowControl/>
              <w:rPr>
                <w:rFonts w:ascii="楷体" w:hAnsi="楷体" w:eastAsia="楷体" w:cs="楷体"/>
                <w:bCs/>
                <w:color w:val="000000" w:themeColor="text1"/>
                <w:sz w:val="24"/>
              </w:rPr>
            </w:pPr>
          </w:p>
        </w:tc>
        <w:tc>
          <w:tcPr>
            <w:tcW w:w="3792" w:type="dxa"/>
            <w:gridSpan w:val="4"/>
            <w:vAlign w:val="center"/>
          </w:tcPr>
          <w:p w14:paraId="5BFC3C39">
            <w:pPr>
              <w:widowControl/>
              <w:rPr>
                <w:color w:val="000000" w:themeColor="text1"/>
                <w:sz w:val="24"/>
              </w:rPr>
            </w:pPr>
            <w:r>
              <w:rPr>
                <w:rFonts w:hint="eastAsia"/>
                <w:color w:val="000000" w:themeColor="text1"/>
                <w:sz w:val="24"/>
              </w:rPr>
              <w:t>2</w:t>
            </w:r>
            <w:r>
              <w:rPr>
                <w:color w:val="000000" w:themeColor="text1"/>
                <w:sz w:val="24"/>
              </w:rPr>
              <w:t>.</w:t>
            </w:r>
            <w:r>
              <w:rPr>
                <w:rFonts w:hint="eastAsia"/>
                <w:color w:val="000000" w:themeColor="text1"/>
                <w:sz w:val="24"/>
              </w:rPr>
              <w:t>单位内部控制信息化模块联通情况</w:t>
            </w:r>
          </w:p>
        </w:tc>
        <w:tc>
          <w:tcPr>
            <w:tcW w:w="3794" w:type="dxa"/>
            <w:gridSpan w:val="3"/>
            <w:vAlign w:val="center"/>
          </w:tcPr>
          <w:p w14:paraId="5533746A">
            <w:pPr>
              <w:widowControl/>
              <w:rPr>
                <w:color w:val="000000" w:themeColor="text1"/>
                <w:sz w:val="24"/>
              </w:rPr>
            </w:pPr>
            <w:r>
              <w:rPr>
                <w:rFonts w:ascii="楷体" w:hAnsi="楷体" w:eastAsia="楷体" w:cs="楷体"/>
                <w:bCs/>
                <w:color w:val="000000" w:themeColor="text1"/>
                <w:sz w:val="24"/>
              </w:rPr>
              <w:t>共有个模块已经联通</w:t>
            </w:r>
          </w:p>
        </w:tc>
      </w:tr>
      <w:tr w14:paraId="2816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372B2F7D">
            <w:pPr>
              <w:widowControl/>
              <w:rPr>
                <w:color w:val="000000" w:themeColor="text1"/>
                <w:sz w:val="24"/>
              </w:rPr>
            </w:pPr>
            <w:r>
              <w:rPr>
                <w:rFonts w:hint="eastAsia"/>
                <w:color w:val="000000" w:themeColor="text1"/>
                <w:sz w:val="24"/>
              </w:rPr>
              <w:t>3</w:t>
            </w:r>
            <w:r>
              <w:rPr>
                <w:color w:val="000000" w:themeColor="text1"/>
                <w:sz w:val="24"/>
              </w:rPr>
              <w:t>.</w:t>
            </w:r>
            <w:r>
              <w:rPr>
                <w:rFonts w:hint="eastAsia"/>
                <w:color w:val="000000" w:themeColor="text1"/>
                <w:sz w:val="24"/>
              </w:rPr>
              <w:t>是否联通政府会计核算模块</w:t>
            </w:r>
          </w:p>
        </w:tc>
        <w:tc>
          <w:tcPr>
            <w:tcW w:w="12154" w:type="dxa"/>
            <w:gridSpan w:val="13"/>
            <w:vAlign w:val="center"/>
          </w:tcPr>
          <w:p w14:paraId="04E06ADE">
            <w:pPr>
              <w:widowControl/>
              <w:rPr>
                <w:rFonts w:ascii="楷体" w:hAnsi="楷体" w:eastAsia="楷体"/>
                <w:color w:val="000000" w:themeColor="text1"/>
                <w:sz w:val="24"/>
              </w:rPr>
            </w:pPr>
            <w:r>
              <w:rPr>
                <w:rFonts w:ascii="楷体" w:hAnsi="楷体" w:eastAsia="楷体" w:cs="楷体"/>
                <w:bCs/>
                <w:color w:val="000000" w:themeColor="text1"/>
                <w:sz w:val="24"/>
              </w:rPr>
              <w:t>否</w:t>
            </w:r>
          </w:p>
        </w:tc>
      </w:tr>
      <w:tr w14:paraId="627B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16613FE9">
            <w:pPr>
              <w:widowControl/>
              <w:rPr>
                <w:b/>
                <w:color w:val="000000" w:themeColor="text1"/>
                <w:sz w:val="24"/>
              </w:rPr>
            </w:pPr>
            <w:r>
              <w:rPr>
                <w:rFonts w:hint="eastAsia"/>
                <w:b/>
                <w:color w:val="000000" w:themeColor="text1"/>
                <w:sz w:val="24"/>
              </w:rPr>
              <w:t>四、本年单位内部控制工作的新做法和新成效</w:t>
            </w:r>
          </w:p>
        </w:tc>
      </w:tr>
      <w:tr w14:paraId="5267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5" w:hRule="atLeast"/>
          <w:jc w:val="center"/>
        </w:trPr>
        <w:tc>
          <w:tcPr>
            <w:tcW w:w="15170" w:type="dxa"/>
            <w:gridSpan w:val="16"/>
            <w:noWrap/>
            <w:vAlign w:val="center"/>
          </w:tcPr>
          <w:p w14:paraId="77DBC220">
            <w:pPr>
              <w:rPr>
                <w:color w:val="000000" w:themeColor="text1"/>
              </w:rPr>
            </w:pPr>
            <w:r>
              <w:rPr>
                <w:rFonts w:asciiTheme="minorEastAsia" w:hAnsiTheme="minorEastAsia" w:eastAsiaTheme="minorEastAsia"/>
                <w:sz w:val="24"/>
              </w:rPr>
              <w:t>内部控制工作的经验和做法及取得的成效我单位在内控的建立与实施过程中，紧密结合本单位工作实际，以问题为</w:t>
            </w:r>
            <w:r>
              <w:rPr>
                <w:rFonts w:hint="eastAsia" w:asciiTheme="minorEastAsia" w:hAnsiTheme="minorEastAsia" w:eastAsiaTheme="minorEastAsia"/>
                <w:sz w:val="24"/>
                <w:lang w:val="en-US" w:eastAsia="zh-CN"/>
              </w:rPr>
              <w:t>导向</w:t>
            </w:r>
            <w:r>
              <w:rPr>
                <w:rFonts w:asciiTheme="minorEastAsia" w:hAnsiTheme="minorEastAsia" w:eastAsiaTheme="minorEastAsia"/>
                <w:sz w:val="24"/>
              </w:rPr>
              <w:t>，有效实现了权力制衡，使单位领导从源头上规避了经济责任风险，其做法有：组建领导小组，构建内控机制，保障内控实施</w:t>
            </w:r>
          </w:p>
        </w:tc>
      </w:tr>
      <w:tr w14:paraId="559C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50B9602D">
            <w:pPr>
              <w:widowControl/>
              <w:rPr>
                <w:b/>
                <w:color w:val="000000" w:themeColor="text1"/>
                <w:sz w:val="24"/>
              </w:rPr>
            </w:pPr>
            <w:r>
              <w:rPr>
                <w:rFonts w:hint="eastAsia"/>
                <w:b/>
                <w:color w:val="000000" w:themeColor="text1"/>
                <w:sz w:val="24"/>
              </w:rPr>
              <w:t>五、本年单位内部控制工作的新问题或新挑战</w:t>
            </w:r>
          </w:p>
        </w:tc>
      </w:tr>
      <w:tr w14:paraId="6879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01" w:hRule="atLeast"/>
          <w:jc w:val="center"/>
        </w:trPr>
        <w:tc>
          <w:tcPr>
            <w:tcW w:w="15170" w:type="dxa"/>
            <w:gridSpan w:val="16"/>
            <w:noWrap/>
            <w:vAlign w:val="center"/>
          </w:tcPr>
          <w:p w14:paraId="7A6ABCA5">
            <w:pPr>
              <w:widowControl/>
              <w:rPr>
                <w:color w:val="000000" w:themeColor="text1"/>
                <w:sz w:val="24"/>
              </w:rPr>
            </w:pPr>
            <w:r>
              <w:rPr>
                <w:rFonts w:asciiTheme="minorEastAsia" w:hAnsiTheme="minorEastAsia" w:eastAsiaTheme="minorEastAsia"/>
                <w:sz w:val="24"/>
              </w:rPr>
              <w:t>不重视制度建设；没有正确决策；内部监督不力；希望增强内部控制意识，营造良好控制环境；规范内控机制建设，形成有效的自我约束；建立责任追究机制，形成闭环的责任体系</w:t>
            </w:r>
          </w:p>
        </w:tc>
      </w:tr>
      <w:tr w14:paraId="14D36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7FF60236">
            <w:pPr>
              <w:widowControl/>
              <w:rPr>
                <w:b/>
                <w:color w:val="000000" w:themeColor="text1"/>
                <w:sz w:val="24"/>
              </w:rPr>
            </w:pPr>
            <w:r>
              <w:rPr>
                <w:rFonts w:hint="eastAsia"/>
                <w:b/>
                <w:color w:val="000000" w:themeColor="text1"/>
                <w:sz w:val="24"/>
              </w:rPr>
              <w:t>六、对当前行政事业单位内部控制工作的意见或建议</w:t>
            </w:r>
          </w:p>
        </w:tc>
      </w:tr>
      <w:tr w14:paraId="344B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24" w:hRule="atLeast"/>
          <w:jc w:val="center"/>
        </w:trPr>
        <w:tc>
          <w:tcPr>
            <w:tcW w:w="15170" w:type="dxa"/>
            <w:gridSpan w:val="16"/>
            <w:noWrap/>
            <w:vAlign w:val="center"/>
          </w:tcPr>
          <w:p w14:paraId="78A1EF53">
            <w:pPr>
              <w:widowControl/>
              <w:rPr>
                <w:color w:val="000000" w:themeColor="text1"/>
                <w:sz w:val="24"/>
              </w:rPr>
            </w:pPr>
            <w:r>
              <w:rPr>
                <w:rFonts w:asciiTheme="minorEastAsia" w:hAnsiTheme="minorEastAsia" w:eastAsiaTheme="minorEastAsia"/>
                <w:sz w:val="24"/>
              </w:rPr>
              <w:t>良好的内部控制意识是内部控制制度设计完善</w:t>
            </w:r>
            <w:r>
              <w:rPr>
                <w:rFonts w:hint="eastAsia" w:asciiTheme="minorEastAsia" w:hAnsiTheme="minorEastAsia" w:eastAsiaTheme="minorEastAsia"/>
                <w:sz w:val="24"/>
                <w:lang w:val="en-US" w:eastAsia="zh-CN"/>
              </w:rPr>
              <w:t>和</w:t>
            </w:r>
            <w:bookmarkStart w:id="0" w:name="_GoBack"/>
            <w:bookmarkEnd w:id="0"/>
            <w:r>
              <w:rPr>
                <w:rFonts w:asciiTheme="minorEastAsia" w:hAnsiTheme="minorEastAsia" w:eastAsiaTheme="minorEastAsia"/>
                <w:sz w:val="24"/>
              </w:rPr>
              <w:t>有效运行的基本前提，但其观念淡薄，认识不到位，内控意识不强，重发展，轻控制；内部制度不完善，相对而言</w:t>
            </w:r>
            <w:r>
              <w:rPr>
                <w:rFonts w:hint="eastAsia" w:asciiTheme="minorEastAsia" w:hAnsiTheme="minorEastAsia" w:eastAsiaTheme="minorEastAsia"/>
                <w:sz w:val="24"/>
                <w:lang w:eastAsia="zh-CN"/>
              </w:rPr>
              <w:t>针对行政事业单位的适应性较差</w:t>
            </w:r>
            <w:r>
              <w:rPr>
                <w:rFonts w:asciiTheme="minorEastAsia" w:hAnsiTheme="minorEastAsia" w:eastAsiaTheme="minorEastAsia"/>
                <w:sz w:val="24"/>
              </w:rPr>
              <w:t>；管理人员竞争意识差，缺乏创新精神，业务素质难以满足实施内部控制和监督的要求。随着内控体系建设的</w:t>
            </w:r>
            <w:r>
              <w:rPr>
                <w:rFonts w:hint="eastAsia" w:asciiTheme="minorEastAsia" w:hAnsiTheme="minorEastAsia" w:eastAsiaTheme="minorEastAsia"/>
                <w:sz w:val="24"/>
                <w:lang w:val="en-US" w:eastAsia="zh-CN"/>
              </w:rPr>
              <w:t>逐步</w:t>
            </w:r>
            <w:r>
              <w:rPr>
                <w:rFonts w:asciiTheme="minorEastAsia" w:hAnsiTheme="minorEastAsia" w:eastAsiaTheme="minorEastAsia"/>
                <w:sz w:val="24"/>
              </w:rPr>
              <w:t>深入，在取得一些效果的同时，也出现了一些新的问题和情况;在认识上不可避免存在差异。建议对相关问题进行梳理提出加强健全内控防范机制的建议。</w:t>
            </w:r>
          </w:p>
        </w:tc>
      </w:tr>
      <w:tr w14:paraId="5D87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15170" w:type="dxa"/>
            <w:gridSpan w:val="16"/>
            <w:noWrap/>
            <w:vAlign w:val="center"/>
          </w:tcPr>
          <w:p w14:paraId="792BC380">
            <w:pPr>
              <w:widowControl/>
              <w:jc w:val="left"/>
              <w:rPr>
                <w:b/>
                <w:color w:val="000000" w:themeColor="text1"/>
                <w:sz w:val="28"/>
                <w:szCs w:val="28"/>
              </w:rPr>
            </w:pPr>
            <w:r>
              <w:rPr>
                <w:rFonts w:hint="eastAsia"/>
                <w:b/>
                <w:color w:val="000000" w:themeColor="text1"/>
                <w:sz w:val="28"/>
                <w:szCs w:val="28"/>
              </w:rPr>
              <w:t>第三部分：单位内部控制存在问题和建议</w:t>
            </w:r>
          </w:p>
        </w:tc>
      </w:tr>
      <w:tr w14:paraId="29873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noWrap/>
            <w:vAlign w:val="center"/>
          </w:tcPr>
          <w:p w14:paraId="01306667">
            <w:pPr>
              <w:widowControl/>
              <w:jc w:val="center"/>
              <w:rPr>
                <w:sz w:val="24"/>
              </w:rPr>
            </w:pPr>
            <w:r>
              <w:rPr>
                <w:rFonts w:hint="eastAsia"/>
                <w:sz w:val="24"/>
              </w:rPr>
              <w:t>问题领域</w:t>
            </w:r>
          </w:p>
        </w:tc>
        <w:tc>
          <w:tcPr>
            <w:tcW w:w="4568" w:type="dxa"/>
            <w:gridSpan w:val="6"/>
            <w:vAlign w:val="center"/>
          </w:tcPr>
          <w:p w14:paraId="5E27DB54">
            <w:pPr>
              <w:widowControl/>
              <w:jc w:val="center"/>
              <w:rPr>
                <w:sz w:val="24"/>
              </w:rPr>
            </w:pPr>
            <w:r>
              <w:rPr>
                <w:rFonts w:hint="eastAsia"/>
                <w:sz w:val="24"/>
              </w:rPr>
              <w:t>问题分类</w:t>
            </w:r>
          </w:p>
        </w:tc>
        <w:tc>
          <w:tcPr>
            <w:tcW w:w="3792" w:type="dxa"/>
            <w:gridSpan w:val="4"/>
            <w:vAlign w:val="center"/>
          </w:tcPr>
          <w:p w14:paraId="6F6D5BD9">
            <w:pPr>
              <w:widowControl/>
              <w:jc w:val="center"/>
              <w:rPr>
                <w:sz w:val="24"/>
              </w:rPr>
            </w:pPr>
            <w:r>
              <w:rPr>
                <w:rFonts w:hint="eastAsia"/>
                <w:sz w:val="24"/>
              </w:rPr>
              <w:t>存在问题</w:t>
            </w:r>
          </w:p>
        </w:tc>
        <w:tc>
          <w:tcPr>
            <w:tcW w:w="3794" w:type="dxa"/>
            <w:gridSpan w:val="3"/>
            <w:vAlign w:val="center"/>
          </w:tcPr>
          <w:p w14:paraId="30F2FB70">
            <w:pPr>
              <w:widowControl/>
              <w:jc w:val="center"/>
              <w:rPr>
                <w:sz w:val="24"/>
              </w:rPr>
            </w:pPr>
            <w:r>
              <w:rPr>
                <w:rFonts w:hint="eastAsia"/>
                <w:sz w:val="24"/>
              </w:rPr>
              <w:t>完善建议</w:t>
            </w:r>
          </w:p>
        </w:tc>
      </w:tr>
      <w:tr w14:paraId="25E4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49ADB0AE">
            <w:pPr>
              <w:widowControl/>
              <w:jc w:val="center"/>
              <w:rPr>
                <w:sz w:val="24"/>
              </w:rPr>
            </w:pPr>
            <w:r>
              <w:rPr>
                <w:rFonts w:hint="eastAsia"/>
                <w:sz w:val="24"/>
              </w:rPr>
              <w:t>单位层面</w:t>
            </w:r>
          </w:p>
        </w:tc>
        <w:tc>
          <w:tcPr>
            <w:tcW w:w="992" w:type="dxa"/>
            <w:vMerge w:val="restart"/>
            <w:vAlign w:val="center"/>
          </w:tcPr>
          <w:p w14:paraId="06ADB0B5">
            <w:pPr>
              <w:widowControl/>
              <w:jc w:val="left"/>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内部控制机构组成</w:t>
            </w:r>
          </w:p>
        </w:tc>
        <w:tc>
          <w:tcPr>
            <w:tcW w:w="3576" w:type="dxa"/>
            <w:gridSpan w:val="5"/>
            <w:vAlign w:val="center"/>
          </w:tcPr>
          <w:p w14:paraId="2300F79C">
            <w:pPr>
              <w:jc w:val="left"/>
              <w:rPr>
                <w:rFonts w:asciiTheme="minorEastAsia" w:hAnsiTheme="minorEastAsia" w:eastAsiaTheme="minorEastAsia"/>
                <w:sz w:val="24"/>
              </w:rPr>
            </w:pPr>
            <w:r>
              <w:rPr>
                <w:rFonts w:hint="eastAsia" w:asciiTheme="minorEastAsia" w:hAnsiTheme="minorEastAsia" w:eastAsiaTheme="minorEastAsia"/>
                <w:sz w:val="24"/>
              </w:rPr>
              <w:t>单位内部控制领导小组</w:t>
            </w:r>
          </w:p>
        </w:tc>
        <w:tc>
          <w:tcPr>
            <w:tcW w:w="3792" w:type="dxa"/>
            <w:gridSpan w:val="4"/>
            <w:vAlign w:val="center"/>
          </w:tcPr>
          <w:p w14:paraId="4050EF29">
            <w:pPr>
              <w:rPr>
                <w:rFonts w:asciiTheme="minorEastAsia" w:hAnsiTheme="minorEastAsia" w:eastAsiaTheme="minorEastAsia"/>
                <w:color w:val="000000"/>
                <w:sz w:val="24"/>
              </w:rPr>
            </w:pPr>
          </w:p>
        </w:tc>
        <w:tc>
          <w:tcPr>
            <w:tcW w:w="3794" w:type="dxa"/>
            <w:gridSpan w:val="3"/>
            <w:vAlign w:val="center"/>
          </w:tcPr>
          <w:p w14:paraId="2F2161CB">
            <w:pPr>
              <w:rPr>
                <w:rFonts w:asciiTheme="minorEastAsia" w:hAnsiTheme="minorEastAsia" w:eastAsiaTheme="minorEastAsia"/>
                <w:color w:val="000000"/>
                <w:sz w:val="24"/>
              </w:rPr>
            </w:pPr>
          </w:p>
        </w:tc>
      </w:tr>
      <w:tr w14:paraId="23DE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33D525F5">
            <w:pPr>
              <w:widowControl/>
              <w:jc w:val="center"/>
              <w:rPr>
                <w:sz w:val="24"/>
              </w:rPr>
            </w:pPr>
          </w:p>
        </w:tc>
        <w:tc>
          <w:tcPr>
            <w:tcW w:w="992" w:type="dxa"/>
            <w:vMerge w:val="continue"/>
            <w:vAlign w:val="center"/>
          </w:tcPr>
          <w:p w14:paraId="00C68BD7">
            <w:pPr>
              <w:widowControl/>
              <w:rPr>
                <w:rFonts w:asciiTheme="minorEastAsia" w:hAnsiTheme="minorEastAsia" w:eastAsiaTheme="minorEastAsia"/>
                <w:sz w:val="24"/>
              </w:rPr>
            </w:pPr>
          </w:p>
        </w:tc>
        <w:tc>
          <w:tcPr>
            <w:tcW w:w="3576" w:type="dxa"/>
            <w:gridSpan w:val="5"/>
            <w:vAlign w:val="center"/>
          </w:tcPr>
          <w:p w14:paraId="7B58DEEA">
            <w:pPr>
              <w:jc w:val="left"/>
              <w:rPr>
                <w:rFonts w:asciiTheme="minorEastAsia" w:hAnsiTheme="minorEastAsia" w:eastAsiaTheme="minorEastAsia"/>
                <w:sz w:val="24"/>
              </w:rPr>
            </w:pPr>
            <w:r>
              <w:rPr>
                <w:rFonts w:hint="eastAsia" w:asciiTheme="minorEastAsia" w:hAnsiTheme="minorEastAsia" w:eastAsiaTheme="minorEastAsia"/>
                <w:sz w:val="24"/>
              </w:rPr>
              <w:t>单位内部控制领导小组负责人</w:t>
            </w:r>
          </w:p>
        </w:tc>
        <w:tc>
          <w:tcPr>
            <w:tcW w:w="3792" w:type="dxa"/>
            <w:gridSpan w:val="4"/>
            <w:vAlign w:val="center"/>
          </w:tcPr>
          <w:p w14:paraId="18C9C332">
            <w:pPr>
              <w:rPr>
                <w:rFonts w:asciiTheme="minorEastAsia" w:hAnsiTheme="minorEastAsia" w:eastAsiaTheme="minorEastAsia"/>
                <w:color w:val="000000"/>
                <w:sz w:val="24"/>
              </w:rPr>
            </w:pPr>
          </w:p>
        </w:tc>
        <w:tc>
          <w:tcPr>
            <w:tcW w:w="3794" w:type="dxa"/>
            <w:gridSpan w:val="3"/>
            <w:vAlign w:val="center"/>
          </w:tcPr>
          <w:p w14:paraId="3F80C3FE">
            <w:pPr>
              <w:widowControl/>
              <w:rPr>
                <w:rFonts w:asciiTheme="minorEastAsia" w:hAnsiTheme="minorEastAsia" w:eastAsiaTheme="minorEastAsia"/>
                <w:color w:val="000000"/>
                <w:sz w:val="24"/>
              </w:rPr>
            </w:pPr>
          </w:p>
        </w:tc>
      </w:tr>
      <w:tr w14:paraId="3118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7CC4175E">
            <w:pPr>
              <w:widowControl/>
              <w:jc w:val="center"/>
              <w:rPr>
                <w:sz w:val="24"/>
              </w:rPr>
            </w:pPr>
          </w:p>
        </w:tc>
        <w:tc>
          <w:tcPr>
            <w:tcW w:w="992" w:type="dxa"/>
            <w:vMerge w:val="continue"/>
            <w:vAlign w:val="center"/>
          </w:tcPr>
          <w:p w14:paraId="13252E1E">
            <w:pPr>
              <w:widowControl/>
              <w:rPr>
                <w:rFonts w:asciiTheme="minorEastAsia" w:hAnsiTheme="minorEastAsia" w:eastAsiaTheme="minorEastAsia"/>
                <w:sz w:val="24"/>
              </w:rPr>
            </w:pPr>
          </w:p>
        </w:tc>
        <w:tc>
          <w:tcPr>
            <w:tcW w:w="3576" w:type="dxa"/>
            <w:gridSpan w:val="5"/>
            <w:vAlign w:val="center"/>
          </w:tcPr>
          <w:p w14:paraId="5E13EE0C">
            <w:pPr>
              <w:jc w:val="left"/>
              <w:rPr>
                <w:rFonts w:asciiTheme="minorEastAsia" w:hAnsiTheme="minorEastAsia" w:eastAsiaTheme="minorEastAsia"/>
                <w:sz w:val="24"/>
              </w:rPr>
            </w:pPr>
            <w:r>
              <w:rPr>
                <w:rFonts w:hint="eastAsia" w:asciiTheme="minorEastAsia" w:hAnsiTheme="minorEastAsia" w:eastAsiaTheme="minorEastAsia"/>
                <w:sz w:val="24"/>
              </w:rPr>
              <w:t>单位内部控制工作小组</w:t>
            </w:r>
          </w:p>
        </w:tc>
        <w:tc>
          <w:tcPr>
            <w:tcW w:w="3792" w:type="dxa"/>
            <w:gridSpan w:val="4"/>
            <w:vAlign w:val="center"/>
          </w:tcPr>
          <w:p w14:paraId="32D50E59">
            <w:pPr>
              <w:rPr>
                <w:rFonts w:asciiTheme="minorEastAsia" w:hAnsiTheme="minorEastAsia" w:eastAsiaTheme="minorEastAsia"/>
                <w:color w:val="000000"/>
                <w:sz w:val="24"/>
              </w:rPr>
            </w:pPr>
          </w:p>
        </w:tc>
        <w:tc>
          <w:tcPr>
            <w:tcW w:w="3794" w:type="dxa"/>
            <w:gridSpan w:val="3"/>
            <w:vAlign w:val="center"/>
          </w:tcPr>
          <w:p w14:paraId="615DCC3C">
            <w:pPr>
              <w:widowControl/>
              <w:rPr>
                <w:rFonts w:asciiTheme="minorEastAsia" w:hAnsiTheme="minorEastAsia" w:eastAsiaTheme="minorEastAsia"/>
                <w:color w:val="000000"/>
                <w:sz w:val="24"/>
              </w:rPr>
            </w:pPr>
          </w:p>
        </w:tc>
      </w:tr>
      <w:tr w14:paraId="01AC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40E5DE55">
            <w:pPr>
              <w:widowControl/>
              <w:jc w:val="center"/>
              <w:rPr>
                <w:sz w:val="24"/>
              </w:rPr>
            </w:pPr>
          </w:p>
        </w:tc>
        <w:tc>
          <w:tcPr>
            <w:tcW w:w="992" w:type="dxa"/>
            <w:vMerge w:val="continue"/>
            <w:vAlign w:val="center"/>
          </w:tcPr>
          <w:p w14:paraId="1B6D7B56">
            <w:pPr>
              <w:widowControl/>
              <w:rPr>
                <w:rFonts w:asciiTheme="minorEastAsia" w:hAnsiTheme="minorEastAsia" w:eastAsiaTheme="minorEastAsia"/>
                <w:sz w:val="24"/>
              </w:rPr>
            </w:pPr>
          </w:p>
        </w:tc>
        <w:tc>
          <w:tcPr>
            <w:tcW w:w="3576" w:type="dxa"/>
            <w:gridSpan w:val="5"/>
            <w:vAlign w:val="center"/>
          </w:tcPr>
          <w:p w14:paraId="6620EEBF">
            <w:pPr>
              <w:jc w:val="left"/>
              <w:rPr>
                <w:rFonts w:asciiTheme="minorEastAsia" w:hAnsiTheme="minorEastAsia" w:eastAsiaTheme="minorEastAsia"/>
                <w:sz w:val="24"/>
              </w:rPr>
            </w:pPr>
            <w:r>
              <w:rPr>
                <w:rFonts w:hint="eastAsia" w:asciiTheme="minorEastAsia" w:hAnsiTheme="minorEastAsia" w:eastAsiaTheme="minorEastAsia"/>
                <w:sz w:val="24"/>
              </w:rPr>
              <w:t>内部控制牵头部门</w:t>
            </w:r>
          </w:p>
        </w:tc>
        <w:tc>
          <w:tcPr>
            <w:tcW w:w="3792" w:type="dxa"/>
            <w:gridSpan w:val="4"/>
            <w:vAlign w:val="center"/>
          </w:tcPr>
          <w:p w14:paraId="249FE6BC">
            <w:pPr>
              <w:rPr>
                <w:rFonts w:asciiTheme="minorEastAsia" w:hAnsiTheme="minorEastAsia" w:eastAsiaTheme="minorEastAsia"/>
                <w:color w:val="000000"/>
                <w:sz w:val="24"/>
              </w:rPr>
            </w:pPr>
          </w:p>
        </w:tc>
        <w:tc>
          <w:tcPr>
            <w:tcW w:w="3794" w:type="dxa"/>
            <w:gridSpan w:val="3"/>
            <w:vAlign w:val="center"/>
          </w:tcPr>
          <w:p w14:paraId="7FADCC02">
            <w:pPr>
              <w:widowControl/>
              <w:rPr>
                <w:rFonts w:asciiTheme="minorEastAsia" w:hAnsiTheme="minorEastAsia" w:eastAsiaTheme="minorEastAsia"/>
                <w:color w:val="000000"/>
                <w:sz w:val="24"/>
              </w:rPr>
            </w:pPr>
          </w:p>
        </w:tc>
      </w:tr>
      <w:tr w14:paraId="7861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1E4E0D50">
            <w:pPr>
              <w:widowControl/>
              <w:jc w:val="center"/>
              <w:rPr>
                <w:sz w:val="24"/>
              </w:rPr>
            </w:pPr>
          </w:p>
        </w:tc>
        <w:tc>
          <w:tcPr>
            <w:tcW w:w="992" w:type="dxa"/>
            <w:vMerge w:val="continue"/>
            <w:vAlign w:val="center"/>
          </w:tcPr>
          <w:p w14:paraId="5E5F82BD">
            <w:pPr>
              <w:widowControl/>
              <w:rPr>
                <w:rFonts w:asciiTheme="minorEastAsia" w:hAnsiTheme="minorEastAsia" w:eastAsiaTheme="minorEastAsia"/>
                <w:sz w:val="24"/>
              </w:rPr>
            </w:pPr>
          </w:p>
        </w:tc>
        <w:tc>
          <w:tcPr>
            <w:tcW w:w="3576" w:type="dxa"/>
            <w:gridSpan w:val="5"/>
            <w:vAlign w:val="center"/>
          </w:tcPr>
          <w:p w14:paraId="69B55EF0">
            <w:pPr>
              <w:jc w:val="left"/>
              <w:rPr>
                <w:rFonts w:asciiTheme="minorEastAsia" w:hAnsiTheme="minorEastAsia" w:eastAsiaTheme="minorEastAsia"/>
                <w:sz w:val="24"/>
              </w:rPr>
            </w:pPr>
            <w:r>
              <w:rPr>
                <w:rFonts w:hint="eastAsia" w:asciiTheme="minorEastAsia" w:hAnsiTheme="minorEastAsia" w:eastAsiaTheme="minorEastAsia"/>
                <w:sz w:val="24"/>
              </w:rPr>
              <w:t>内部控制评价与监督部门</w:t>
            </w:r>
          </w:p>
        </w:tc>
        <w:tc>
          <w:tcPr>
            <w:tcW w:w="3792" w:type="dxa"/>
            <w:gridSpan w:val="4"/>
            <w:vAlign w:val="center"/>
          </w:tcPr>
          <w:p w14:paraId="2DC7F65A">
            <w:pPr>
              <w:rPr>
                <w:rFonts w:asciiTheme="minorEastAsia" w:hAnsiTheme="minorEastAsia" w:eastAsiaTheme="minorEastAsia"/>
                <w:color w:val="000000"/>
                <w:sz w:val="24"/>
              </w:rPr>
            </w:pPr>
          </w:p>
        </w:tc>
        <w:tc>
          <w:tcPr>
            <w:tcW w:w="3794" w:type="dxa"/>
            <w:gridSpan w:val="3"/>
            <w:vAlign w:val="center"/>
          </w:tcPr>
          <w:p w14:paraId="632F1B74">
            <w:pPr>
              <w:widowControl/>
              <w:rPr>
                <w:rFonts w:asciiTheme="minorEastAsia" w:hAnsiTheme="minorEastAsia" w:eastAsiaTheme="minorEastAsia"/>
                <w:color w:val="000000"/>
                <w:sz w:val="24"/>
              </w:rPr>
            </w:pPr>
          </w:p>
        </w:tc>
      </w:tr>
      <w:tr w14:paraId="1D17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57FACF1E">
            <w:pPr>
              <w:widowControl/>
              <w:jc w:val="center"/>
              <w:rPr>
                <w:sz w:val="24"/>
              </w:rPr>
            </w:pPr>
          </w:p>
        </w:tc>
        <w:tc>
          <w:tcPr>
            <w:tcW w:w="992" w:type="dxa"/>
            <w:vMerge w:val="continue"/>
            <w:vAlign w:val="center"/>
          </w:tcPr>
          <w:p w14:paraId="0FC18B74">
            <w:pPr>
              <w:widowControl/>
              <w:rPr>
                <w:rFonts w:asciiTheme="minorEastAsia" w:hAnsiTheme="minorEastAsia" w:eastAsiaTheme="minorEastAsia"/>
                <w:sz w:val="24"/>
              </w:rPr>
            </w:pPr>
          </w:p>
        </w:tc>
        <w:tc>
          <w:tcPr>
            <w:tcW w:w="3576" w:type="dxa"/>
            <w:gridSpan w:val="5"/>
            <w:vAlign w:val="center"/>
          </w:tcPr>
          <w:p w14:paraId="708DAD73">
            <w:pPr>
              <w:jc w:val="left"/>
              <w:rPr>
                <w:rFonts w:asciiTheme="minorEastAsia" w:hAnsiTheme="minorEastAsia" w:eastAsiaTheme="minorEastAsia"/>
                <w:sz w:val="24"/>
              </w:rPr>
            </w:pPr>
            <w:r>
              <w:rPr>
                <w:rFonts w:hint="eastAsia" w:asciiTheme="minorEastAsia" w:hAnsiTheme="minorEastAsia" w:eastAsiaTheme="minorEastAsia"/>
                <w:sz w:val="24"/>
              </w:rPr>
              <w:t>内控牵头部门与评价监督部门分离</w:t>
            </w:r>
          </w:p>
        </w:tc>
        <w:tc>
          <w:tcPr>
            <w:tcW w:w="3792" w:type="dxa"/>
            <w:gridSpan w:val="4"/>
            <w:vAlign w:val="center"/>
          </w:tcPr>
          <w:p w14:paraId="66993379">
            <w:pPr>
              <w:rPr>
                <w:rFonts w:asciiTheme="minorEastAsia" w:hAnsiTheme="minorEastAsia" w:eastAsiaTheme="minorEastAsia"/>
                <w:color w:val="000000"/>
                <w:sz w:val="24"/>
              </w:rPr>
            </w:pPr>
          </w:p>
        </w:tc>
        <w:tc>
          <w:tcPr>
            <w:tcW w:w="3794" w:type="dxa"/>
            <w:gridSpan w:val="3"/>
            <w:vAlign w:val="center"/>
          </w:tcPr>
          <w:p w14:paraId="5F4CC88D">
            <w:pPr>
              <w:widowControl/>
              <w:rPr>
                <w:rFonts w:asciiTheme="minorEastAsia" w:hAnsiTheme="minorEastAsia" w:eastAsiaTheme="minorEastAsia"/>
                <w:color w:val="000000"/>
                <w:sz w:val="24"/>
              </w:rPr>
            </w:pPr>
          </w:p>
        </w:tc>
      </w:tr>
      <w:tr w14:paraId="740D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71D6372D">
            <w:pPr>
              <w:widowControl/>
              <w:jc w:val="center"/>
              <w:rPr>
                <w:sz w:val="24"/>
              </w:rPr>
            </w:pPr>
          </w:p>
        </w:tc>
        <w:tc>
          <w:tcPr>
            <w:tcW w:w="992" w:type="dxa"/>
            <w:vMerge w:val="restart"/>
            <w:vAlign w:val="center"/>
          </w:tcPr>
          <w:p w14:paraId="1A9BEC8E">
            <w:pPr>
              <w:widowControl/>
              <w:rPr>
                <w:rFonts w:asciiTheme="minorEastAsia" w:hAnsiTheme="minorEastAsia" w:eastAsiaTheme="minorEastAsia"/>
                <w:sz w:val="24"/>
              </w:rPr>
            </w:pPr>
            <w:r>
              <w:rPr>
                <w:rFonts w:asciiTheme="minorEastAsia" w:hAnsiTheme="minorEastAsia" w:eastAsiaTheme="minorEastAsia"/>
                <w:sz w:val="24"/>
              </w:rPr>
              <w:t>2.</w:t>
            </w:r>
            <w:r>
              <w:rPr>
                <w:rFonts w:hint="eastAsia" w:asciiTheme="minorEastAsia" w:hAnsiTheme="minorEastAsia" w:eastAsiaTheme="minorEastAsia"/>
                <w:sz w:val="24"/>
              </w:rPr>
              <w:t>内部控制机构运行</w:t>
            </w:r>
          </w:p>
        </w:tc>
        <w:tc>
          <w:tcPr>
            <w:tcW w:w="3576" w:type="dxa"/>
            <w:gridSpan w:val="5"/>
            <w:vAlign w:val="center"/>
          </w:tcPr>
          <w:p w14:paraId="4AB4FED7">
            <w:pPr>
              <w:jc w:val="left"/>
              <w:rPr>
                <w:rFonts w:asciiTheme="minorEastAsia" w:hAnsiTheme="minorEastAsia" w:eastAsiaTheme="minorEastAsia"/>
                <w:sz w:val="24"/>
              </w:rPr>
            </w:pPr>
            <w:r>
              <w:rPr>
                <w:rFonts w:hint="eastAsia" w:asciiTheme="minorEastAsia" w:hAnsiTheme="minorEastAsia" w:eastAsiaTheme="minorEastAsia"/>
                <w:sz w:val="24"/>
              </w:rPr>
              <w:t>单位内部控制领导小组会议次数</w:t>
            </w:r>
          </w:p>
        </w:tc>
        <w:tc>
          <w:tcPr>
            <w:tcW w:w="3792" w:type="dxa"/>
            <w:gridSpan w:val="4"/>
            <w:vAlign w:val="center"/>
          </w:tcPr>
          <w:p w14:paraId="2F8BA997">
            <w:pPr>
              <w:rPr>
                <w:rFonts w:asciiTheme="minorEastAsia" w:hAnsiTheme="minorEastAsia" w:eastAsiaTheme="minorEastAsia"/>
                <w:color w:val="000000"/>
                <w:sz w:val="24"/>
              </w:rPr>
            </w:pPr>
          </w:p>
        </w:tc>
        <w:tc>
          <w:tcPr>
            <w:tcW w:w="3794" w:type="dxa"/>
            <w:gridSpan w:val="3"/>
            <w:vAlign w:val="center"/>
          </w:tcPr>
          <w:p w14:paraId="10FEA878">
            <w:pPr>
              <w:widowControl/>
              <w:rPr>
                <w:rFonts w:asciiTheme="minorEastAsia" w:hAnsiTheme="minorEastAsia" w:eastAsiaTheme="minorEastAsia"/>
                <w:color w:val="000000"/>
                <w:sz w:val="24"/>
              </w:rPr>
            </w:pPr>
          </w:p>
        </w:tc>
      </w:tr>
      <w:tr w14:paraId="5395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6984E93B">
            <w:pPr>
              <w:widowControl/>
              <w:jc w:val="center"/>
              <w:rPr>
                <w:sz w:val="24"/>
              </w:rPr>
            </w:pPr>
          </w:p>
        </w:tc>
        <w:tc>
          <w:tcPr>
            <w:tcW w:w="992" w:type="dxa"/>
            <w:vMerge w:val="continue"/>
            <w:vAlign w:val="center"/>
          </w:tcPr>
          <w:p w14:paraId="29C62086">
            <w:pPr>
              <w:widowControl/>
              <w:rPr>
                <w:rFonts w:asciiTheme="minorEastAsia" w:hAnsiTheme="minorEastAsia" w:eastAsiaTheme="minorEastAsia"/>
                <w:sz w:val="24"/>
              </w:rPr>
            </w:pPr>
          </w:p>
        </w:tc>
        <w:tc>
          <w:tcPr>
            <w:tcW w:w="3576" w:type="dxa"/>
            <w:gridSpan w:val="5"/>
            <w:vAlign w:val="center"/>
          </w:tcPr>
          <w:p w14:paraId="596A4837">
            <w:pPr>
              <w:jc w:val="left"/>
              <w:rPr>
                <w:rFonts w:asciiTheme="minorEastAsia" w:hAnsiTheme="minorEastAsia" w:eastAsiaTheme="minorEastAsia"/>
                <w:sz w:val="24"/>
              </w:rPr>
            </w:pPr>
            <w:r>
              <w:rPr>
                <w:rFonts w:hint="eastAsia" w:asciiTheme="minorEastAsia" w:hAnsiTheme="minorEastAsia" w:eastAsiaTheme="minorEastAsia"/>
                <w:sz w:val="24"/>
              </w:rPr>
              <w:t>单位开展内部控制专题培训次数</w:t>
            </w:r>
          </w:p>
        </w:tc>
        <w:tc>
          <w:tcPr>
            <w:tcW w:w="3792" w:type="dxa"/>
            <w:gridSpan w:val="4"/>
            <w:vAlign w:val="center"/>
          </w:tcPr>
          <w:p w14:paraId="45EA15CD">
            <w:pPr>
              <w:rPr>
                <w:rFonts w:asciiTheme="minorEastAsia" w:hAnsiTheme="minorEastAsia" w:eastAsiaTheme="minorEastAsia"/>
                <w:color w:val="000000"/>
                <w:sz w:val="24"/>
              </w:rPr>
            </w:pPr>
          </w:p>
        </w:tc>
        <w:tc>
          <w:tcPr>
            <w:tcW w:w="3794" w:type="dxa"/>
            <w:gridSpan w:val="3"/>
            <w:vAlign w:val="center"/>
          </w:tcPr>
          <w:p w14:paraId="4E6ABCE3">
            <w:pPr>
              <w:rPr>
                <w:rFonts w:asciiTheme="minorEastAsia" w:hAnsiTheme="minorEastAsia" w:eastAsiaTheme="minorEastAsia"/>
                <w:color w:val="000000"/>
                <w:sz w:val="24"/>
              </w:rPr>
            </w:pPr>
          </w:p>
        </w:tc>
      </w:tr>
      <w:tr w14:paraId="7C10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42257C96">
            <w:pPr>
              <w:widowControl/>
              <w:jc w:val="center"/>
              <w:rPr>
                <w:sz w:val="24"/>
              </w:rPr>
            </w:pPr>
          </w:p>
        </w:tc>
        <w:tc>
          <w:tcPr>
            <w:tcW w:w="992" w:type="dxa"/>
            <w:vMerge w:val="continue"/>
            <w:vAlign w:val="center"/>
          </w:tcPr>
          <w:p w14:paraId="20ADA611">
            <w:pPr>
              <w:widowControl/>
              <w:rPr>
                <w:rFonts w:asciiTheme="minorEastAsia" w:hAnsiTheme="minorEastAsia" w:eastAsiaTheme="minorEastAsia"/>
                <w:sz w:val="24"/>
              </w:rPr>
            </w:pPr>
          </w:p>
        </w:tc>
        <w:tc>
          <w:tcPr>
            <w:tcW w:w="3576" w:type="dxa"/>
            <w:gridSpan w:val="5"/>
            <w:vAlign w:val="center"/>
          </w:tcPr>
          <w:p w14:paraId="49E3F8B7">
            <w:pPr>
              <w:jc w:val="left"/>
              <w:rPr>
                <w:rFonts w:asciiTheme="minorEastAsia" w:hAnsiTheme="minorEastAsia" w:eastAsiaTheme="minorEastAsia"/>
                <w:sz w:val="24"/>
              </w:rPr>
            </w:pPr>
            <w:r>
              <w:rPr>
                <w:rFonts w:hint="eastAsia" w:asciiTheme="minorEastAsia" w:hAnsiTheme="minorEastAsia" w:eastAsiaTheme="minorEastAsia"/>
                <w:sz w:val="24"/>
              </w:rPr>
              <w:t>单位内部控制风险评估覆盖情况</w:t>
            </w:r>
          </w:p>
        </w:tc>
        <w:tc>
          <w:tcPr>
            <w:tcW w:w="3792" w:type="dxa"/>
            <w:gridSpan w:val="4"/>
            <w:vAlign w:val="center"/>
          </w:tcPr>
          <w:p w14:paraId="03636D19">
            <w:pPr>
              <w:rPr>
                <w:rFonts w:asciiTheme="minorEastAsia" w:hAnsiTheme="minorEastAsia" w:eastAsiaTheme="minorEastAsia"/>
                <w:color w:val="000000"/>
                <w:sz w:val="24"/>
              </w:rPr>
            </w:pPr>
            <w:r>
              <w:rPr>
                <w:rFonts w:hint="eastAsia" w:asciiTheme="minorEastAsia" w:hAnsiTheme="minorEastAsia" w:eastAsiaTheme="minorEastAsia"/>
                <w:color w:val="000000"/>
                <w:sz w:val="24"/>
              </w:rPr>
              <w:t>本年度单位未开展内部控制风险评估工作或本年度单位风险评估覆盖范围不全面</w:t>
            </w:r>
          </w:p>
        </w:tc>
        <w:tc>
          <w:tcPr>
            <w:tcW w:w="3794" w:type="dxa"/>
            <w:gridSpan w:val="3"/>
            <w:vAlign w:val="center"/>
          </w:tcPr>
          <w:p w14:paraId="066B4E24">
            <w:pPr>
              <w:rPr>
                <w:rFonts w:asciiTheme="minorEastAsia" w:hAnsiTheme="minorEastAsia" w:eastAsiaTheme="minorEastAsia"/>
                <w:color w:val="000000"/>
                <w:sz w:val="24"/>
              </w:rPr>
            </w:pPr>
            <w:r>
              <w:rPr>
                <w:rFonts w:hint="eastAsia" w:asciiTheme="minorEastAsia" w:hAnsiTheme="minorEastAsia" w:eastAsiaTheme="minorEastAsia"/>
                <w:color w:val="000000"/>
                <w:sz w:val="24"/>
              </w:rPr>
              <w:t>单位每年至少开展一次内部控制风险评估工作，且评估范围应全面覆盖单位和业务层面。</w:t>
            </w:r>
          </w:p>
        </w:tc>
      </w:tr>
      <w:tr w14:paraId="56F5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3F2BB4CA">
            <w:pPr>
              <w:widowControl/>
              <w:jc w:val="center"/>
              <w:rPr>
                <w:sz w:val="24"/>
              </w:rPr>
            </w:pPr>
          </w:p>
        </w:tc>
        <w:tc>
          <w:tcPr>
            <w:tcW w:w="992" w:type="dxa"/>
            <w:vMerge w:val="continue"/>
            <w:vAlign w:val="center"/>
          </w:tcPr>
          <w:p w14:paraId="67704742">
            <w:pPr>
              <w:widowControl/>
              <w:rPr>
                <w:rFonts w:asciiTheme="minorEastAsia" w:hAnsiTheme="minorEastAsia" w:eastAsiaTheme="minorEastAsia"/>
                <w:sz w:val="24"/>
              </w:rPr>
            </w:pPr>
          </w:p>
        </w:tc>
        <w:tc>
          <w:tcPr>
            <w:tcW w:w="3576" w:type="dxa"/>
            <w:gridSpan w:val="5"/>
            <w:vAlign w:val="center"/>
          </w:tcPr>
          <w:p w14:paraId="289C72CC">
            <w:pPr>
              <w:jc w:val="left"/>
              <w:rPr>
                <w:rFonts w:asciiTheme="minorEastAsia" w:hAnsiTheme="minorEastAsia" w:eastAsiaTheme="minorEastAsia"/>
                <w:sz w:val="24"/>
              </w:rPr>
            </w:pPr>
            <w:r>
              <w:rPr>
                <w:rFonts w:hint="eastAsia" w:asciiTheme="minorEastAsia" w:hAnsiTheme="minorEastAsia" w:eastAsiaTheme="minorEastAsia"/>
                <w:sz w:val="24"/>
              </w:rPr>
              <w:t>是否开展内部控制考核评价</w:t>
            </w:r>
          </w:p>
        </w:tc>
        <w:tc>
          <w:tcPr>
            <w:tcW w:w="3792" w:type="dxa"/>
            <w:gridSpan w:val="4"/>
            <w:vAlign w:val="center"/>
          </w:tcPr>
          <w:p w14:paraId="079B4EC0">
            <w:pPr>
              <w:rPr>
                <w:rFonts w:asciiTheme="minorEastAsia" w:hAnsiTheme="minorEastAsia" w:eastAsiaTheme="minorEastAsia"/>
                <w:color w:val="000000"/>
                <w:sz w:val="24"/>
              </w:rPr>
            </w:pPr>
          </w:p>
        </w:tc>
        <w:tc>
          <w:tcPr>
            <w:tcW w:w="3794" w:type="dxa"/>
            <w:gridSpan w:val="3"/>
            <w:vAlign w:val="center"/>
          </w:tcPr>
          <w:p w14:paraId="548F6A33">
            <w:pPr>
              <w:rPr>
                <w:rFonts w:asciiTheme="minorEastAsia" w:hAnsiTheme="minorEastAsia" w:eastAsiaTheme="minorEastAsia"/>
                <w:color w:val="000000"/>
                <w:sz w:val="24"/>
              </w:rPr>
            </w:pPr>
          </w:p>
        </w:tc>
      </w:tr>
      <w:tr w14:paraId="1493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1A2E5D72">
            <w:pPr>
              <w:widowControl/>
              <w:jc w:val="center"/>
              <w:rPr>
                <w:sz w:val="24"/>
              </w:rPr>
            </w:pPr>
          </w:p>
        </w:tc>
        <w:tc>
          <w:tcPr>
            <w:tcW w:w="992" w:type="dxa"/>
            <w:vMerge w:val="continue"/>
            <w:vAlign w:val="center"/>
          </w:tcPr>
          <w:p w14:paraId="685F1755">
            <w:pPr>
              <w:widowControl/>
              <w:rPr>
                <w:rFonts w:asciiTheme="minorEastAsia" w:hAnsiTheme="minorEastAsia" w:eastAsiaTheme="minorEastAsia"/>
                <w:sz w:val="24"/>
              </w:rPr>
            </w:pPr>
          </w:p>
        </w:tc>
        <w:tc>
          <w:tcPr>
            <w:tcW w:w="3576" w:type="dxa"/>
            <w:gridSpan w:val="5"/>
            <w:vAlign w:val="center"/>
          </w:tcPr>
          <w:p w14:paraId="1D13502A">
            <w:pPr>
              <w:jc w:val="left"/>
              <w:rPr>
                <w:rFonts w:asciiTheme="minorEastAsia" w:hAnsiTheme="minorEastAsia" w:eastAsiaTheme="minorEastAsia"/>
                <w:sz w:val="24"/>
              </w:rPr>
            </w:pPr>
            <w:r>
              <w:rPr>
                <w:rFonts w:hint="eastAsia" w:asciiTheme="minorEastAsia" w:hAnsiTheme="minorEastAsia" w:eastAsiaTheme="minorEastAsia"/>
                <w:sz w:val="24"/>
              </w:rPr>
              <w:t>内部控制评价结果应用领域</w:t>
            </w:r>
          </w:p>
        </w:tc>
        <w:tc>
          <w:tcPr>
            <w:tcW w:w="3792" w:type="dxa"/>
            <w:gridSpan w:val="4"/>
            <w:vAlign w:val="center"/>
          </w:tcPr>
          <w:p w14:paraId="61F5CA38">
            <w:pPr>
              <w:rPr>
                <w:rFonts w:asciiTheme="minorEastAsia" w:hAnsiTheme="minorEastAsia" w:eastAsiaTheme="minorEastAsia"/>
                <w:color w:val="000000"/>
                <w:sz w:val="24"/>
              </w:rPr>
            </w:pPr>
            <w:r>
              <w:rPr>
                <w:rFonts w:hint="eastAsia" w:asciiTheme="minorEastAsia" w:hAnsiTheme="minorEastAsia" w:eastAsiaTheme="minorEastAsia"/>
                <w:color w:val="000000"/>
                <w:sz w:val="24"/>
              </w:rPr>
              <w:t>未有效应用内部控制考核评价结果</w:t>
            </w:r>
          </w:p>
        </w:tc>
        <w:tc>
          <w:tcPr>
            <w:tcW w:w="3794" w:type="dxa"/>
            <w:gridSpan w:val="3"/>
            <w:vAlign w:val="center"/>
          </w:tcPr>
          <w:p w14:paraId="58440101">
            <w:pPr>
              <w:rPr>
                <w:rFonts w:asciiTheme="minorEastAsia" w:hAnsiTheme="minorEastAsia" w:eastAsiaTheme="minorEastAsia"/>
                <w:color w:val="000000"/>
                <w:sz w:val="24"/>
              </w:rPr>
            </w:pPr>
            <w:r>
              <w:rPr>
                <w:rFonts w:hint="eastAsia" w:asciiTheme="minorEastAsia" w:hAnsiTheme="minorEastAsia" w:eastAsiaTheme="minorEastAsia"/>
                <w:color w:val="000000"/>
                <w:sz w:val="24"/>
              </w:rPr>
              <w:t>单位进行内部控制考核评价，并出具内部控制考核评价报告，将其作为完善内部管理制度、监督问责的重要参考依据和领导干部选拔任用的重要参考。</w:t>
            </w:r>
          </w:p>
        </w:tc>
      </w:tr>
      <w:tr w14:paraId="6C69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193FF0B0">
            <w:pPr>
              <w:widowControl/>
              <w:jc w:val="center"/>
              <w:rPr>
                <w:sz w:val="24"/>
              </w:rPr>
            </w:pPr>
          </w:p>
        </w:tc>
        <w:tc>
          <w:tcPr>
            <w:tcW w:w="992" w:type="dxa"/>
            <w:vMerge w:val="continue"/>
            <w:vAlign w:val="center"/>
          </w:tcPr>
          <w:p w14:paraId="6C3CE47A">
            <w:pPr>
              <w:widowControl/>
              <w:rPr>
                <w:rFonts w:asciiTheme="minorEastAsia" w:hAnsiTheme="minorEastAsia" w:eastAsiaTheme="minorEastAsia"/>
                <w:sz w:val="24"/>
              </w:rPr>
            </w:pPr>
          </w:p>
        </w:tc>
        <w:tc>
          <w:tcPr>
            <w:tcW w:w="3576" w:type="dxa"/>
            <w:gridSpan w:val="5"/>
            <w:vAlign w:val="center"/>
          </w:tcPr>
          <w:p w14:paraId="6C87127D">
            <w:pPr>
              <w:jc w:val="left"/>
              <w:rPr>
                <w:rFonts w:asciiTheme="minorEastAsia" w:hAnsiTheme="minorEastAsia" w:eastAsiaTheme="minorEastAsia"/>
                <w:sz w:val="24"/>
              </w:rPr>
            </w:pPr>
            <w:r>
              <w:rPr>
                <w:rFonts w:hint="eastAsia" w:asciiTheme="minorEastAsia" w:hAnsiTheme="minorEastAsia" w:eastAsiaTheme="minorEastAsia"/>
                <w:sz w:val="24"/>
              </w:rPr>
              <w:t>内部控制评价结果运用效果</w:t>
            </w:r>
          </w:p>
        </w:tc>
        <w:tc>
          <w:tcPr>
            <w:tcW w:w="3792" w:type="dxa"/>
            <w:gridSpan w:val="4"/>
            <w:vAlign w:val="center"/>
          </w:tcPr>
          <w:p w14:paraId="743D4C88">
            <w:pPr>
              <w:rPr>
                <w:rFonts w:asciiTheme="minorEastAsia" w:hAnsiTheme="minorEastAsia" w:eastAsiaTheme="minorEastAsia"/>
                <w:color w:val="000000"/>
                <w:sz w:val="24"/>
              </w:rPr>
            </w:pPr>
          </w:p>
        </w:tc>
        <w:tc>
          <w:tcPr>
            <w:tcW w:w="3794" w:type="dxa"/>
            <w:gridSpan w:val="3"/>
            <w:vAlign w:val="center"/>
          </w:tcPr>
          <w:p w14:paraId="2C4D9E06">
            <w:pPr>
              <w:rPr>
                <w:rFonts w:asciiTheme="minorEastAsia" w:hAnsiTheme="minorEastAsia" w:eastAsiaTheme="minorEastAsia"/>
                <w:color w:val="000000"/>
                <w:sz w:val="24"/>
              </w:rPr>
            </w:pPr>
          </w:p>
        </w:tc>
      </w:tr>
      <w:tr w14:paraId="7F1D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7ED3995C">
            <w:pPr>
              <w:widowControl/>
              <w:jc w:val="center"/>
              <w:rPr>
                <w:sz w:val="24"/>
              </w:rPr>
            </w:pPr>
          </w:p>
        </w:tc>
        <w:tc>
          <w:tcPr>
            <w:tcW w:w="992" w:type="dxa"/>
            <w:vMerge w:val="continue"/>
            <w:vAlign w:val="center"/>
          </w:tcPr>
          <w:p w14:paraId="5AEE076E">
            <w:pPr>
              <w:widowControl/>
              <w:rPr>
                <w:rFonts w:asciiTheme="minorEastAsia" w:hAnsiTheme="minorEastAsia" w:eastAsiaTheme="minorEastAsia"/>
                <w:sz w:val="24"/>
              </w:rPr>
            </w:pPr>
          </w:p>
        </w:tc>
        <w:tc>
          <w:tcPr>
            <w:tcW w:w="3576" w:type="dxa"/>
            <w:gridSpan w:val="5"/>
            <w:vAlign w:val="center"/>
          </w:tcPr>
          <w:p w14:paraId="06C2AC1A">
            <w:pPr>
              <w:jc w:val="left"/>
              <w:rPr>
                <w:rFonts w:asciiTheme="minorEastAsia" w:hAnsiTheme="minorEastAsia" w:eastAsiaTheme="minorEastAsia"/>
                <w:sz w:val="24"/>
              </w:rPr>
            </w:pPr>
            <w:r>
              <w:rPr>
                <w:rFonts w:hint="eastAsia" w:asciiTheme="minorEastAsia" w:hAnsiTheme="minorEastAsia" w:eastAsiaTheme="minorEastAsia"/>
                <w:sz w:val="24"/>
              </w:rPr>
              <w:t>巡视结果运用效果</w:t>
            </w:r>
          </w:p>
        </w:tc>
        <w:tc>
          <w:tcPr>
            <w:tcW w:w="3792" w:type="dxa"/>
            <w:gridSpan w:val="4"/>
            <w:vAlign w:val="center"/>
          </w:tcPr>
          <w:p w14:paraId="7FF7DF08">
            <w:pPr>
              <w:rPr>
                <w:rFonts w:asciiTheme="minorEastAsia" w:hAnsiTheme="minorEastAsia" w:eastAsiaTheme="minorEastAsia"/>
                <w:color w:val="000000"/>
                <w:sz w:val="24"/>
              </w:rPr>
            </w:pPr>
          </w:p>
        </w:tc>
        <w:tc>
          <w:tcPr>
            <w:tcW w:w="3794" w:type="dxa"/>
            <w:gridSpan w:val="3"/>
            <w:vAlign w:val="center"/>
          </w:tcPr>
          <w:p w14:paraId="0B4FD55D">
            <w:pPr>
              <w:rPr>
                <w:rFonts w:asciiTheme="minorEastAsia" w:hAnsiTheme="minorEastAsia" w:eastAsiaTheme="minorEastAsia"/>
                <w:color w:val="000000"/>
                <w:sz w:val="24"/>
              </w:rPr>
            </w:pPr>
          </w:p>
        </w:tc>
      </w:tr>
      <w:tr w14:paraId="267D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0A7548BF">
            <w:pPr>
              <w:widowControl/>
              <w:jc w:val="center"/>
              <w:rPr>
                <w:sz w:val="24"/>
              </w:rPr>
            </w:pPr>
          </w:p>
        </w:tc>
        <w:tc>
          <w:tcPr>
            <w:tcW w:w="992" w:type="dxa"/>
            <w:vMerge w:val="continue"/>
            <w:vAlign w:val="center"/>
          </w:tcPr>
          <w:p w14:paraId="41FE5A59">
            <w:pPr>
              <w:widowControl/>
              <w:rPr>
                <w:rFonts w:asciiTheme="minorEastAsia" w:hAnsiTheme="minorEastAsia" w:eastAsiaTheme="minorEastAsia"/>
                <w:sz w:val="24"/>
              </w:rPr>
            </w:pPr>
          </w:p>
        </w:tc>
        <w:tc>
          <w:tcPr>
            <w:tcW w:w="3576" w:type="dxa"/>
            <w:gridSpan w:val="5"/>
            <w:vAlign w:val="center"/>
          </w:tcPr>
          <w:p w14:paraId="55DBA694">
            <w:pPr>
              <w:jc w:val="left"/>
              <w:rPr>
                <w:rFonts w:asciiTheme="minorEastAsia" w:hAnsiTheme="minorEastAsia" w:eastAsiaTheme="minorEastAsia"/>
                <w:sz w:val="24"/>
              </w:rPr>
            </w:pPr>
            <w:r>
              <w:rPr>
                <w:rFonts w:hint="eastAsia" w:asciiTheme="minorEastAsia" w:hAnsiTheme="minorEastAsia" w:eastAsiaTheme="minorEastAsia"/>
                <w:sz w:val="24"/>
              </w:rPr>
              <w:t>纪检监察结果运用效果</w:t>
            </w:r>
          </w:p>
        </w:tc>
        <w:tc>
          <w:tcPr>
            <w:tcW w:w="3792" w:type="dxa"/>
            <w:gridSpan w:val="4"/>
            <w:vAlign w:val="center"/>
          </w:tcPr>
          <w:p w14:paraId="54CD8FEF">
            <w:pPr>
              <w:rPr>
                <w:rFonts w:asciiTheme="minorEastAsia" w:hAnsiTheme="minorEastAsia" w:eastAsiaTheme="minorEastAsia"/>
                <w:color w:val="000000"/>
                <w:sz w:val="24"/>
              </w:rPr>
            </w:pPr>
          </w:p>
        </w:tc>
        <w:tc>
          <w:tcPr>
            <w:tcW w:w="3794" w:type="dxa"/>
            <w:gridSpan w:val="3"/>
            <w:vAlign w:val="center"/>
          </w:tcPr>
          <w:p w14:paraId="31563B87">
            <w:pPr>
              <w:rPr>
                <w:rFonts w:asciiTheme="minorEastAsia" w:hAnsiTheme="minorEastAsia" w:eastAsiaTheme="minorEastAsia"/>
                <w:color w:val="000000"/>
                <w:sz w:val="24"/>
              </w:rPr>
            </w:pPr>
          </w:p>
        </w:tc>
      </w:tr>
      <w:tr w14:paraId="228A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6B6BB129">
            <w:pPr>
              <w:widowControl/>
              <w:jc w:val="center"/>
              <w:rPr>
                <w:sz w:val="24"/>
              </w:rPr>
            </w:pPr>
          </w:p>
        </w:tc>
        <w:tc>
          <w:tcPr>
            <w:tcW w:w="992" w:type="dxa"/>
            <w:vMerge w:val="continue"/>
            <w:vAlign w:val="center"/>
          </w:tcPr>
          <w:p w14:paraId="3AF38522">
            <w:pPr>
              <w:widowControl/>
              <w:rPr>
                <w:rFonts w:asciiTheme="minorEastAsia" w:hAnsiTheme="minorEastAsia" w:eastAsiaTheme="minorEastAsia"/>
                <w:sz w:val="24"/>
              </w:rPr>
            </w:pPr>
          </w:p>
        </w:tc>
        <w:tc>
          <w:tcPr>
            <w:tcW w:w="3576" w:type="dxa"/>
            <w:gridSpan w:val="5"/>
            <w:vAlign w:val="center"/>
          </w:tcPr>
          <w:p w14:paraId="75FEC980">
            <w:pPr>
              <w:jc w:val="left"/>
              <w:rPr>
                <w:rFonts w:asciiTheme="minorEastAsia" w:hAnsiTheme="minorEastAsia" w:eastAsiaTheme="minorEastAsia"/>
                <w:sz w:val="24"/>
              </w:rPr>
            </w:pPr>
            <w:r>
              <w:rPr>
                <w:rFonts w:hint="eastAsia" w:asciiTheme="minorEastAsia" w:hAnsiTheme="minorEastAsia" w:eastAsiaTheme="minorEastAsia"/>
                <w:sz w:val="24"/>
              </w:rPr>
              <w:t>审计结果运用效果</w:t>
            </w:r>
          </w:p>
        </w:tc>
        <w:tc>
          <w:tcPr>
            <w:tcW w:w="3792" w:type="dxa"/>
            <w:gridSpan w:val="4"/>
            <w:vAlign w:val="center"/>
          </w:tcPr>
          <w:p w14:paraId="3EE19510">
            <w:pPr>
              <w:rPr>
                <w:rFonts w:asciiTheme="minorEastAsia" w:hAnsiTheme="minorEastAsia" w:eastAsiaTheme="minorEastAsia"/>
                <w:color w:val="000000"/>
                <w:sz w:val="24"/>
              </w:rPr>
            </w:pPr>
          </w:p>
        </w:tc>
        <w:tc>
          <w:tcPr>
            <w:tcW w:w="3794" w:type="dxa"/>
            <w:gridSpan w:val="3"/>
            <w:vAlign w:val="center"/>
          </w:tcPr>
          <w:p w14:paraId="5DD33284">
            <w:pPr>
              <w:rPr>
                <w:rFonts w:asciiTheme="minorEastAsia" w:hAnsiTheme="minorEastAsia" w:eastAsiaTheme="minorEastAsia"/>
                <w:color w:val="000000"/>
                <w:sz w:val="24"/>
              </w:rPr>
            </w:pPr>
          </w:p>
        </w:tc>
      </w:tr>
      <w:tr w14:paraId="0241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6C0D6933">
            <w:pPr>
              <w:widowControl/>
              <w:jc w:val="center"/>
              <w:rPr>
                <w:sz w:val="24"/>
              </w:rPr>
            </w:pPr>
          </w:p>
        </w:tc>
        <w:tc>
          <w:tcPr>
            <w:tcW w:w="992" w:type="dxa"/>
            <w:vMerge w:val="restart"/>
            <w:vAlign w:val="center"/>
          </w:tcPr>
          <w:p w14:paraId="3F604F89">
            <w:pPr>
              <w:widowControl/>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权力运行制衡机制建立</w:t>
            </w:r>
          </w:p>
        </w:tc>
        <w:tc>
          <w:tcPr>
            <w:tcW w:w="3576" w:type="dxa"/>
            <w:gridSpan w:val="5"/>
            <w:vAlign w:val="center"/>
          </w:tcPr>
          <w:p w14:paraId="6C9D01F8">
            <w:pPr>
              <w:jc w:val="left"/>
              <w:rPr>
                <w:rFonts w:asciiTheme="minorEastAsia" w:hAnsiTheme="minorEastAsia" w:eastAsiaTheme="minorEastAsia"/>
                <w:sz w:val="24"/>
              </w:rPr>
            </w:pPr>
            <w:r>
              <w:rPr>
                <w:rFonts w:hint="eastAsia" w:asciiTheme="minorEastAsia" w:hAnsiTheme="minorEastAsia" w:eastAsiaTheme="minorEastAsia"/>
                <w:sz w:val="24"/>
              </w:rPr>
              <w:t>分事行权</w:t>
            </w:r>
          </w:p>
        </w:tc>
        <w:tc>
          <w:tcPr>
            <w:tcW w:w="3792" w:type="dxa"/>
            <w:gridSpan w:val="4"/>
            <w:vAlign w:val="center"/>
          </w:tcPr>
          <w:p w14:paraId="33D82914">
            <w:pPr>
              <w:rPr>
                <w:rFonts w:asciiTheme="minorEastAsia" w:hAnsiTheme="minorEastAsia" w:eastAsiaTheme="minorEastAsia"/>
                <w:color w:val="000000"/>
                <w:sz w:val="24"/>
              </w:rPr>
            </w:pPr>
          </w:p>
        </w:tc>
        <w:tc>
          <w:tcPr>
            <w:tcW w:w="3794" w:type="dxa"/>
            <w:gridSpan w:val="3"/>
            <w:vAlign w:val="center"/>
          </w:tcPr>
          <w:p w14:paraId="3226AD2A">
            <w:pPr>
              <w:rPr>
                <w:rFonts w:asciiTheme="minorEastAsia" w:hAnsiTheme="minorEastAsia" w:eastAsiaTheme="minorEastAsia"/>
                <w:color w:val="000000"/>
                <w:sz w:val="24"/>
              </w:rPr>
            </w:pPr>
          </w:p>
        </w:tc>
      </w:tr>
      <w:tr w14:paraId="73BC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233DC571">
            <w:pPr>
              <w:widowControl/>
              <w:jc w:val="center"/>
              <w:rPr>
                <w:sz w:val="24"/>
              </w:rPr>
            </w:pPr>
          </w:p>
        </w:tc>
        <w:tc>
          <w:tcPr>
            <w:tcW w:w="992" w:type="dxa"/>
            <w:vMerge w:val="continue"/>
            <w:vAlign w:val="center"/>
          </w:tcPr>
          <w:p w14:paraId="0284D6EC">
            <w:pPr>
              <w:widowControl/>
              <w:rPr>
                <w:rFonts w:asciiTheme="minorEastAsia" w:hAnsiTheme="minorEastAsia" w:eastAsiaTheme="minorEastAsia"/>
                <w:sz w:val="24"/>
              </w:rPr>
            </w:pPr>
          </w:p>
        </w:tc>
        <w:tc>
          <w:tcPr>
            <w:tcW w:w="3576" w:type="dxa"/>
            <w:gridSpan w:val="5"/>
            <w:vAlign w:val="center"/>
          </w:tcPr>
          <w:p w14:paraId="71338C54">
            <w:pPr>
              <w:jc w:val="left"/>
              <w:rPr>
                <w:rFonts w:asciiTheme="minorEastAsia" w:hAnsiTheme="minorEastAsia" w:eastAsiaTheme="minorEastAsia"/>
                <w:sz w:val="24"/>
              </w:rPr>
            </w:pPr>
            <w:r>
              <w:rPr>
                <w:rFonts w:hint="eastAsia" w:asciiTheme="minorEastAsia" w:hAnsiTheme="minorEastAsia" w:eastAsiaTheme="minorEastAsia"/>
                <w:sz w:val="24"/>
              </w:rPr>
              <w:t>分岗设权</w:t>
            </w:r>
          </w:p>
        </w:tc>
        <w:tc>
          <w:tcPr>
            <w:tcW w:w="3792" w:type="dxa"/>
            <w:gridSpan w:val="4"/>
            <w:vAlign w:val="center"/>
          </w:tcPr>
          <w:p w14:paraId="71AFBBFE">
            <w:pPr>
              <w:rPr>
                <w:rFonts w:asciiTheme="minorEastAsia" w:hAnsiTheme="minorEastAsia" w:eastAsiaTheme="minorEastAsia"/>
                <w:color w:val="000000"/>
                <w:sz w:val="24"/>
              </w:rPr>
            </w:pPr>
          </w:p>
        </w:tc>
        <w:tc>
          <w:tcPr>
            <w:tcW w:w="3794" w:type="dxa"/>
            <w:gridSpan w:val="3"/>
            <w:vAlign w:val="center"/>
          </w:tcPr>
          <w:p w14:paraId="6B579270">
            <w:pPr>
              <w:rPr>
                <w:rFonts w:asciiTheme="minorEastAsia" w:hAnsiTheme="minorEastAsia" w:eastAsiaTheme="minorEastAsia"/>
                <w:color w:val="000000"/>
                <w:sz w:val="24"/>
              </w:rPr>
            </w:pPr>
          </w:p>
        </w:tc>
      </w:tr>
      <w:tr w14:paraId="520B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0C1DB7BB">
            <w:pPr>
              <w:widowControl/>
              <w:jc w:val="center"/>
              <w:rPr>
                <w:sz w:val="24"/>
              </w:rPr>
            </w:pPr>
          </w:p>
        </w:tc>
        <w:tc>
          <w:tcPr>
            <w:tcW w:w="992" w:type="dxa"/>
            <w:vMerge w:val="continue"/>
            <w:vAlign w:val="center"/>
          </w:tcPr>
          <w:p w14:paraId="3C1153B2">
            <w:pPr>
              <w:widowControl/>
              <w:rPr>
                <w:rFonts w:asciiTheme="minorEastAsia" w:hAnsiTheme="minorEastAsia" w:eastAsiaTheme="minorEastAsia"/>
                <w:sz w:val="24"/>
              </w:rPr>
            </w:pPr>
          </w:p>
        </w:tc>
        <w:tc>
          <w:tcPr>
            <w:tcW w:w="3576" w:type="dxa"/>
            <w:gridSpan w:val="5"/>
            <w:vAlign w:val="center"/>
          </w:tcPr>
          <w:p w14:paraId="2BF7FCB3">
            <w:pPr>
              <w:jc w:val="left"/>
              <w:rPr>
                <w:rFonts w:asciiTheme="minorEastAsia" w:hAnsiTheme="minorEastAsia" w:eastAsiaTheme="minorEastAsia"/>
                <w:sz w:val="24"/>
              </w:rPr>
            </w:pPr>
            <w:r>
              <w:rPr>
                <w:rFonts w:hint="eastAsia" w:asciiTheme="minorEastAsia" w:hAnsiTheme="minorEastAsia" w:eastAsiaTheme="minorEastAsia"/>
                <w:sz w:val="24"/>
              </w:rPr>
              <w:t>分级授权</w:t>
            </w:r>
          </w:p>
        </w:tc>
        <w:tc>
          <w:tcPr>
            <w:tcW w:w="3792" w:type="dxa"/>
            <w:gridSpan w:val="4"/>
            <w:vAlign w:val="center"/>
          </w:tcPr>
          <w:p w14:paraId="5C539251">
            <w:pPr>
              <w:rPr>
                <w:rFonts w:asciiTheme="minorEastAsia" w:hAnsiTheme="minorEastAsia" w:eastAsiaTheme="minorEastAsia"/>
                <w:color w:val="000000"/>
                <w:sz w:val="24"/>
              </w:rPr>
            </w:pPr>
          </w:p>
        </w:tc>
        <w:tc>
          <w:tcPr>
            <w:tcW w:w="3794" w:type="dxa"/>
            <w:gridSpan w:val="3"/>
            <w:vAlign w:val="center"/>
          </w:tcPr>
          <w:p w14:paraId="5ACF0D82">
            <w:pPr>
              <w:rPr>
                <w:rFonts w:asciiTheme="minorEastAsia" w:hAnsiTheme="minorEastAsia" w:eastAsiaTheme="minorEastAsia"/>
                <w:color w:val="000000"/>
                <w:sz w:val="24"/>
              </w:rPr>
            </w:pPr>
          </w:p>
        </w:tc>
      </w:tr>
      <w:tr w14:paraId="49D0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1DE29398">
            <w:pPr>
              <w:widowControl/>
              <w:jc w:val="center"/>
              <w:rPr>
                <w:sz w:val="24"/>
              </w:rPr>
            </w:pPr>
          </w:p>
        </w:tc>
        <w:tc>
          <w:tcPr>
            <w:tcW w:w="992" w:type="dxa"/>
            <w:vMerge w:val="continue"/>
            <w:vAlign w:val="center"/>
          </w:tcPr>
          <w:p w14:paraId="1C13023B">
            <w:pPr>
              <w:widowControl/>
              <w:rPr>
                <w:rFonts w:asciiTheme="minorEastAsia" w:hAnsiTheme="minorEastAsia" w:eastAsiaTheme="minorEastAsia"/>
                <w:sz w:val="24"/>
              </w:rPr>
            </w:pPr>
          </w:p>
        </w:tc>
        <w:tc>
          <w:tcPr>
            <w:tcW w:w="3576" w:type="dxa"/>
            <w:gridSpan w:val="5"/>
            <w:vAlign w:val="center"/>
          </w:tcPr>
          <w:p w14:paraId="0C78A38A">
            <w:pPr>
              <w:jc w:val="left"/>
              <w:rPr>
                <w:rFonts w:asciiTheme="minorEastAsia" w:hAnsiTheme="minorEastAsia" w:eastAsiaTheme="minorEastAsia"/>
                <w:sz w:val="24"/>
              </w:rPr>
            </w:pPr>
            <w:r>
              <w:rPr>
                <w:rFonts w:hint="eastAsia" w:asciiTheme="minorEastAsia" w:hAnsiTheme="minorEastAsia" w:eastAsiaTheme="minorEastAsia"/>
                <w:sz w:val="24"/>
              </w:rPr>
              <w:t>定期轮岗、专项审计</w:t>
            </w:r>
          </w:p>
        </w:tc>
        <w:tc>
          <w:tcPr>
            <w:tcW w:w="3792" w:type="dxa"/>
            <w:gridSpan w:val="4"/>
            <w:vAlign w:val="center"/>
          </w:tcPr>
          <w:p w14:paraId="658E2468">
            <w:pPr>
              <w:rPr>
                <w:rFonts w:asciiTheme="minorEastAsia" w:hAnsiTheme="minorEastAsia" w:eastAsiaTheme="minorEastAsia"/>
                <w:color w:val="000000"/>
                <w:sz w:val="24"/>
              </w:rPr>
            </w:pPr>
          </w:p>
        </w:tc>
        <w:tc>
          <w:tcPr>
            <w:tcW w:w="3794" w:type="dxa"/>
            <w:gridSpan w:val="3"/>
            <w:vAlign w:val="center"/>
          </w:tcPr>
          <w:p w14:paraId="66AF2F04">
            <w:pPr>
              <w:rPr>
                <w:rFonts w:asciiTheme="minorEastAsia" w:hAnsiTheme="minorEastAsia" w:eastAsiaTheme="minorEastAsia"/>
                <w:color w:val="000000"/>
                <w:sz w:val="24"/>
              </w:rPr>
            </w:pPr>
          </w:p>
        </w:tc>
      </w:tr>
      <w:tr w14:paraId="3982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67CB968A">
            <w:pPr>
              <w:widowControl/>
              <w:jc w:val="center"/>
              <w:rPr>
                <w:sz w:val="24"/>
              </w:rPr>
            </w:pPr>
          </w:p>
        </w:tc>
        <w:tc>
          <w:tcPr>
            <w:tcW w:w="992" w:type="dxa"/>
            <w:vMerge w:val="continue"/>
            <w:vAlign w:val="center"/>
          </w:tcPr>
          <w:p w14:paraId="0CDE58EF">
            <w:pPr>
              <w:widowControl/>
              <w:rPr>
                <w:rFonts w:asciiTheme="minorEastAsia" w:hAnsiTheme="minorEastAsia" w:eastAsiaTheme="minorEastAsia"/>
                <w:sz w:val="24"/>
              </w:rPr>
            </w:pPr>
          </w:p>
        </w:tc>
        <w:tc>
          <w:tcPr>
            <w:tcW w:w="3576" w:type="dxa"/>
            <w:gridSpan w:val="5"/>
            <w:vAlign w:val="center"/>
          </w:tcPr>
          <w:p w14:paraId="69AB87FA">
            <w:pPr>
              <w:jc w:val="left"/>
              <w:rPr>
                <w:rFonts w:asciiTheme="minorEastAsia" w:hAnsiTheme="minorEastAsia" w:eastAsiaTheme="minorEastAsia"/>
                <w:sz w:val="24"/>
              </w:rPr>
            </w:pPr>
            <w:r>
              <w:rPr>
                <w:rFonts w:hint="eastAsia" w:asciiTheme="minorEastAsia" w:hAnsiTheme="minorEastAsia" w:eastAsiaTheme="minorEastAsia"/>
                <w:sz w:val="24"/>
              </w:rPr>
              <w:t>职责明晰</w:t>
            </w:r>
          </w:p>
        </w:tc>
        <w:tc>
          <w:tcPr>
            <w:tcW w:w="3792" w:type="dxa"/>
            <w:gridSpan w:val="4"/>
            <w:vAlign w:val="center"/>
          </w:tcPr>
          <w:p w14:paraId="001A79E4">
            <w:pPr>
              <w:rPr>
                <w:rFonts w:asciiTheme="minorEastAsia" w:hAnsiTheme="minorEastAsia" w:eastAsiaTheme="minorEastAsia"/>
                <w:color w:val="000000"/>
                <w:sz w:val="24"/>
              </w:rPr>
            </w:pPr>
          </w:p>
        </w:tc>
        <w:tc>
          <w:tcPr>
            <w:tcW w:w="3794" w:type="dxa"/>
            <w:gridSpan w:val="3"/>
            <w:vAlign w:val="center"/>
          </w:tcPr>
          <w:p w14:paraId="7FF5F215">
            <w:pPr>
              <w:rPr>
                <w:rFonts w:asciiTheme="minorEastAsia" w:hAnsiTheme="minorEastAsia" w:eastAsiaTheme="minorEastAsia"/>
                <w:color w:val="000000"/>
                <w:sz w:val="24"/>
              </w:rPr>
            </w:pPr>
          </w:p>
        </w:tc>
      </w:tr>
      <w:tr w14:paraId="0E25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66A4B2FC">
            <w:pPr>
              <w:widowControl/>
              <w:jc w:val="center"/>
              <w:rPr>
                <w:sz w:val="24"/>
              </w:rPr>
            </w:pPr>
          </w:p>
        </w:tc>
        <w:tc>
          <w:tcPr>
            <w:tcW w:w="992" w:type="dxa"/>
            <w:vMerge w:val="continue"/>
            <w:vAlign w:val="center"/>
          </w:tcPr>
          <w:p w14:paraId="6592A733">
            <w:pPr>
              <w:widowControl/>
              <w:rPr>
                <w:rFonts w:asciiTheme="minorEastAsia" w:hAnsiTheme="minorEastAsia" w:eastAsiaTheme="minorEastAsia"/>
                <w:sz w:val="24"/>
              </w:rPr>
            </w:pPr>
          </w:p>
        </w:tc>
        <w:tc>
          <w:tcPr>
            <w:tcW w:w="3576" w:type="dxa"/>
            <w:gridSpan w:val="5"/>
            <w:vAlign w:val="center"/>
          </w:tcPr>
          <w:p w14:paraId="4E2E6179">
            <w:pPr>
              <w:jc w:val="left"/>
              <w:rPr>
                <w:rFonts w:asciiTheme="minorEastAsia" w:hAnsiTheme="minorEastAsia" w:eastAsiaTheme="minorEastAsia"/>
                <w:sz w:val="24"/>
              </w:rPr>
            </w:pPr>
            <w:r>
              <w:rPr>
                <w:rFonts w:hint="eastAsia" w:asciiTheme="minorEastAsia" w:hAnsiTheme="minorEastAsia" w:eastAsiaTheme="minorEastAsia"/>
                <w:sz w:val="24"/>
              </w:rPr>
              <w:t>决策程序</w:t>
            </w:r>
          </w:p>
        </w:tc>
        <w:tc>
          <w:tcPr>
            <w:tcW w:w="3792" w:type="dxa"/>
            <w:gridSpan w:val="4"/>
            <w:vAlign w:val="center"/>
          </w:tcPr>
          <w:p w14:paraId="611D4EBF">
            <w:pPr>
              <w:rPr>
                <w:rFonts w:asciiTheme="minorEastAsia" w:hAnsiTheme="minorEastAsia" w:eastAsiaTheme="minorEastAsia"/>
                <w:color w:val="000000"/>
                <w:sz w:val="24"/>
              </w:rPr>
            </w:pPr>
          </w:p>
        </w:tc>
        <w:tc>
          <w:tcPr>
            <w:tcW w:w="3794" w:type="dxa"/>
            <w:gridSpan w:val="3"/>
            <w:vAlign w:val="center"/>
          </w:tcPr>
          <w:p w14:paraId="706722DB">
            <w:pPr>
              <w:rPr>
                <w:rFonts w:asciiTheme="minorEastAsia" w:hAnsiTheme="minorEastAsia" w:eastAsiaTheme="minorEastAsia"/>
                <w:color w:val="000000"/>
                <w:sz w:val="24"/>
              </w:rPr>
            </w:pPr>
          </w:p>
        </w:tc>
      </w:tr>
      <w:tr w14:paraId="142A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5B0C78B5">
            <w:pPr>
              <w:widowControl/>
              <w:jc w:val="center"/>
              <w:rPr>
                <w:sz w:val="24"/>
              </w:rPr>
            </w:pPr>
          </w:p>
        </w:tc>
        <w:tc>
          <w:tcPr>
            <w:tcW w:w="4568" w:type="dxa"/>
            <w:gridSpan w:val="6"/>
            <w:vAlign w:val="center"/>
          </w:tcPr>
          <w:p w14:paraId="3B82D794">
            <w:pPr>
              <w:widowControl/>
              <w:jc w:val="left"/>
              <w:rPr>
                <w:rFonts w:asciiTheme="minorEastAsia" w:hAnsiTheme="minorEastAsia" w:eastAsiaTheme="minorEastAsia"/>
                <w:sz w:val="24"/>
              </w:rPr>
            </w:pPr>
            <w:r>
              <w:rPr>
                <w:rFonts w:asciiTheme="minorEastAsia" w:hAnsiTheme="minorEastAsia" w:eastAsiaTheme="minorEastAsia"/>
                <w:sz w:val="24"/>
              </w:rPr>
              <w:t>4.</w:t>
            </w:r>
            <w:r>
              <w:rPr>
                <w:rFonts w:hint="eastAsia" w:asciiTheme="minorEastAsia" w:hAnsiTheme="minorEastAsia" w:eastAsiaTheme="minorEastAsia"/>
                <w:sz w:val="24"/>
              </w:rPr>
              <w:t>政府会计改革</w:t>
            </w:r>
          </w:p>
        </w:tc>
        <w:tc>
          <w:tcPr>
            <w:tcW w:w="3792" w:type="dxa"/>
            <w:gridSpan w:val="4"/>
            <w:vAlign w:val="center"/>
          </w:tcPr>
          <w:p w14:paraId="19A95A6A">
            <w:pPr>
              <w:rPr>
                <w:rFonts w:asciiTheme="minorEastAsia" w:hAnsiTheme="minorEastAsia" w:eastAsiaTheme="minorEastAsia"/>
                <w:color w:val="000000"/>
                <w:sz w:val="24"/>
              </w:rPr>
            </w:pPr>
          </w:p>
        </w:tc>
        <w:tc>
          <w:tcPr>
            <w:tcW w:w="3794" w:type="dxa"/>
            <w:gridSpan w:val="3"/>
            <w:vAlign w:val="center"/>
          </w:tcPr>
          <w:p w14:paraId="23C7AC9F">
            <w:pPr>
              <w:widowControl/>
              <w:rPr>
                <w:rFonts w:asciiTheme="minorEastAsia" w:hAnsiTheme="minorEastAsia" w:eastAsiaTheme="minorEastAsia"/>
                <w:color w:val="000000"/>
                <w:sz w:val="24"/>
              </w:rPr>
            </w:pPr>
          </w:p>
        </w:tc>
      </w:tr>
      <w:tr w14:paraId="343F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28AC6359">
            <w:pPr>
              <w:widowControl/>
              <w:jc w:val="center"/>
              <w:rPr>
                <w:sz w:val="24"/>
              </w:rPr>
            </w:pPr>
            <w:r>
              <w:rPr>
                <w:rFonts w:hint="eastAsia"/>
                <w:sz w:val="24"/>
              </w:rPr>
              <w:t>预算业务管理</w:t>
            </w:r>
          </w:p>
        </w:tc>
        <w:tc>
          <w:tcPr>
            <w:tcW w:w="4568" w:type="dxa"/>
            <w:gridSpan w:val="6"/>
            <w:vAlign w:val="center"/>
          </w:tcPr>
          <w:p w14:paraId="0719415A">
            <w:pPr>
              <w:widowControl/>
              <w:jc w:val="left"/>
              <w:rPr>
                <w:rFonts w:asciiTheme="minorEastAsia" w:hAnsiTheme="minorEastAsia" w:eastAsiaTheme="minorEastAsia"/>
                <w:sz w:val="24"/>
              </w:rPr>
            </w:pPr>
            <w:r>
              <w:rPr>
                <w:rFonts w:hint="eastAsia" w:ascii="宋体" w:hAnsi="宋体"/>
                <w:sz w:val="24"/>
              </w:rPr>
              <w:t>1.工作职责分离</w:t>
            </w:r>
          </w:p>
        </w:tc>
        <w:tc>
          <w:tcPr>
            <w:tcW w:w="3792" w:type="dxa"/>
            <w:gridSpan w:val="4"/>
            <w:vAlign w:val="center"/>
          </w:tcPr>
          <w:p w14:paraId="2609334D">
            <w:pPr>
              <w:rPr>
                <w:rFonts w:asciiTheme="minorEastAsia" w:hAnsiTheme="minorEastAsia" w:eastAsiaTheme="minorEastAsia"/>
                <w:color w:val="000000"/>
                <w:sz w:val="24"/>
              </w:rPr>
            </w:pPr>
          </w:p>
        </w:tc>
        <w:tc>
          <w:tcPr>
            <w:tcW w:w="3794" w:type="dxa"/>
            <w:gridSpan w:val="3"/>
            <w:vAlign w:val="center"/>
          </w:tcPr>
          <w:p w14:paraId="7D27999A">
            <w:pPr>
              <w:rPr>
                <w:rFonts w:asciiTheme="minorEastAsia" w:hAnsiTheme="minorEastAsia" w:eastAsiaTheme="minorEastAsia"/>
                <w:color w:val="000000"/>
                <w:sz w:val="24"/>
              </w:rPr>
            </w:pPr>
          </w:p>
        </w:tc>
      </w:tr>
      <w:tr w14:paraId="7AD6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566D4E50">
            <w:pPr>
              <w:widowControl/>
              <w:jc w:val="center"/>
              <w:rPr>
                <w:sz w:val="24"/>
              </w:rPr>
            </w:pPr>
          </w:p>
        </w:tc>
        <w:tc>
          <w:tcPr>
            <w:tcW w:w="4568" w:type="dxa"/>
            <w:gridSpan w:val="6"/>
            <w:vAlign w:val="center"/>
          </w:tcPr>
          <w:p w14:paraId="582394CC">
            <w:pPr>
              <w:widowControl/>
              <w:jc w:val="left"/>
              <w:rPr>
                <w:rFonts w:asciiTheme="minorEastAsia" w:hAnsiTheme="minorEastAsia" w:eastAsiaTheme="minorEastAsia"/>
                <w:sz w:val="24"/>
              </w:rPr>
            </w:pPr>
            <w:r>
              <w:rPr>
                <w:rFonts w:hint="eastAsia" w:ascii="宋体" w:hAnsi="宋体"/>
                <w:sz w:val="24"/>
              </w:rPr>
              <w:t>2.定期轮岗</w:t>
            </w:r>
          </w:p>
        </w:tc>
        <w:tc>
          <w:tcPr>
            <w:tcW w:w="3792" w:type="dxa"/>
            <w:gridSpan w:val="4"/>
            <w:vAlign w:val="center"/>
          </w:tcPr>
          <w:p w14:paraId="1659E7FA">
            <w:pPr>
              <w:rPr>
                <w:rFonts w:asciiTheme="minorEastAsia" w:hAnsiTheme="minorEastAsia" w:eastAsiaTheme="minorEastAsia"/>
                <w:color w:val="000000"/>
                <w:sz w:val="24"/>
              </w:rPr>
            </w:pPr>
          </w:p>
        </w:tc>
        <w:tc>
          <w:tcPr>
            <w:tcW w:w="3794" w:type="dxa"/>
            <w:gridSpan w:val="3"/>
            <w:vAlign w:val="center"/>
          </w:tcPr>
          <w:p w14:paraId="7319F47A">
            <w:pPr>
              <w:rPr>
                <w:rFonts w:asciiTheme="minorEastAsia" w:hAnsiTheme="minorEastAsia" w:eastAsiaTheme="minorEastAsia"/>
                <w:color w:val="000000"/>
                <w:sz w:val="24"/>
              </w:rPr>
            </w:pPr>
          </w:p>
        </w:tc>
      </w:tr>
      <w:tr w14:paraId="0B607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3DE49469">
            <w:pPr>
              <w:widowControl/>
              <w:jc w:val="center"/>
              <w:rPr>
                <w:sz w:val="24"/>
              </w:rPr>
            </w:pPr>
          </w:p>
        </w:tc>
        <w:tc>
          <w:tcPr>
            <w:tcW w:w="4568" w:type="dxa"/>
            <w:gridSpan w:val="6"/>
            <w:vAlign w:val="center"/>
          </w:tcPr>
          <w:p w14:paraId="21154F11">
            <w:pPr>
              <w:widowControl/>
              <w:jc w:val="left"/>
              <w:rPr>
                <w:rFonts w:asciiTheme="minorEastAsia" w:hAnsiTheme="minorEastAsia" w:eastAsiaTheme="minorEastAsia"/>
                <w:sz w:val="24"/>
              </w:rPr>
            </w:pPr>
            <w:r>
              <w:rPr>
                <w:rFonts w:hint="eastAsia" w:ascii="宋体" w:hAnsi="宋体"/>
                <w:sz w:val="24"/>
              </w:rPr>
              <w:t>3.建立健全内部控制制度</w:t>
            </w:r>
          </w:p>
        </w:tc>
        <w:tc>
          <w:tcPr>
            <w:tcW w:w="3792" w:type="dxa"/>
            <w:gridSpan w:val="4"/>
            <w:vAlign w:val="center"/>
          </w:tcPr>
          <w:p w14:paraId="1AC3DBA5">
            <w:pPr>
              <w:rPr>
                <w:rFonts w:asciiTheme="minorEastAsia" w:hAnsiTheme="minorEastAsia" w:eastAsiaTheme="minorEastAsia"/>
                <w:color w:val="000000"/>
                <w:sz w:val="24"/>
              </w:rPr>
            </w:pPr>
          </w:p>
        </w:tc>
        <w:tc>
          <w:tcPr>
            <w:tcW w:w="3794" w:type="dxa"/>
            <w:gridSpan w:val="3"/>
            <w:vAlign w:val="center"/>
          </w:tcPr>
          <w:p w14:paraId="3B3E3170">
            <w:pPr>
              <w:rPr>
                <w:rFonts w:asciiTheme="minorEastAsia" w:hAnsiTheme="minorEastAsia" w:eastAsiaTheme="minorEastAsia"/>
                <w:color w:val="000000"/>
                <w:sz w:val="24"/>
              </w:rPr>
            </w:pPr>
          </w:p>
        </w:tc>
      </w:tr>
      <w:tr w14:paraId="5B05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4111D101">
            <w:pPr>
              <w:widowControl/>
              <w:jc w:val="center"/>
              <w:rPr>
                <w:sz w:val="24"/>
              </w:rPr>
            </w:pPr>
          </w:p>
        </w:tc>
        <w:tc>
          <w:tcPr>
            <w:tcW w:w="4568" w:type="dxa"/>
            <w:gridSpan w:val="6"/>
            <w:vAlign w:val="center"/>
          </w:tcPr>
          <w:p w14:paraId="7BE881C4">
            <w:pPr>
              <w:widowControl/>
              <w:jc w:val="left"/>
              <w:rPr>
                <w:rFonts w:asciiTheme="minorEastAsia" w:hAnsiTheme="minorEastAsia" w:eastAsiaTheme="minorEastAsia"/>
                <w:sz w:val="24"/>
              </w:rPr>
            </w:pPr>
            <w:r>
              <w:rPr>
                <w:rFonts w:hint="eastAsia" w:ascii="宋体" w:hAnsi="宋体"/>
                <w:sz w:val="24"/>
              </w:rPr>
              <w:t>4.内部控制制度执行</w:t>
            </w:r>
          </w:p>
        </w:tc>
        <w:tc>
          <w:tcPr>
            <w:tcW w:w="3792" w:type="dxa"/>
            <w:gridSpan w:val="4"/>
            <w:vAlign w:val="center"/>
          </w:tcPr>
          <w:p w14:paraId="4780948C">
            <w:pPr>
              <w:rPr>
                <w:rFonts w:asciiTheme="minorEastAsia" w:hAnsiTheme="minorEastAsia" w:eastAsiaTheme="minorEastAsia"/>
                <w:color w:val="000000"/>
                <w:sz w:val="24"/>
              </w:rPr>
            </w:pPr>
          </w:p>
        </w:tc>
        <w:tc>
          <w:tcPr>
            <w:tcW w:w="3794" w:type="dxa"/>
            <w:gridSpan w:val="3"/>
            <w:vAlign w:val="center"/>
          </w:tcPr>
          <w:p w14:paraId="043838A5">
            <w:pPr>
              <w:rPr>
                <w:rFonts w:asciiTheme="minorEastAsia" w:hAnsiTheme="minorEastAsia" w:eastAsiaTheme="minorEastAsia"/>
                <w:color w:val="000000"/>
                <w:sz w:val="24"/>
              </w:rPr>
            </w:pPr>
          </w:p>
        </w:tc>
      </w:tr>
      <w:tr w14:paraId="07AE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125A3375">
            <w:pPr>
              <w:widowControl/>
              <w:jc w:val="center"/>
              <w:rPr>
                <w:sz w:val="24"/>
              </w:rPr>
            </w:pPr>
            <w:r>
              <w:rPr>
                <w:rFonts w:hint="eastAsia"/>
                <w:sz w:val="24"/>
              </w:rPr>
              <w:t>收支业务管理</w:t>
            </w:r>
          </w:p>
        </w:tc>
        <w:tc>
          <w:tcPr>
            <w:tcW w:w="4568" w:type="dxa"/>
            <w:gridSpan w:val="6"/>
            <w:vAlign w:val="center"/>
          </w:tcPr>
          <w:p w14:paraId="115A24CE">
            <w:pPr>
              <w:widowControl/>
              <w:jc w:val="left"/>
              <w:rPr>
                <w:rFonts w:asciiTheme="minorEastAsia" w:hAnsiTheme="minorEastAsia" w:eastAsiaTheme="minorEastAsia"/>
                <w:sz w:val="24"/>
              </w:rPr>
            </w:pPr>
            <w:r>
              <w:rPr>
                <w:rFonts w:hint="eastAsia" w:ascii="宋体" w:hAnsi="宋体"/>
                <w:sz w:val="24"/>
              </w:rPr>
              <w:t>1.工作职责分离</w:t>
            </w:r>
          </w:p>
        </w:tc>
        <w:tc>
          <w:tcPr>
            <w:tcW w:w="3792" w:type="dxa"/>
            <w:gridSpan w:val="4"/>
            <w:vAlign w:val="center"/>
          </w:tcPr>
          <w:p w14:paraId="0CF7847A">
            <w:pPr>
              <w:rPr>
                <w:rFonts w:asciiTheme="minorEastAsia" w:hAnsiTheme="minorEastAsia" w:eastAsiaTheme="minorEastAsia"/>
                <w:color w:val="000000"/>
                <w:sz w:val="24"/>
              </w:rPr>
            </w:pPr>
          </w:p>
        </w:tc>
        <w:tc>
          <w:tcPr>
            <w:tcW w:w="3794" w:type="dxa"/>
            <w:gridSpan w:val="3"/>
            <w:vAlign w:val="center"/>
          </w:tcPr>
          <w:p w14:paraId="2D231341">
            <w:pPr>
              <w:rPr>
                <w:rFonts w:asciiTheme="minorEastAsia" w:hAnsiTheme="minorEastAsia" w:eastAsiaTheme="minorEastAsia"/>
                <w:color w:val="000000"/>
                <w:sz w:val="24"/>
              </w:rPr>
            </w:pPr>
          </w:p>
        </w:tc>
      </w:tr>
      <w:tr w14:paraId="6A2B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6265F071">
            <w:pPr>
              <w:widowControl/>
              <w:jc w:val="center"/>
              <w:rPr>
                <w:sz w:val="24"/>
              </w:rPr>
            </w:pPr>
          </w:p>
        </w:tc>
        <w:tc>
          <w:tcPr>
            <w:tcW w:w="4568" w:type="dxa"/>
            <w:gridSpan w:val="6"/>
            <w:vAlign w:val="center"/>
          </w:tcPr>
          <w:p w14:paraId="4BA5A1B4">
            <w:pPr>
              <w:widowControl/>
              <w:jc w:val="left"/>
              <w:rPr>
                <w:rFonts w:asciiTheme="minorEastAsia" w:hAnsiTheme="minorEastAsia" w:eastAsiaTheme="minorEastAsia"/>
                <w:sz w:val="24"/>
              </w:rPr>
            </w:pPr>
            <w:r>
              <w:rPr>
                <w:rFonts w:hint="eastAsia" w:ascii="宋体" w:hAnsi="宋体"/>
                <w:sz w:val="24"/>
              </w:rPr>
              <w:t>2.定期轮岗</w:t>
            </w:r>
          </w:p>
        </w:tc>
        <w:tc>
          <w:tcPr>
            <w:tcW w:w="3792" w:type="dxa"/>
            <w:gridSpan w:val="4"/>
            <w:vAlign w:val="center"/>
          </w:tcPr>
          <w:p w14:paraId="31AF6560">
            <w:pPr>
              <w:rPr>
                <w:rFonts w:asciiTheme="minorEastAsia" w:hAnsiTheme="minorEastAsia" w:eastAsiaTheme="minorEastAsia"/>
                <w:color w:val="000000"/>
                <w:sz w:val="24"/>
              </w:rPr>
            </w:pPr>
          </w:p>
        </w:tc>
        <w:tc>
          <w:tcPr>
            <w:tcW w:w="3794" w:type="dxa"/>
            <w:gridSpan w:val="3"/>
            <w:vAlign w:val="center"/>
          </w:tcPr>
          <w:p w14:paraId="6F4B3F38">
            <w:pPr>
              <w:rPr>
                <w:rFonts w:asciiTheme="minorEastAsia" w:hAnsiTheme="minorEastAsia" w:eastAsiaTheme="minorEastAsia"/>
                <w:color w:val="000000"/>
                <w:sz w:val="24"/>
              </w:rPr>
            </w:pPr>
          </w:p>
        </w:tc>
      </w:tr>
      <w:tr w14:paraId="6DE9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409ADA00">
            <w:pPr>
              <w:widowControl/>
              <w:jc w:val="center"/>
              <w:rPr>
                <w:sz w:val="24"/>
              </w:rPr>
            </w:pPr>
          </w:p>
        </w:tc>
        <w:tc>
          <w:tcPr>
            <w:tcW w:w="4568" w:type="dxa"/>
            <w:gridSpan w:val="6"/>
            <w:vAlign w:val="center"/>
          </w:tcPr>
          <w:p w14:paraId="178D1DB3">
            <w:pPr>
              <w:widowControl/>
              <w:jc w:val="left"/>
              <w:rPr>
                <w:rFonts w:asciiTheme="minorEastAsia" w:hAnsiTheme="minorEastAsia" w:eastAsiaTheme="minorEastAsia"/>
                <w:sz w:val="24"/>
              </w:rPr>
            </w:pPr>
            <w:r>
              <w:rPr>
                <w:rFonts w:hint="eastAsia" w:ascii="宋体" w:hAnsi="宋体"/>
                <w:sz w:val="24"/>
              </w:rPr>
              <w:t>3.建立健全内部控制制度</w:t>
            </w:r>
          </w:p>
        </w:tc>
        <w:tc>
          <w:tcPr>
            <w:tcW w:w="3792" w:type="dxa"/>
            <w:gridSpan w:val="4"/>
            <w:vAlign w:val="center"/>
          </w:tcPr>
          <w:p w14:paraId="64CBABDA">
            <w:pPr>
              <w:rPr>
                <w:rFonts w:asciiTheme="minorEastAsia" w:hAnsiTheme="minorEastAsia" w:eastAsiaTheme="minorEastAsia"/>
                <w:color w:val="000000"/>
                <w:sz w:val="24"/>
              </w:rPr>
            </w:pPr>
          </w:p>
        </w:tc>
        <w:tc>
          <w:tcPr>
            <w:tcW w:w="3794" w:type="dxa"/>
            <w:gridSpan w:val="3"/>
            <w:vAlign w:val="center"/>
          </w:tcPr>
          <w:p w14:paraId="4DD7CB50">
            <w:pPr>
              <w:rPr>
                <w:rFonts w:asciiTheme="minorEastAsia" w:hAnsiTheme="minorEastAsia" w:eastAsiaTheme="minorEastAsia"/>
                <w:color w:val="000000"/>
                <w:sz w:val="24"/>
              </w:rPr>
            </w:pPr>
          </w:p>
        </w:tc>
      </w:tr>
      <w:tr w14:paraId="397B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51D0BD58">
            <w:pPr>
              <w:widowControl/>
              <w:jc w:val="center"/>
              <w:rPr>
                <w:sz w:val="24"/>
              </w:rPr>
            </w:pPr>
          </w:p>
        </w:tc>
        <w:tc>
          <w:tcPr>
            <w:tcW w:w="4568" w:type="dxa"/>
            <w:gridSpan w:val="6"/>
            <w:vAlign w:val="center"/>
          </w:tcPr>
          <w:p w14:paraId="779762A4">
            <w:pPr>
              <w:widowControl/>
              <w:jc w:val="left"/>
              <w:rPr>
                <w:rFonts w:asciiTheme="minorEastAsia" w:hAnsiTheme="minorEastAsia" w:eastAsiaTheme="minorEastAsia"/>
                <w:sz w:val="24"/>
              </w:rPr>
            </w:pPr>
            <w:r>
              <w:rPr>
                <w:rFonts w:hint="eastAsia" w:ascii="宋体" w:hAnsi="宋体"/>
                <w:sz w:val="24"/>
              </w:rPr>
              <w:t>4.内部控制制度执行</w:t>
            </w:r>
          </w:p>
        </w:tc>
        <w:tc>
          <w:tcPr>
            <w:tcW w:w="3792" w:type="dxa"/>
            <w:gridSpan w:val="4"/>
            <w:vAlign w:val="center"/>
          </w:tcPr>
          <w:p w14:paraId="7D2F7556">
            <w:pPr>
              <w:rPr>
                <w:rFonts w:asciiTheme="minorEastAsia" w:hAnsiTheme="minorEastAsia" w:eastAsiaTheme="minorEastAsia"/>
                <w:color w:val="000000"/>
                <w:sz w:val="24"/>
              </w:rPr>
            </w:pPr>
          </w:p>
        </w:tc>
        <w:tc>
          <w:tcPr>
            <w:tcW w:w="3794" w:type="dxa"/>
            <w:gridSpan w:val="3"/>
            <w:vAlign w:val="center"/>
          </w:tcPr>
          <w:p w14:paraId="5A9A55AC">
            <w:pPr>
              <w:rPr>
                <w:rFonts w:asciiTheme="minorEastAsia" w:hAnsiTheme="minorEastAsia" w:eastAsiaTheme="minorEastAsia"/>
                <w:color w:val="000000"/>
                <w:sz w:val="24"/>
              </w:rPr>
            </w:pPr>
          </w:p>
        </w:tc>
      </w:tr>
      <w:tr w14:paraId="3582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4605000D">
            <w:pPr>
              <w:widowControl/>
              <w:jc w:val="center"/>
              <w:rPr>
                <w:sz w:val="24"/>
              </w:rPr>
            </w:pPr>
            <w:r>
              <w:rPr>
                <w:rFonts w:hint="eastAsia"/>
                <w:sz w:val="24"/>
              </w:rPr>
              <w:t>政府采购业务管理</w:t>
            </w:r>
          </w:p>
        </w:tc>
        <w:tc>
          <w:tcPr>
            <w:tcW w:w="4568" w:type="dxa"/>
            <w:gridSpan w:val="6"/>
            <w:vAlign w:val="center"/>
          </w:tcPr>
          <w:p w14:paraId="4B07B441">
            <w:pPr>
              <w:widowControl/>
              <w:jc w:val="left"/>
              <w:rPr>
                <w:rFonts w:asciiTheme="minorEastAsia" w:hAnsiTheme="minorEastAsia" w:eastAsiaTheme="minorEastAsia"/>
                <w:sz w:val="24"/>
              </w:rPr>
            </w:pPr>
            <w:r>
              <w:rPr>
                <w:rFonts w:hint="eastAsia" w:ascii="宋体" w:hAnsi="宋体"/>
                <w:sz w:val="24"/>
              </w:rPr>
              <w:t>1.工作职责分离</w:t>
            </w:r>
          </w:p>
        </w:tc>
        <w:tc>
          <w:tcPr>
            <w:tcW w:w="3792" w:type="dxa"/>
            <w:gridSpan w:val="4"/>
            <w:vAlign w:val="center"/>
          </w:tcPr>
          <w:p w14:paraId="29C1BFFE">
            <w:pPr>
              <w:rPr>
                <w:rFonts w:asciiTheme="minorEastAsia" w:hAnsiTheme="minorEastAsia" w:eastAsiaTheme="minorEastAsia"/>
                <w:color w:val="000000"/>
                <w:sz w:val="24"/>
              </w:rPr>
            </w:pPr>
          </w:p>
        </w:tc>
        <w:tc>
          <w:tcPr>
            <w:tcW w:w="3794" w:type="dxa"/>
            <w:gridSpan w:val="3"/>
            <w:vAlign w:val="center"/>
          </w:tcPr>
          <w:p w14:paraId="4A9AEC6B">
            <w:pPr>
              <w:rPr>
                <w:rFonts w:asciiTheme="minorEastAsia" w:hAnsiTheme="minorEastAsia" w:eastAsiaTheme="minorEastAsia"/>
                <w:color w:val="000000"/>
                <w:sz w:val="24"/>
              </w:rPr>
            </w:pPr>
          </w:p>
        </w:tc>
      </w:tr>
      <w:tr w14:paraId="6EDA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1B24BE58">
            <w:pPr>
              <w:widowControl/>
              <w:jc w:val="center"/>
              <w:rPr>
                <w:sz w:val="24"/>
              </w:rPr>
            </w:pPr>
          </w:p>
        </w:tc>
        <w:tc>
          <w:tcPr>
            <w:tcW w:w="4568" w:type="dxa"/>
            <w:gridSpan w:val="6"/>
            <w:vAlign w:val="center"/>
          </w:tcPr>
          <w:p w14:paraId="2408B25B">
            <w:pPr>
              <w:widowControl/>
              <w:jc w:val="left"/>
              <w:rPr>
                <w:rFonts w:asciiTheme="minorEastAsia" w:hAnsiTheme="minorEastAsia" w:eastAsiaTheme="minorEastAsia"/>
                <w:sz w:val="24"/>
              </w:rPr>
            </w:pPr>
            <w:r>
              <w:rPr>
                <w:rFonts w:hint="eastAsia" w:ascii="宋体" w:hAnsi="宋体"/>
                <w:sz w:val="24"/>
              </w:rPr>
              <w:t>2.定期轮岗</w:t>
            </w:r>
          </w:p>
        </w:tc>
        <w:tc>
          <w:tcPr>
            <w:tcW w:w="3792" w:type="dxa"/>
            <w:gridSpan w:val="4"/>
            <w:vAlign w:val="center"/>
          </w:tcPr>
          <w:p w14:paraId="6B285165">
            <w:pPr>
              <w:rPr>
                <w:rFonts w:asciiTheme="minorEastAsia" w:hAnsiTheme="minorEastAsia" w:eastAsiaTheme="minorEastAsia"/>
                <w:color w:val="000000"/>
                <w:sz w:val="24"/>
              </w:rPr>
            </w:pPr>
          </w:p>
        </w:tc>
        <w:tc>
          <w:tcPr>
            <w:tcW w:w="3794" w:type="dxa"/>
            <w:gridSpan w:val="3"/>
            <w:vAlign w:val="center"/>
          </w:tcPr>
          <w:p w14:paraId="2FEDC05D">
            <w:pPr>
              <w:rPr>
                <w:rFonts w:asciiTheme="minorEastAsia" w:hAnsiTheme="minorEastAsia" w:eastAsiaTheme="minorEastAsia"/>
                <w:color w:val="000000"/>
                <w:sz w:val="24"/>
              </w:rPr>
            </w:pPr>
          </w:p>
        </w:tc>
      </w:tr>
      <w:tr w14:paraId="57B7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040B0565">
            <w:pPr>
              <w:widowControl/>
              <w:jc w:val="center"/>
              <w:rPr>
                <w:sz w:val="24"/>
              </w:rPr>
            </w:pPr>
          </w:p>
        </w:tc>
        <w:tc>
          <w:tcPr>
            <w:tcW w:w="4568" w:type="dxa"/>
            <w:gridSpan w:val="6"/>
            <w:vAlign w:val="center"/>
          </w:tcPr>
          <w:p w14:paraId="1880A1AD">
            <w:pPr>
              <w:widowControl/>
              <w:jc w:val="left"/>
              <w:rPr>
                <w:rFonts w:asciiTheme="minorEastAsia" w:hAnsiTheme="minorEastAsia" w:eastAsiaTheme="minorEastAsia"/>
                <w:sz w:val="24"/>
              </w:rPr>
            </w:pPr>
            <w:r>
              <w:rPr>
                <w:rFonts w:hint="eastAsia" w:ascii="宋体" w:hAnsi="宋体"/>
                <w:sz w:val="24"/>
              </w:rPr>
              <w:t>3.建立健全内部控制制度</w:t>
            </w:r>
          </w:p>
        </w:tc>
        <w:tc>
          <w:tcPr>
            <w:tcW w:w="3792" w:type="dxa"/>
            <w:gridSpan w:val="4"/>
            <w:vAlign w:val="center"/>
          </w:tcPr>
          <w:p w14:paraId="0126D6E6">
            <w:pPr>
              <w:rPr>
                <w:rFonts w:asciiTheme="minorEastAsia" w:hAnsiTheme="minorEastAsia" w:eastAsiaTheme="minorEastAsia"/>
                <w:color w:val="000000"/>
                <w:sz w:val="24"/>
              </w:rPr>
            </w:pPr>
          </w:p>
        </w:tc>
        <w:tc>
          <w:tcPr>
            <w:tcW w:w="3794" w:type="dxa"/>
            <w:gridSpan w:val="3"/>
            <w:vAlign w:val="center"/>
          </w:tcPr>
          <w:p w14:paraId="420CF3E2">
            <w:pPr>
              <w:rPr>
                <w:rFonts w:asciiTheme="minorEastAsia" w:hAnsiTheme="minorEastAsia" w:eastAsiaTheme="minorEastAsia"/>
                <w:color w:val="000000"/>
                <w:sz w:val="24"/>
              </w:rPr>
            </w:pPr>
          </w:p>
        </w:tc>
      </w:tr>
      <w:tr w14:paraId="5A9D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78A9939E">
            <w:pPr>
              <w:widowControl/>
              <w:jc w:val="center"/>
              <w:rPr>
                <w:sz w:val="24"/>
              </w:rPr>
            </w:pPr>
          </w:p>
        </w:tc>
        <w:tc>
          <w:tcPr>
            <w:tcW w:w="4568" w:type="dxa"/>
            <w:gridSpan w:val="6"/>
            <w:vAlign w:val="center"/>
          </w:tcPr>
          <w:p w14:paraId="0BBF508F">
            <w:pPr>
              <w:widowControl/>
              <w:jc w:val="left"/>
              <w:rPr>
                <w:rFonts w:asciiTheme="minorEastAsia" w:hAnsiTheme="minorEastAsia" w:eastAsiaTheme="minorEastAsia"/>
                <w:sz w:val="24"/>
              </w:rPr>
            </w:pPr>
            <w:r>
              <w:rPr>
                <w:rFonts w:hint="eastAsia" w:ascii="宋体" w:hAnsi="宋体"/>
                <w:sz w:val="24"/>
              </w:rPr>
              <w:t>4.内部控制制度执行</w:t>
            </w:r>
          </w:p>
        </w:tc>
        <w:tc>
          <w:tcPr>
            <w:tcW w:w="3792" w:type="dxa"/>
            <w:gridSpan w:val="4"/>
            <w:vAlign w:val="center"/>
          </w:tcPr>
          <w:p w14:paraId="39895836">
            <w:pPr>
              <w:rPr>
                <w:rFonts w:asciiTheme="minorEastAsia" w:hAnsiTheme="minorEastAsia" w:eastAsiaTheme="minorEastAsia"/>
                <w:color w:val="000000"/>
                <w:sz w:val="24"/>
              </w:rPr>
            </w:pPr>
          </w:p>
        </w:tc>
        <w:tc>
          <w:tcPr>
            <w:tcW w:w="3794" w:type="dxa"/>
            <w:gridSpan w:val="3"/>
            <w:vAlign w:val="center"/>
          </w:tcPr>
          <w:p w14:paraId="3E3CC183">
            <w:pPr>
              <w:rPr>
                <w:rFonts w:asciiTheme="minorEastAsia" w:hAnsiTheme="minorEastAsia" w:eastAsiaTheme="minorEastAsia"/>
                <w:color w:val="000000"/>
                <w:sz w:val="24"/>
              </w:rPr>
            </w:pPr>
          </w:p>
        </w:tc>
      </w:tr>
      <w:tr w14:paraId="79C9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07C0A649">
            <w:pPr>
              <w:widowControl/>
              <w:jc w:val="center"/>
              <w:rPr>
                <w:sz w:val="24"/>
              </w:rPr>
            </w:pPr>
            <w:r>
              <w:rPr>
                <w:rFonts w:hint="eastAsia"/>
                <w:sz w:val="24"/>
              </w:rPr>
              <w:t>国有资产业务管理</w:t>
            </w:r>
          </w:p>
        </w:tc>
        <w:tc>
          <w:tcPr>
            <w:tcW w:w="4568" w:type="dxa"/>
            <w:gridSpan w:val="6"/>
            <w:vAlign w:val="center"/>
          </w:tcPr>
          <w:p w14:paraId="7692F8B2">
            <w:pPr>
              <w:widowControl/>
              <w:jc w:val="left"/>
              <w:rPr>
                <w:rFonts w:asciiTheme="minorEastAsia" w:hAnsiTheme="minorEastAsia" w:eastAsiaTheme="minorEastAsia"/>
                <w:sz w:val="24"/>
              </w:rPr>
            </w:pPr>
            <w:r>
              <w:rPr>
                <w:rFonts w:hint="eastAsia" w:ascii="宋体" w:hAnsi="宋体"/>
                <w:sz w:val="24"/>
              </w:rPr>
              <w:t>1.工作职责分离</w:t>
            </w:r>
          </w:p>
        </w:tc>
        <w:tc>
          <w:tcPr>
            <w:tcW w:w="3792" w:type="dxa"/>
            <w:gridSpan w:val="4"/>
            <w:vAlign w:val="center"/>
          </w:tcPr>
          <w:p w14:paraId="4B31412B">
            <w:pPr>
              <w:rPr>
                <w:rFonts w:asciiTheme="minorEastAsia" w:hAnsiTheme="minorEastAsia" w:eastAsiaTheme="minorEastAsia"/>
                <w:color w:val="000000"/>
                <w:sz w:val="24"/>
              </w:rPr>
            </w:pPr>
          </w:p>
        </w:tc>
        <w:tc>
          <w:tcPr>
            <w:tcW w:w="3794" w:type="dxa"/>
            <w:gridSpan w:val="3"/>
            <w:vAlign w:val="center"/>
          </w:tcPr>
          <w:p w14:paraId="02CB1210">
            <w:pPr>
              <w:rPr>
                <w:rFonts w:asciiTheme="minorEastAsia" w:hAnsiTheme="minorEastAsia" w:eastAsiaTheme="minorEastAsia"/>
                <w:color w:val="000000"/>
                <w:sz w:val="24"/>
              </w:rPr>
            </w:pPr>
          </w:p>
        </w:tc>
      </w:tr>
      <w:tr w14:paraId="0077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3226E5DB">
            <w:pPr>
              <w:widowControl/>
              <w:jc w:val="center"/>
              <w:rPr>
                <w:sz w:val="24"/>
              </w:rPr>
            </w:pPr>
          </w:p>
        </w:tc>
        <w:tc>
          <w:tcPr>
            <w:tcW w:w="4568" w:type="dxa"/>
            <w:gridSpan w:val="6"/>
            <w:vAlign w:val="center"/>
          </w:tcPr>
          <w:p w14:paraId="24243655">
            <w:pPr>
              <w:widowControl/>
              <w:jc w:val="left"/>
              <w:rPr>
                <w:rFonts w:asciiTheme="minorEastAsia" w:hAnsiTheme="minorEastAsia" w:eastAsiaTheme="minorEastAsia"/>
                <w:sz w:val="24"/>
              </w:rPr>
            </w:pPr>
            <w:r>
              <w:rPr>
                <w:rFonts w:hint="eastAsia" w:ascii="宋体" w:hAnsi="宋体"/>
                <w:sz w:val="24"/>
              </w:rPr>
              <w:t>2.定期轮岗</w:t>
            </w:r>
          </w:p>
        </w:tc>
        <w:tc>
          <w:tcPr>
            <w:tcW w:w="3792" w:type="dxa"/>
            <w:gridSpan w:val="4"/>
            <w:vAlign w:val="center"/>
          </w:tcPr>
          <w:p w14:paraId="1270E171">
            <w:pPr>
              <w:rPr>
                <w:rFonts w:asciiTheme="minorEastAsia" w:hAnsiTheme="minorEastAsia" w:eastAsiaTheme="minorEastAsia"/>
                <w:color w:val="000000"/>
                <w:sz w:val="24"/>
              </w:rPr>
            </w:pPr>
          </w:p>
        </w:tc>
        <w:tc>
          <w:tcPr>
            <w:tcW w:w="3794" w:type="dxa"/>
            <w:gridSpan w:val="3"/>
            <w:vAlign w:val="center"/>
          </w:tcPr>
          <w:p w14:paraId="348440DC">
            <w:pPr>
              <w:rPr>
                <w:rFonts w:asciiTheme="minorEastAsia" w:hAnsiTheme="minorEastAsia" w:eastAsiaTheme="minorEastAsia"/>
                <w:color w:val="000000"/>
                <w:sz w:val="24"/>
              </w:rPr>
            </w:pPr>
          </w:p>
        </w:tc>
      </w:tr>
      <w:tr w14:paraId="0702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026276C7">
            <w:pPr>
              <w:widowControl/>
              <w:jc w:val="center"/>
              <w:rPr>
                <w:sz w:val="24"/>
              </w:rPr>
            </w:pPr>
          </w:p>
        </w:tc>
        <w:tc>
          <w:tcPr>
            <w:tcW w:w="4568" w:type="dxa"/>
            <w:gridSpan w:val="6"/>
            <w:vAlign w:val="center"/>
          </w:tcPr>
          <w:p w14:paraId="505F4F8F">
            <w:pPr>
              <w:widowControl/>
              <w:jc w:val="left"/>
              <w:rPr>
                <w:rFonts w:asciiTheme="minorEastAsia" w:hAnsiTheme="minorEastAsia" w:eastAsiaTheme="minorEastAsia"/>
                <w:sz w:val="24"/>
              </w:rPr>
            </w:pPr>
            <w:r>
              <w:rPr>
                <w:rFonts w:hint="eastAsia" w:ascii="宋体" w:hAnsi="宋体"/>
                <w:sz w:val="24"/>
              </w:rPr>
              <w:t>3.建立健全内部控制制度</w:t>
            </w:r>
          </w:p>
        </w:tc>
        <w:tc>
          <w:tcPr>
            <w:tcW w:w="3792" w:type="dxa"/>
            <w:gridSpan w:val="4"/>
            <w:vAlign w:val="center"/>
          </w:tcPr>
          <w:p w14:paraId="32AA757C">
            <w:pPr>
              <w:rPr>
                <w:rFonts w:asciiTheme="minorEastAsia" w:hAnsiTheme="minorEastAsia" w:eastAsiaTheme="minorEastAsia"/>
                <w:color w:val="000000"/>
                <w:sz w:val="24"/>
              </w:rPr>
            </w:pPr>
          </w:p>
        </w:tc>
        <w:tc>
          <w:tcPr>
            <w:tcW w:w="3794" w:type="dxa"/>
            <w:gridSpan w:val="3"/>
            <w:vAlign w:val="center"/>
          </w:tcPr>
          <w:p w14:paraId="2EE0E8FB">
            <w:pPr>
              <w:rPr>
                <w:rFonts w:asciiTheme="minorEastAsia" w:hAnsiTheme="minorEastAsia" w:eastAsiaTheme="minorEastAsia"/>
                <w:color w:val="000000"/>
                <w:sz w:val="24"/>
              </w:rPr>
            </w:pPr>
          </w:p>
        </w:tc>
      </w:tr>
      <w:tr w14:paraId="0282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3876EE40">
            <w:pPr>
              <w:widowControl/>
              <w:jc w:val="center"/>
              <w:rPr>
                <w:sz w:val="24"/>
              </w:rPr>
            </w:pPr>
          </w:p>
        </w:tc>
        <w:tc>
          <w:tcPr>
            <w:tcW w:w="4568" w:type="dxa"/>
            <w:gridSpan w:val="6"/>
            <w:vAlign w:val="center"/>
          </w:tcPr>
          <w:p w14:paraId="0056C698">
            <w:pPr>
              <w:widowControl/>
              <w:jc w:val="left"/>
              <w:rPr>
                <w:rFonts w:asciiTheme="minorEastAsia" w:hAnsiTheme="minorEastAsia" w:eastAsiaTheme="minorEastAsia"/>
                <w:sz w:val="24"/>
              </w:rPr>
            </w:pPr>
            <w:r>
              <w:rPr>
                <w:rFonts w:hint="eastAsia" w:ascii="宋体" w:hAnsi="宋体"/>
                <w:sz w:val="24"/>
              </w:rPr>
              <w:t>4.内部控制制度执行</w:t>
            </w:r>
          </w:p>
        </w:tc>
        <w:tc>
          <w:tcPr>
            <w:tcW w:w="3792" w:type="dxa"/>
            <w:gridSpan w:val="4"/>
            <w:vAlign w:val="center"/>
          </w:tcPr>
          <w:p w14:paraId="547A3AE4">
            <w:pPr>
              <w:rPr>
                <w:rFonts w:asciiTheme="minorEastAsia" w:hAnsiTheme="minorEastAsia" w:eastAsiaTheme="minorEastAsia"/>
                <w:color w:val="000000"/>
                <w:sz w:val="24"/>
              </w:rPr>
            </w:pPr>
          </w:p>
        </w:tc>
        <w:tc>
          <w:tcPr>
            <w:tcW w:w="3794" w:type="dxa"/>
            <w:gridSpan w:val="3"/>
            <w:vAlign w:val="center"/>
          </w:tcPr>
          <w:p w14:paraId="2C3A56EA">
            <w:pPr>
              <w:rPr>
                <w:rFonts w:asciiTheme="minorEastAsia" w:hAnsiTheme="minorEastAsia" w:eastAsiaTheme="minorEastAsia"/>
                <w:color w:val="000000"/>
                <w:sz w:val="24"/>
              </w:rPr>
            </w:pPr>
          </w:p>
        </w:tc>
      </w:tr>
      <w:tr w14:paraId="07F62E2A">
        <w:tblPrEx>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6567759C">
            <w:pPr>
              <w:widowControl/>
              <w:jc w:val="center"/>
              <w:rPr>
                <w:sz w:val="24"/>
              </w:rPr>
            </w:pPr>
            <w:r>
              <w:rPr>
                <w:rFonts w:hint="eastAsia"/>
                <w:sz w:val="24"/>
              </w:rPr>
              <w:t>建设项目业务管理</w:t>
            </w:r>
          </w:p>
        </w:tc>
        <w:tc>
          <w:tcPr>
            <w:tcW w:w="4568" w:type="dxa"/>
            <w:gridSpan w:val="6"/>
            <w:vAlign w:val="center"/>
          </w:tcPr>
          <w:p w14:paraId="310AAFAB">
            <w:pPr>
              <w:widowControl/>
              <w:jc w:val="left"/>
              <w:rPr>
                <w:rFonts w:asciiTheme="minorEastAsia" w:hAnsiTheme="minorEastAsia" w:eastAsiaTheme="minorEastAsia"/>
                <w:sz w:val="24"/>
              </w:rPr>
            </w:pPr>
            <w:r>
              <w:rPr>
                <w:rFonts w:hint="eastAsia" w:ascii="宋体" w:hAnsi="宋体"/>
                <w:sz w:val="24"/>
              </w:rPr>
              <w:t>1.工作职责分离</w:t>
            </w:r>
          </w:p>
        </w:tc>
        <w:tc>
          <w:tcPr>
            <w:tcW w:w="3792" w:type="dxa"/>
            <w:gridSpan w:val="4"/>
            <w:vAlign w:val="center"/>
          </w:tcPr>
          <w:p w14:paraId="68C6765A">
            <w:pPr>
              <w:rPr>
                <w:rFonts w:asciiTheme="minorEastAsia" w:hAnsiTheme="minorEastAsia" w:eastAsiaTheme="minorEastAsia"/>
                <w:color w:val="000000"/>
                <w:sz w:val="24"/>
              </w:rPr>
            </w:pPr>
          </w:p>
        </w:tc>
        <w:tc>
          <w:tcPr>
            <w:tcW w:w="3794" w:type="dxa"/>
            <w:gridSpan w:val="3"/>
            <w:vAlign w:val="center"/>
          </w:tcPr>
          <w:p w14:paraId="360C64BE">
            <w:pPr>
              <w:rPr>
                <w:rFonts w:asciiTheme="minorEastAsia" w:hAnsiTheme="minorEastAsia" w:eastAsiaTheme="minorEastAsia"/>
                <w:color w:val="000000"/>
                <w:sz w:val="24"/>
              </w:rPr>
            </w:pPr>
          </w:p>
        </w:tc>
      </w:tr>
      <w:tr w14:paraId="1704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40DB0ADF">
            <w:pPr>
              <w:widowControl/>
              <w:jc w:val="center"/>
              <w:rPr>
                <w:sz w:val="24"/>
              </w:rPr>
            </w:pPr>
          </w:p>
        </w:tc>
        <w:tc>
          <w:tcPr>
            <w:tcW w:w="4568" w:type="dxa"/>
            <w:gridSpan w:val="6"/>
            <w:vAlign w:val="center"/>
          </w:tcPr>
          <w:p w14:paraId="344296FE">
            <w:pPr>
              <w:widowControl/>
              <w:jc w:val="left"/>
              <w:rPr>
                <w:rFonts w:asciiTheme="minorEastAsia" w:hAnsiTheme="minorEastAsia" w:eastAsiaTheme="minorEastAsia"/>
                <w:sz w:val="24"/>
              </w:rPr>
            </w:pPr>
            <w:r>
              <w:rPr>
                <w:rFonts w:hint="eastAsia" w:ascii="宋体" w:hAnsi="宋体"/>
                <w:sz w:val="24"/>
              </w:rPr>
              <w:t>2.定期轮岗</w:t>
            </w:r>
          </w:p>
        </w:tc>
        <w:tc>
          <w:tcPr>
            <w:tcW w:w="3792" w:type="dxa"/>
            <w:gridSpan w:val="4"/>
            <w:vAlign w:val="center"/>
          </w:tcPr>
          <w:p w14:paraId="02C216FC">
            <w:pPr>
              <w:rPr>
                <w:rFonts w:asciiTheme="minorEastAsia" w:hAnsiTheme="minorEastAsia" w:eastAsiaTheme="minorEastAsia"/>
                <w:color w:val="000000"/>
                <w:sz w:val="24"/>
              </w:rPr>
            </w:pPr>
          </w:p>
        </w:tc>
        <w:tc>
          <w:tcPr>
            <w:tcW w:w="3794" w:type="dxa"/>
            <w:gridSpan w:val="3"/>
            <w:vAlign w:val="center"/>
          </w:tcPr>
          <w:p w14:paraId="1E2EBB92">
            <w:pPr>
              <w:rPr>
                <w:rFonts w:asciiTheme="minorEastAsia" w:hAnsiTheme="minorEastAsia" w:eastAsiaTheme="minorEastAsia"/>
                <w:color w:val="000000"/>
                <w:sz w:val="24"/>
              </w:rPr>
            </w:pPr>
          </w:p>
        </w:tc>
      </w:tr>
      <w:tr w14:paraId="2A2B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7DB29702">
            <w:pPr>
              <w:widowControl/>
              <w:jc w:val="center"/>
              <w:rPr>
                <w:sz w:val="24"/>
              </w:rPr>
            </w:pPr>
          </w:p>
        </w:tc>
        <w:tc>
          <w:tcPr>
            <w:tcW w:w="4568" w:type="dxa"/>
            <w:gridSpan w:val="6"/>
            <w:vAlign w:val="center"/>
          </w:tcPr>
          <w:p w14:paraId="183D789C">
            <w:pPr>
              <w:widowControl/>
              <w:jc w:val="left"/>
              <w:rPr>
                <w:rFonts w:asciiTheme="minorEastAsia" w:hAnsiTheme="minorEastAsia" w:eastAsiaTheme="minorEastAsia"/>
                <w:sz w:val="24"/>
              </w:rPr>
            </w:pPr>
            <w:r>
              <w:rPr>
                <w:rFonts w:hint="eastAsia" w:ascii="宋体" w:hAnsi="宋体"/>
                <w:sz w:val="24"/>
              </w:rPr>
              <w:t>3.建立健全内部控制制度</w:t>
            </w:r>
          </w:p>
        </w:tc>
        <w:tc>
          <w:tcPr>
            <w:tcW w:w="3792" w:type="dxa"/>
            <w:gridSpan w:val="4"/>
            <w:vAlign w:val="center"/>
          </w:tcPr>
          <w:p w14:paraId="2A623FB2">
            <w:pPr>
              <w:rPr>
                <w:rFonts w:asciiTheme="minorEastAsia" w:hAnsiTheme="minorEastAsia" w:eastAsiaTheme="minorEastAsia"/>
                <w:color w:val="000000"/>
                <w:sz w:val="24"/>
              </w:rPr>
            </w:pPr>
          </w:p>
        </w:tc>
        <w:tc>
          <w:tcPr>
            <w:tcW w:w="3794" w:type="dxa"/>
            <w:gridSpan w:val="3"/>
            <w:vAlign w:val="center"/>
          </w:tcPr>
          <w:p w14:paraId="3FDC15BB">
            <w:pPr>
              <w:rPr>
                <w:rFonts w:asciiTheme="minorEastAsia" w:hAnsiTheme="minorEastAsia" w:eastAsiaTheme="minorEastAsia"/>
                <w:color w:val="000000"/>
                <w:sz w:val="24"/>
              </w:rPr>
            </w:pPr>
          </w:p>
        </w:tc>
      </w:tr>
      <w:tr w14:paraId="7DD3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7653A0DC">
            <w:pPr>
              <w:widowControl/>
              <w:jc w:val="center"/>
              <w:rPr>
                <w:sz w:val="24"/>
              </w:rPr>
            </w:pPr>
          </w:p>
        </w:tc>
        <w:tc>
          <w:tcPr>
            <w:tcW w:w="4568" w:type="dxa"/>
            <w:gridSpan w:val="6"/>
            <w:vAlign w:val="center"/>
          </w:tcPr>
          <w:p w14:paraId="53AA9671">
            <w:pPr>
              <w:widowControl/>
              <w:jc w:val="left"/>
              <w:rPr>
                <w:rFonts w:asciiTheme="minorEastAsia" w:hAnsiTheme="minorEastAsia" w:eastAsiaTheme="minorEastAsia"/>
                <w:sz w:val="24"/>
              </w:rPr>
            </w:pPr>
            <w:r>
              <w:rPr>
                <w:rFonts w:hint="eastAsia" w:ascii="宋体" w:hAnsi="宋体"/>
                <w:sz w:val="24"/>
              </w:rPr>
              <w:t>4.内部控制制度执行</w:t>
            </w:r>
          </w:p>
        </w:tc>
        <w:tc>
          <w:tcPr>
            <w:tcW w:w="3792" w:type="dxa"/>
            <w:gridSpan w:val="4"/>
            <w:vAlign w:val="center"/>
          </w:tcPr>
          <w:p w14:paraId="488803D2">
            <w:pPr>
              <w:rPr>
                <w:rFonts w:asciiTheme="minorEastAsia" w:hAnsiTheme="minorEastAsia" w:eastAsiaTheme="minorEastAsia"/>
                <w:color w:val="000000"/>
                <w:sz w:val="24"/>
              </w:rPr>
            </w:pPr>
          </w:p>
        </w:tc>
        <w:tc>
          <w:tcPr>
            <w:tcW w:w="3794" w:type="dxa"/>
            <w:gridSpan w:val="3"/>
            <w:vAlign w:val="center"/>
          </w:tcPr>
          <w:p w14:paraId="583DC623">
            <w:pPr>
              <w:rPr>
                <w:rFonts w:asciiTheme="minorEastAsia" w:hAnsiTheme="minorEastAsia" w:eastAsiaTheme="minorEastAsia"/>
                <w:color w:val="000000"/>
                <w:sz w:val="24"/>
              </w:rPr>
            </w:pPr>
          </w:p>
        </w:tc>
      </w:tr>
      <w:tr w14:paraId="02DFF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7D61C8F4">
            <w:pPr>
              <w:widowControl/>
              <w:jc w:val="center"/>
              <w:rPr>
                <w:sz w:val="24"/>
              </w:rPr>
            </w:pPr>
            <w:r>
              <w:rPr>
                <w:rFonts w:hint="eastAsia"/>
                <w:sz w:val="24"/>
              </w:rPr>
              <w:t>合同业务管理</w:t>
            </w:r>
          </w:p>
        </w:tc>
        <w:tc>
          <w:tcPr>
            <w:tcW w:w="4568" w:type="dxa"/>
            <w:gridSpan w:val="6"/>
            <w:vAlign w:val="center"/>
          </w:tcPr>
          <w:p w14:paraId="3A96155C">
            <w:pPr>
              <w:widowControl/>
              <w:jc w:val="left"/>
              <w:rPr>
                <w:rFonts w:asciiTheme="minorEastAsia" w:hAnsiTheme="minorEastAsia" w:eastAsiaTheme="minorEastAsia"/>
                <w:sz w:val="24"/>
              </w:rPr>
            </w:pPr>
            <w:r>
              <w:rPr>
                <w:rFonts w:hint="eastAsia" w:ascii="宋体" w:hAnsi="宋体"/>
                <w:sz w:val="24"/>
              </w:rPr>
              <w:t>1.工作职责分离</w:t>
            </w:r>
          </w:p>
        </w:tc>
        <w:tc>
          <w:tcPr>
            <w:tcW w:w="3792" w:type="dxa"/>
            <w:gridSpan w:val="4"/>
            <w:vAlign w:val="center"/>
          </w:tcPr>
          <w:p w14:paraId="3D2109EB">
            <w:pPr>
              <w:rPr>
                <w:rFonts w:asciiTheme="minorEastAsia" w:hAnsiTheme="minorEastAsia" w:eastAsiaTheme="minorEastAsia"/>
                <w:color w:val="000000"/>
                <w:sz w:val="24"/>
              </w:rPr>
            </w:pPr>
          </w:p>
        </w:tc>
        <w:tc>
          <w:tcPr>
            <w:tcW w:w="3794" w:type="dxa"/>
            <w:gridSpan w:val="3"/>
            <w:vAlign w:val="center"/>
          </w:tcPr>
          <w:p w14:paraId="6F401067">
            <w:pPr>
              <w:rPr>
                <w:rFonts w:asciiTheme="minorEastAsia" w:hAnsiTheme="minorEastAsia" w:eastAsiaTheme="minorEastAsia"/>
                <w:color w:val="000000"/>
                <w:sz w:val="24"/>
              </w:rPr>
            </w:pPr>
          </w:p>
        </w:tc>
      </w:tr>
      <w:tr w14:paraId="1D40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08FDE936">
            <w:pPr>
              <w:widowControl/>
              <w:jc w:val="center"/>
              <w:rPr>
                <w:sz w:val="24"/>
              </w:rPr>
            </w:pPr>
          </w:p>
        </w:tc>
        <w:tc>
          <w:tcPr>
            <w:tcW w:w="4568" w:type="dxa"/>
            <w:gridSpan w:val="6"/>
            <w:vAlign w:val="center"/>
          </w:tcPr>
          <w:p w14:paraId="79C573C9">
            <w:pPr>
              <w:widowControl/>
              <w:jc w:val="left"/>
              <w:rPr>
                <w:rFonts w:asciiTheme="minorEastAsia" w:hAnsiTheme="minorEastAsia" w:eastAsiaTheme="minorEastAsia"/>
                <w:sz w:val="24"/>
              </w:rPr>
            </w:pPr>
            <w:r>
              <w:rPr>
                <w:rFonts w:hint="eastAsia" w:ascii="宋体" w:hAnsi="宋体"/>
                <w:sz w:val="24"/>
              </w:rPr>
              <w:t>2.定期轮岗</w:t>
            </w:r>
          </w:p>
        </w:tc>
        <w:tc>
          <w:tcPr>
            <w:tcW w:w="3792" w:type="dxa"/>
            <w:gridSpan w:val="4"/>
            <w:vAlign w:val="center"/>
          </w:tcPr>
          <w:p w14:paraId="2E5927E8">
            <w:pPr>
              <w:rPr>
                <w:rFonts w:asciiTheme="minorEastAsia" w:hAnsiTheme="minorEastAsia" w:eastAsiaTheme="minorEastAsia"/>
                <w:color w:val="000000"/>
                <w:sz w:val="24"/>
              </w:rPr>
            </w:pPr>
          </w:p>
        </w:tc>
        <w:tc>
          <w:tcPr>
            <w:tcW w:w="3794" w:type="dxa"/>
            <w:gridSpan w:val="3"/>
            <w:vAlign w:val="center"/>
          </w:tcPr>
          <w:p w14:paraId="3BD6BEEA">
            <w:pPr>
              <w:rPr>
                <w:rFonts w:asciiTheme="minorEastAsia" w:hAnsiTheme="minorEastAsia" w:eastAsiaTheme="minorEastAsia"/>
                <w:color w:val="000000"/>
                <w:sz w:val="24"/>
              </w:rPr>
            </w:pPr>
          </w:p>
        </w:tc>
      </w:tr>
      <w:tr w14:paraId="7BD8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671C8779">
            <w:pPr>
              <w:widowControl/>
              <w:jc w:val="center"/>
              <w:rPr>
                <w:sz w:val="24"/>
              </w:rPr>
            </w:pPr>
          </w:p>
        </w:tc>
        <w:tc>
          <w:tcPr>
            <w:tcW w:w="4568" w:type="dxa"/>
            <w:gridSpan w:val="6"/>
            <w:vAlign w:val="center"/>
          </w:tcPr>
          <w:p w14:paraId="34BB43A6">
            <w:pPr>
              <w:widowControl/>
              <w:jc w:val="left"/>
              <w:rPr>
                <w:rFonts w:asciiTheme="minorEastAsia" w:hAnsiTheme="minorEastAsia" w:eastAsiaTheme="minorEastAsia"/>
                <w:sz w:val="24"/>
              </w:rPr>
            </w:pPr>
            <w:r>
              <w:rPr>
                <w:rFonts w:hint="eastAsia" w:ascii="宋体" w:hAnsi="宋体"/>
                <w:sz w:val="24"/>
              </w:rPr>
              <w:t>3.建立健全内部控制制度</w:t>
            </w:r>
          </w:p>
        </w:tc>
        <w:tc>
          <w:tcPr>
            <w:tcW w:w="3792" w:type="dxa"/>
            <w:gridSpan w:val="4"/>
            <w:vAlign w:val="center"/>
          </w:tcPr>
          <w:p w14:paraId="536014A8">
            <w:pPr>
              <w:rPr>
                <w:rFonts w:asciiTheme="minorEastAsia" w:hAnsiTheme="minorEastAsia" w:eastAsiaTheme="minorEastAsia"/>
                <w:color w:val="000000"/>
                <w:sz w:val="24"/>
              </w:rPr>
            </w:pPr>
          </w:p>
        </w:tc>
        <w:tc>
          <w:tcPr>
            <w:tcW w:w="3794" w:type="dxa"/>
            <w:gridSpan w:val="3"/>
            <w:vAlign w:val="center"/>
          </w:tcPr>
          <w:p w14:paraId="03F2EB80">
            <w:pPr>
              <w:rPr>
                <w:rFonts w:asciiTheme="minorEastAsia" w:hAnsiTheme="minorEastAsia" w:eastAsiaTheme="minorEastAsia"/>
                <w:color w:val="000000"/>
                <w:sz w:val="24"/>
              </w:rPr>
            </w:pPr>
          </w:p>
        </w:tc>
      </w:tr>
      <w:tr w14:paraId="0042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111EDC67">
            <w:pPr>
              <w:widowControl/>
              <w:jc w:val="center"/>
              <w:rPr>
                <w:sz w:val="24"/>
              </w:rPr>
            </w:pPr>
          </w:p>
        </w:tc>
        <w:tc>
          <w:tcPr>
            <w:tcW w:w="4568" w:type="dxa"/>
            <w:gridSpan w:val="6"/>
            <w:vAlign w:val="center"/>
          </w:tcPr>
          <w:p w14:paraId="7946AF45">
            <w:pPr>
              <w:widowControl/>
              <w:jc w:val="left"/>
              <w:rPr>
                <w:rFonts w:asciiTheme="minorEastAsia" w:hAnsiTheme="minorEastAsia" w:eastAsiaTheme="minorEastAsia"/>
                <w:sz w:val="24"/>
              </w:rPr>
            </w:pPr>
            <w:r>
              <w:rPr>
                <w:rFonts w:hint="eastAsia" w:ascii="宋体" w:hAnsi="宋体"/>
                <w:sz w:val="24"/>
              </w:rPr>
              <w:t>4.内部控制制度执行</w:t>
            </w:r>
          </w:p>
        </w:tc>
        <w:tc>
          <w:tcPr>
            <w:tcW w:w="3792" w:type="dxa"/>
            <w:gridSpan w:val="4"/>
            <w:vAlign w:val="center"/>
          </w:tcPr>
          <w:p w14:paraId="658596CA">
            <w:pPr>
              <w:rPr>
                <w:rFonts w:asciiTheme="minorEastAsia" w:hAnsiTheme="minorEastAsia" w:eastAsiaTheme="minorEastAsia"/>
                <w:color w:val="000000"/>
                <w:sz w:val="24"/>
              </w:rPr>
            </w:pPr>
          </w:p>
        </w:tc>
        <w:tc>
          <w:tcPr>
            <w:tcW w:w="3794" w:type="dxa"/>
            <w:gridSpan w:val="3"/>
            <w:vAlign w:val="center"/>
          </w:tcPr>
          <w:p w14:paraId="45A4FE37">
            <w:pPr>
              <w:rPr>
                <w:rFonts w:asciiTheme="minorEastAsia" w:hAnsiTheme="minorEastAsia" w:eastAsiaTheme="minorEastAsia"/>
                <w:color w:val="000000"/>
                <w:sz w:val="24"/>
              </w:rPr>
            </w:pPr>
          </w:p>
        </w:tc>
      </w:tr>
      <w:tr w14:paraId="49EE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restart"/>
            <w:noWrap/>
            <w:vAlign w:val="center"/>
          </w:tcPr>
          <w:p w14:paraId="1023094A">
            <w:pPr>
              <w:widowControl/>
              <w:jc w:val="center"/>
              <w:rPr>
                <w:sz w:val="24"/>
              </w:rPr>
            </w:pPr>
            <w:r>
              <w:rPr>
                <w:rFonts w:hint="eastAsia"/>
                <w:sz w:val="24"/>
              </w:rPr>
              <w:t>信息化</w:t>
            </w:r>
          </w:p>
        </w:tc>
        <w:tc>
          <w:tcPr>
            <w:tcW w:w="4568" w:type="dxa"/>
            <w:gridSpan w:val="6"/>
            <w:vAlign w:val="center"/>
          </w:tcPr>
          <w:p w14:paraId="22AF3A70">
            <w:pPr>
              <w:widowControl/>
              <w:rPr>
                <w:rFonts w:asciiTheme="minorEastAsia" w:hAnsiTheme="minorEastAsia" w:eastAsiaTheme="minorEastAsia"/>
                <w:sz w:val="24"/>
              </w:rPr>
            </w:pPr>
            <w:r>
              <w:rPr>
                <w:rFonts w:hint="eastAsia" w:asciiTheme="minorEastAsia" w:hAnsiTheme="minorEastAsia" w:eastAsiaTheme="minorEastAsia"/>
                <w:sz w:val="24"/>
              </w:rPr>
              <w:t>1.信息系统覆盖</w:t>
            </w:r>
          </w:p>
        </w:tc>
        <w:tc>
          <w:tcPr>
            <w:tcW w:w="3792" w:type="dxa"/>
            <w:gridSpan w:val="4"/>
            <w:vAlign w:val="center"/>
          </w:tcPr>
          <w:p w14:paraId="1F55368C">
            <w:pPr>
              <w:rPr>
                <w:rFonts w:asciiTheme="minorEastAsia" w:hAnsiTheme="minorEastAsia" w:eastAsiaTheme="minorEastAsia"/>
                <w:color w:val="000000"/>
                <w:sz w:val="24"/>
              </w:rPr>
            </w:pPr>
            <w:r>
              <w:rPr>
                <w:rFonts w:hint="eastAsia" w:asciiTheme="minorEastAsia" w:hAnsiTheme="minorEastAsia" w:eastAsiaTheme="minorEastAsia"/>
                <w:color w:val="000000"/>
                <w:sz w:val="24"/>
              </w:rPr>
              <w:t>内部控制信息系统未全面覆盖单位各经济业务</w:t>
            </w:r>
          </w:p>
        </w:tc>
        <w:tc>
          <w:tcPr>
            <w:tcW w:w="3794" w:type="dxa"/>
            <w:gridSpan w:val="3"/>
            <w:vAlign w:val="center"/>
          </w:tcPr>
          <w:p w14:paraId="3DBA2EA9">
            <w:pPr>
              <w:rPr>
                <w:rFonts w:asciiTheme="minorEastAsia" w:hAnsiTheme="minorEastAsia" w:eastAsiaTheme="minorEastAsia"/>
                <w:color w:val="000000"/>
                <w:sz w:val="24"/>
              </w:rPr>
            </w:pPr>
            <w:r>
              <w:rPr>
                <w:rFonts w:hint="eastAsia" w:asciiTheme="minorEastAsia" w:hAnsiTheme="minorEastAsia" w:eastAsiaTheme="minorEastAsia"/>
                <w:color w:val="000000"/>
                <w:sz w:val="24"/>
              </w:rPr>
              <w:t>逐步实现内部控制信息化的全面覆盖。</w:t>
            </w:r>
          </w:p>
        </w:tc>
      </w:tr>
      <w:tr w14:paraId="74C3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016" w:type="dxa"/>
            <w:gridSpan w:val="3"/>
            <w:vMerge w:val="continue"/>
            <w:noWrap/>
            <w:vAlign w:val="center"/>
          </w:tcPr>
          <w:p w14:paraId="6F73F5D1">
            <w:pPr>
              <w:widowControl/>
              <w:jc w:val="left"/>
              <w:rPr>
                <w:sz w:val="24"/>
              </w:rPr>
            </w:pPr>
          </w:p>
        </w:tc>
        <w:tc>
          <w:tcPr>
            <w:tcW w:w="4568" w:type="dxa"/>
            <w:gridSpan w:val="6"/>
            <w:vAlign w:val="center"/>
          </w:tcPr>
          <w:p w14:paraId="2B873B11">
            <w:pPr>
              <w:widowControl/>
              <w:rPr>
                <w:rFonts w:asciiTheme="minorEastAsia" w:hAnsiTheme="minorEastAsia" w:eastAsiaTheme="minorEastAsia"/>
                <w:sz w:val="24"/>
              </w:rPr>
            </w:pPr>
            <w:r>
              <w:rPr>
                <w:rFonts w:hint="eastAsia" w:asciiTheme="minorEastAsia" w:hAnsiTheme="minorEastAsia" w:eastAsiaTheme="minorEastAsia"/>
                <w:sz w:val="24"/>
              </w:rPr>
              <w:t>2.信息系统互联互通</w:t>
            </w:r>
          </w:p>
        </w:tc>
        <w:tc>
          <w:tcPr>
            <w:tcW w:w="3792" w:type="dxa"/>
            <w:gridSpan w:val="4"/>
            <w:vAlign w:val="center"/>
          </w:tcPr>
          <w:p w14:paraId="338754EF">
            <w:pPr>
              <w:rPr>
                <w:rFonts w:asciiTheme="minorEastAsia" w:hAnsiTheme="minorEastAsia" w:eastAsiaTheme="minorEastAsia"/>
                <w:color w:val="000000"/>
                <w:sz w:val="24"/>
              </w:rPr>
            </w:pPr>
            <w:r>
              <w:rPr>
                <w:rFonts w:hint="eastAsia" w:asciiTheme="minorEastAsia" w:hAnsiTheme="minorEastAsia" w:eastAsiaTheme="minorEastAsia"/>
                <w:color w:val="000000"/>
                <w:sz w:val="24"/>
              </w:rPr>
              <w:t>内部控制信息系统未全部实现互联互通</w:t>
            </w:r>
          </w:p>
        </w:tc>
        <w:tc>
          <w:tcPr>
            <w:tcW w:w="3794" w:type="dxa"/>
            <w:gridSpan w:val="3"/>
            <w:vAlign w:val="center"/>
          </w:tcPr>
          <w:p w14:paraId="1D5A1CF3">
            <w:pPr>
              <w:rPr>
                <w:rFonts w:asciiTheme="minorEastAsia" w:hAnsiTheme="minorEastAsia" w:eastAsiaTheme="minorEastAsia"/>
                <w:color w:val="000000"/>
                <w:sz w:val="24"/>
              </w:rPr>
            </w:pPr>
            <w:r>
              <w:rPr>
                <w:rFonts w:hint="eastAsia" w:asciiTheme="minorEastAsia" w:hAnsiTheme="minorEastAsia" w:eastAsiaTheme="minorEastAsia"/>
                <w:color w:val="000000"/>
                <w:sz w:val="24"/>
              </w:rPr>
              <w:t>加强内部控制信息系统互联互通建设，做到各业务系统模块之间的数据信息同步与实时共享。</w:t>
            </w:r>
          </w:p>
        </w:tc>
      </w:tr>
    </w:tbl>
    <w:p w14:paraId="4482DE0B">
      <w:pPr>
        <w:jc w:val="left"/>
        <w:rPr>
          <w:rFonts w:ascii="楷体" w:hAnsi="楷体" w:eastAsia="楷体" w:cs="楷体"/>
          <w:sz w:val="24"/>
        </w:rPr>
      </w:pPr>
    </w:p>
    <w:sectPr>
      <w:footerReference r:id="rId3" w:type="default"/>
      <w:footerReference r:id="rId4" w:type="even"/>
      <w:pgSz w:w="16838" w:h="11906" w:orient="landscape"/>
      <w:pgMar w:top="567" w:right="1440" w:bottom="426" w:left="1440" w:header="851" w:footer="49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D58F2">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DE3714">
                          <w:pPr>
                            <w:pStyle w:val="6"/>
                          </w:pPr>
                          <w:r>
                            <w:rPr>
                              <w:rFonts w:hint="eastAsia"/>
                            </w:rPr>
                            <w:t xml:space="preserve">— </w:t>
                          </w:r>
                          <w:r>
                            <w:fldChar w:fldCharType="begin"/>
                          </w:r>
                          <w:r>
                            <w:instrText xml:space="preserve"> PAGE  \* MERGEFORMAT </w:instrText>
                          </w:r>
                          <w:r>
                            <w:fldChar w:fldCharType="separate"/>
                          </w:r>
                          <w:r>
                            <w:t>4</w:t>
                          </w:r>
                          <w:r>
                            <w:fldChar w:fldCharType="end"/>
                          </w:r>
                          <w:r>
                            <w:rPr>
                              <w:rFonts w:hint="eastAsia"/>
                            </w:rPr>
                            <w:t xml:space="preserve"> —</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">
              <v:fill on="f" focussize="0,0"/>
              <v:stroke on="f"/>
              <v:imagedata o:title=""/>
              <o:lock v:ext="edit" aspectratio="f"/>
              <v:textbox inset="0mm,0mm,0mm,0mm" style="mso-fit-shape-to-text:t;">
                <w:txbxContent>
                  <w:p w14:paraId="7EDE3714">
                    <w:pPr>
                      <w:pStyle w:val="6"/>
                    </w:pPr>
                    <w:r>
                      <w:rPr>
                        <w:rFonts w:hint="eastAsia"/>
                      </w:rPr>
                      <w:t xml:space="preserve">— </w:t>
                    </w:r>
                    <w:r>
                      <w:fldChar w:fldCharType="begin"/>
                    </w:r>
                    <w:r>
                      <w:instrText xml:space="preserve"> PAGE  \* MERGEFORMAT </w:instrText>
                    </w:r>
                    <w:r>
                      <w:fldChar w:fldCharType="separate"/>
                    </w:r>
                    <w:r>
                      <w:t>4</w:t>
                    </w:r>
                    <w:r>
                      <w:fldChar w:fldCharType="end"/>
                    </w:r>
                    <w:r>
                      <w:rPr>
                        <w:rFonts w:hint="eastAsi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07C08">
    <w:pPr>
      <w:pStyle w:val="6"/>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3D8F3014">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03F"/>
    <w:rsid w:val="000002FE"/>
    <w:rsid w:val="0000053C"/>
    <w:rsid w:val="00001795"/>
    <w:rsid w:val="0000188E"/>
    <w:rsid w:val="00001ADD"/>
    <w:rsid w:val="00002BDB"/>
    <w:rsid w:val="00004163"/>
    <w:rsid w:val="00005842"/>
    <w:rsid w:val="000069F8"/>
    <w:rsid w:val="0000718E"/>
    <w:rsid w:val="0001119A"/>
    <w:rsid w:val="00011DEB"/>
    <w:rsid w:val="000134C4"/>
    <w:rsid w:val="00013587"/>
    <w:rsid w:val="000135C8"/>
    <w:rsid w:val="000140D2"/>
    <w:rsid w:val="0001604A"/>
    <w:rsid w:val="00017210"/>
    <w:rsid w:val="00017DFF"/>
    <w:rsid w:val="00020F9B"/>
    <w:rsid w:val="00021969"/>
    <w:rsid w:val="00022308"/>
    <w:rsid w:val="000223EB"/>
    <w:rsid w:val="00023B02"/>
    <w:rsid w:val="00024002"/>
    <w:rsid w:val="00026468"/>
    <w:rsid w:val="000265D5"/>
    <w:rsid w:val="000311F7"/>
    <w:rsid w:val="00031B1B"/>
    <w:rsid w:val="00032A61"/>
    <w:rsid w:val="00035024"/>
    <w:rsid w:val="0003555F"/>
    <w:rsid w:val="00035B8E"/>
    <w:rsid w:val="00040BD3"/>
    <w:rsid w:val="00040FA0"/>
    <w:rsid w:val="0004186D"/>
    <w:rsid w:val="00041E2A"/>
    <w:rsid w:val="00042E86"/>
    <w:rsid w:val="0004300B"/>
    <w:rsid w:val="00043188"/>
    <w:rsid w:val="000448FA"/>
    <w:rsid w:val="00045768"/>
    <w:rsid w:val="00045A15"/>
    <w:rsid w:val="000471BC"/>
    <w:rsid w:val="00050853"/>
    <w:rsid w:val="00050899"/>
    <w:rsid w:val="000517E5"/>
    <w:rsid w:val="00051AF3"/>
    <w:rsid w:val="00052496"/>
    <w:rsid w:val="00053B53"/>
    <w:rsid w:val="000550B2"/>
    <w:rsid w:val="0005513B"/>
    <w:rsid w:val="000560C9"/>
    <w:rsid w:val="00064049"/>
    <w:rsid w:val="00064A26"/>
    <w:rsid w:val="00065F64"/>
    <w:rsid w:val="000704A2"/>
    <w:rsid w:val="000736D9"/>
    <w:rsid w:val="000762C7"/>
    <w:rsid w:val="00076417"/>
    <w:rsid w:val="00076C6B"/>
    <w:rsid w:val="00080A90"/>
    <w:rsid w:val="00081458"/>
    <w:rsid w:val="000829DB"/>
    <w:rsid w:val="00082A01"/>
    <w:rsid w:val="000835E6"/>
    <w:rsid w:val="00085A6C"/>
    <w:rsid w:val="00091127"/>
    <w:rsid w:val="0009302D"/>
    <w:rsid w:val="00094A2F"/>
    <w:rsid w:val="00094BD1"/>
    <w:rsid w:val="000A00B5"/>
    <w:rsid w:val="000A0136"/>
    <w:rsid w:val="000A3678"/>
    <w:rsid w:val="000A39CD"/>
    <w:rsid w:val="000A40FB"/>
    <w:rsid w:val="000A44DF"/>
    <w:rsid w:val="000A6AF9"/>
    <w:rsid w:val="000A6FAE"/>
    <w:rsid w:val="000A7618"/>
    <w:rsid w:val="000A7B0A"/>
    <w:rsid w:val="000B1BC8"/>
    <w:rsid w:val="000B283F"/>
    <w:rsid w:val="000B2867"/>
    <w:rsid w:val="000B3500"/>
    <w:rsid w:val="000B3CCA"/>
    <w:rsid w:val="000B7CA9"/>
    <w:rsid w:val="000C3BAF"/>
    <w:rsid w:val="000C6C8E"/>
    <w:rsid w:val="000C7874"/>
    <w:rsid w:val="000C7A72"/>
    <w:rsid w:val="000D07EE"/>
    <w:rsid w:val="000D0EC6"/>
    <w:rsid w:val="000D286E"/>
    <w:rsid w:val="000D2963"/>
    <w:rsid w:val="000D506C"/>
    <w:rsid w:val="000D53D4"/>
    <w:rsid w:val="000D5640"/>
    <w:rsid w:val="000D666C"/>
    <w:rsid w:val="000E05E6"/>
    <w:rsid w:val="000E18D7"/>
    <w:rsid w:val="000E3219"/>
    <w:rsid w:val="000E4E65"/>
    <w:rsid w:val="000E6978"/>
    <w:rsid w:val="000F07B1"/>
    <w:rsid w:val="000F190E"/>
    <w:rsid w:val="000F34D5"/>
    <w:rsid w:val="000F3ADF"/>
    <w:rsid w:val="000F49C3"/>
    <w:rsid w:val="000F4E8E"/>
    <w:rsid w:val="000F6B46"/>
    <w:rsid w:val="001011FE"/>
    <w:rsid w:val="001012BA"/>
    <w:rsid w:val="001019A9"/>
    <w:rsid w:val="00101E42"/>
    <w:rsid w:val="001032BD"/>
    <w:rsid w:val="0010498F"/>
    <w:rsid w:val="00105104"/>
    <w:rsid w:val="001058F4"/>
    <w:rsid w:val="00106978"/>
    <w:rsid w:val="00106CC3"/>
    <w:rsid w:val="0011132A"/>
    <w:rsid w:val="00112CEA"/>
    <w:rsid w:val="00112D65"/>
    <w:rsid w:val="00116824"/>
    <w:rsid w:val="00120244"/>
    <w:rsid w:val="0012111A"/>
    <w:rsid w:val="001219D1"/>
    <w:rsid w:val="001225F4"/>
    <w:rsid w:val="00122738"/>
    <w:rsid w:val="00123E29"/>
    <w:rsid w:val="00124BAA"/>
    <w:rsid w:val="00125F80"/>
    <w:rsid w:val="0012611B"/>
    <w:rsid w:val="00126320"/>
    <w:rsid w:val="0012717E"/>
    <w:rsid w:val="00127443"/>
    <w:rsid w:val="00127DB5"/>
    <w:rsid w:val="00127E10"/>
    <w:rsid w:val="00130702"/>
    <w:rsid w:val="00132D4F"/>
    <w:rsid w:val="0013385A"/>
    <w:rsid w:val="00134211"/>
    <w:rsid w:val="00134222"/>
    <w:rsid w:val="00134C9C"/>
    <w:rsid w:val="00135CDA"/>
    <w:rsid w:val="00136A7C"/>
    <w:rsid w:val="00136BC3"/>
    <w:rsid w:val="001402D1"/>
    <w:rsid w:val="001403F8"/>
    <w:rsid w:val="00142E34"/>
    <w:rsid w:val="00144417"/>
    <w:rsid w:val="001452C0"/>
    <w:rsid w:val="00145546"/>
    <w:rsid w:val="00145689"/>
    <w:rsid w:val="00146B4C"/>
    <w:rsid w:val="00147D40"/>
    <w:rsid w:val="0015016B"/>
    <w:rsid w:val="00151100"/>
    <w:rsid w:val="00154698"/>
    <w:rsid w:val="00154B7E"/>
    <w:rsid w:val="00155EDD"/>
    <w:rsid w:val="001612C8"/>
    <w:rsid w:val="001629B5"/>
    <w:rsid w:val="00163130"/>
    <w:rsid w:val="00166AB3"/>
    <w:rsid w:val="00166B85"/>
    <w:rsid w:val="0016742E"/>
    <w:rsid w:val="00167E15"/>
    <w:rsid w:val="00167EE4"/>
    <w:rsid w:val="00172AC4"/>
    <w:rsid w:val="00174007"/>
    <w:rsid w:val="00175EE7"/>
    <w:rsid w:val="001767FF"/>
    <w:rsid w:val="00176F2B"/>
    <w:rsid w:val="0018014F"/>
    <w:rsid w:val="00181778"/>
    <w:rsid w:val="00184B7F"/>
    <w:rsid w:val="00186B78"/>
    <w:rsid w:val="0018717B"/>
    <w:rsid w:val="0018798D"/>
    <w:rsid w:val="001918B0"/>
    <w:rsid w:val="00192A7A"/>
    <w:rsid w:val="00193B98"/>
    <w:rsid w:val="0019426A"/>
    <w:rsid w:val="00194C68"/>
    <w:rsid w:val="00197862"/>
    <w:rsid w:val="00197A1A"/>
    <w:rsid w:val="001A1A18"/>
    <w:rsid w:val="001A2302"/>
    <w:rsid w:val="001A24C0"/>
    <w:rsid w:val="001A2EED"/>
    <w:rsid w:val="001A3408"/>
    <w:rsid w:val="001A5B21"/>
    <w:rsid w:val="001A64BF"/>
    <w:rsid w:val="001A779E"/>
    <w:rsid w:val="001B13DE"/>
    <w:rsid w:val="001B3985"/>
    <w:rsid w:val="001B3EEC"/>
    <w:rsid w:val="001B4567"/>
    <w:rsid w:val="001B4F71"/>
    <w:rsid w:val="001B5091"/>
    <w:rsid w:val="001B6792"/>
    <w:rsid w:val="001B6C4C"/>
    <w:rsid w:val="001C1D2F"/>
    <w:rsid w:val="001C1F48"/>
    <w:rsid w:val="001C226E"/>
    <w:rsid w:val="001C255A"/>
    <w:rsid w:val="001C34F1"/>
    <w:rsid w:val="001C62AF"/>
    <w:rsid w:val="001D3977"/>
    <w:rsid w:val="001D3A15"/>
    <w:rsid w:val="001D4CEB"/>
    <w:rsid w:val="001D69EE"/>
    <w:rsid w:val="001E3A28"/>
    <w:rsid w:val="001E6257"/>
    <w:rsid w:val="001E6A53"/>
    <w:rsid w:val="001E7466"/>
    <w:rsid w:val="001F1BBA"/>
    <w:rsid w:val="001F2213"/>
    <w:rsid w:val="001F5BB6"/>
    <w:rsid w:val="001F7D18"/>
    <w:rsid w:val="001F7D51"/>
    <w:rsid w:val="00200BDF"/>
    <w:rsid w:val="00201A11"/>
    <w:rsid w:val="00201DA3"/>
    <w:rsid w:val="0020338A"/>
    <w:rsid w:val="00203B24"/>
    <w:rsid w:val="00205FAB"/>
    <w:rsid w:val="00206CEE"/>
    <w:rsid w:val="00207C70"/>
    <w:rsid w:val="002101CE"/>
    <w:rsid w:val="0021105D"/>
    <w:rsid w:val="002120BF"/>
    <w:rsid w:val="00212A50"/>
    <w:rsid w:val="00213FDC"/>
    <w:rsid w:val="00214C21"/>
    <w:rsid w:val="002151C9"/>
    <w:rsid w:val="0021615F"/>
    <w:rsid w:val="002167A8"/>
    <w:rsid w:val="002168D0"/>
    <w:rsid w:val="002205EE"/>
    <w:rsid w:val="0022065D"/>
    <w:rsid w:val="00220674"/>
    <w:rsid w:val="00220934"/>
    <w:rsid w:val="00220A85"/>
    <w:rsid w:val="002217D6"/>
    <w:rsid w:val="00221A29"/>
    <w:rsid w:val="00222022"/>
    <w:rsid w:val="002229FF"/>
    <w:rsid w:val="00223282"/>
    <w:rsid w:val="00223469"/>
    <w:rsid w:val="0022477A"/>
    <w:rsid w:val="002249D4"/>
    <w:rsid w:val="00224FAE"/>
    <w:rsid w:val="002255B9"/>
    <w:rsid w:val="00225B61"/>
    <w:rsid w:val="002264B2"/>
    <w:rsid w:val="00227977"/>
    <w:rsid w:val="002309F2"/>
    <w:rsid w:val="00231A9E"/>
    <w:rsid w:val="0023333B"/>
    <w:rsid w:val="00233B91"/>
    <w:rsid w:val="0023495D"/>
    <w:rsid w:val="00234BD3"/>
    <w:rsid w:val="002351A6"/>
    <w:rsid w:val="002359BE"/>
    <w:rsid w:val="002363EB"/>
    <w:rsid w:val="00236914"/>
    <w:rsid w:val="00236AC7"/>
    <w:rsid w:val="00236B4D"/>
    <w:rsid w:val="002417E5"/>
    <w:rsid w:val="0024403F"/>
    <w:rsid w:val="002440C0"/>
    <w:rsid w:val="002457C8"/>
    <w:rsid w:val="00245B8E"/>
    <w:rsid w:val="00246FEA"/>
    <w:rsid w:val="002474FA"/>
    <w:rsid w:val="00247637"/>
    <w:rsid w:val="00247692"/>
    <w:rsid w:val="00247ABC"/>
    <w:rsid w:val="00247FBF"/>
    <w:rsid w:val="002507D2"/>
    <w:rsid w:val="00250BDF"/>
    <w:rsid w:val="0025111F"/>
    <w:rsid w:val="00253553"/>
    <w:rsid w:val="002536A5"/>
    <w:rsid w:val="002546C3"/>
    <w:rsid w:val="00254919"/>
    <w:rsid w:val="00254A01"/>
    <w:rsid w:val="00255A99"/>
    <w:rsid w:val="00256029"/>
    <w:rsid w:val="0025662F"/>
    <w:rsid w:val="00256CE6"/>
    <w:rsid w:val="0025718B"/>
    <w:rsid w:val="00257B98"/>
    <w:rsid w:val="00257F10"/>
    <w:rsid w:val="0026086F"/>
    <w:rsid w:val="0026166A"/>
    <w:rsid w:val="0026175D"/>
    <w:rsid w:val="002621E2"/>
    <w:rsid w:val="0026644C"/>
    <w:rsid w:val="00267109"/>
    <w:rsid w:val="002674B0"/>
    <w:rsid w:val="00267983"/>
    <w:rsid w:val="00274037"/>
    <w:rsid w:val="00276731"/>
    <w:rsid w:val="00276E69"/>
    <w:rsid w:val="002808E5"/>
    <w:rsid w:val="00284E02"/>
    <w:rsid w:val="00287076"/>
    <w:rsid w:val="00287374"/>
    <w:rsid w:val="00287B12"/>
    <w:rsid w:val="0029014A"/>
    <w:rsid w:val="002903AC"/>
    <w:rsid w:val="002903CB"/>
    <w:rsid w:val="00292645"/>
    <w:rsid w:val="002940D1"/>
    <w:rsid w:val="00294A57"/>
    <w:rsid w:val="00294BAF"/>
    <w:rsid w:val="00294DC1"/>
    <w:rsid w:val="0029679E"/>
    <w:rsid w:val="00297071"/>
    <w:rsid w:val="002A02CA"/>
    <w:rsid w:val="002A0A66"/>
    <w:rsid w:val="002A6569"/>
    <w:rsid w:val="002A7B7B"/>
    <w:rsid w:val="002B01B9"/>
    <w:rsid w:val="002B0765"/>
    <w:rsid w:val="002B0C38"/>
    <w:rsid w:val="002B317D"/>
    <w:rsid w:val="002B3839"/>
    <w:rsid w:val="002B5724"/>
    <w:rsid w:val="002B75A1"/>
    <w:rsid w:val="002C066A"/>
    <w:rsid w:val="002C1C0F"/>
    <w:rsid w:val="002C1DA3"/>
    <w:rsid w:val="002C2C95"/>
    <w:rsid w:val="002C361C"/>
    <w:rsid w:val="002C3B5E"/>
    <w:rsid w:val="002C44C2"/>
    <w:rsid w:val="002C5F40"/>
    <w:rsid w:val="002C67BA"/>
    <w:rsid w:val="002C6815"/>
    <w:rsid w:val="002C72BD"/>
    <w:rsid w:val="002C750D"/>
    <w:rsid w:val="002C7A35"/>
    <w:rsid w:val="002D1657"/>
    <w:rsid w:val="002D3A7A"/>
    <w:rsid w:val="002D59DA"/>
    <w:rsid w:val="002D611F"/>
    <w:rsid w:val="002D656E"/>
    <w:rsid w:val="002D700E"/>
    <w:rsid w:val="002D7C8F"/>
    <w:rsid w:val="002E1C22"/>
    <w:rsid w:val="002E20E3"/>
    <w:rsid w:val="002E24E0"/>
    <w:rsid w:val="002E3BCE"/>
    <w:rsid w:val="002E422C"/>
    <w:rsid w:val="002E4267"/>
    <w:rsid w:val="002E53E5"/>
    <w:rsid w:val="002E6CDA"/>
    <w:rsid w:val="002F149F"/>
    <w:rsid w:val="002F3DB3"/>
    <w:rsid w:val="002F5922"/>
    <w:rsid w:val="002F5DF8"/>
    <w:rsid w:val="002F67B9"/>
    <w:rsid w:val="00300BD2"/>
    <w:rsid w:val="00301B9A"/>
    <w:rsid w:val="003032E3"/>
    <w:rsid w:val="003034E5"/>
    <w:rsid w:val="003048DE"/>
    <w:rsid w:val="00307A1E"/>
    <w:rsid w:val="00310BF0"/>
    <w:rsid w:val="00311A17"/>
    <w:rsid w:val="00312BD4"/>
    <w:rsid w:val="003133F4"/>
    <w:rsid w:val="0031396B"/>
    <w:rsid w:val="00313DCB"/>
    <w:rsid w:val="00314C55"/>
    <w:rsid w:val="00315086"/>
    <w:rsid w:val="00316401"/>
    <w:rsid w:val="00320F71"/>
    <w:rsid w:val="00321FD5"/>
    <w:rsid w:val="003225D0"/>
    <w:rsid w:val="00323261"/>
    <w:rsid w:val="00323FB7"/>
    <w:rsid w:val="003256A3"/>
    <w:rsid w:val="0032662B"/>
    <w:rsid w:val="0032675D"/>
    <w:rsid w:val="00327B90"/>
    <w:rsid w:val="00327FA1"/>
    <w:rsid w:val="003303DA"/>
    <w:rsid w:val="00331AC8"/>
    <w:rsid w:val="0033201A"/>
    <w:rsid w:val="003344FB"/>
    <w:rsid w:val="0033487B"/>
    <w:rsid w:val="0033548C"/>
    <w:rsid w:val="003355FA"/>
    <w:rsid w:val="0034056F"/>
    <w:rsid w:val="00344F64"/>
    <w:rsid w:val="00346F32"/>
    <w:rsid w:val="00350DAB"/>
    <w:rsid w:val="00351141"/>
    <w:rsid w:val="00352855"/>
    <w:rsid w:val="0035654D"/>
    <w:rsid w:val="003572DE"/>
    <w:rsid w:val="0035745F"/>
    <w:rsid w:val="003578BF"/>
    <w:rsid w:val="00360122"/>
    <w:rsid w:val="00360184"/>
    <w:rsid w:val="00360240"/>
    <w:rsid w:val="0036239D"/>
    <w:rsid w:val="0036448F"/>
    <w:rsid w:val="003651CD"/>
    <w:rsid w:val="003652F7"/>
    <w:rsid w:val="003667C0"/>
    <w:rsid w:val="003676F3"/>
    <w:rsid w:val="00371325"/>
    <w:rsid w:val="00371D4E"/>
    <w:rsid w:val="00372056"/>
    <w:rsid w:val="00374419"/>
    <w:rsid w:val="00374A98"/>
    <w:rsid w:val="0037590A"/>
    <w:rsid w:val="0037616B"/>
    <w:rsid w:val="00376FC6"/>
    <w:rsid w:val="00377396"/>
    <w:rsid w:val="00382555"/>
    <w:rsid w:val="0038309E"/>
    <w:rsid w:val="00383D19"/>
    <w:rsid w:val="00390C48"/>
    <w:rsid w:val="00391F92"/>
    <w:rsid w:val="003922E0"/>
    <w:rsid w:val="00392DF1"/>
    <w:rsid w:val="003933E0"/>
    <w:rsid w:val="00396E28"/>
    <w:rsid w:val="00396F7A"/>
    <w:rsid w:val="003972FD"/>
    <w:rsid w:val="003A13FA"/>
    <w:rsid w:val="003A204B"/>
    <w:rsid w:val="003A25DE"/>
    <w:rsid w:val="003A2734"/>
    <w:rsid w:val="003A30FA"/>
    <w:rsid w:val="003A47D8"/>
    <w:rsid w:val="003A4C0E"/>
    <w:rsid w:val="003A744E"/>
    <w:rsid w:val="003A7E00"/>
    <w:rsid w:val="003B0531"/>
    <w:rsid w:val="003B0535"/>
    <w:rsid w:val="003B085C"/>
    <w:rsid w:val="003B1410"/>
    <w:rsid w:val="003B2B6A"/>
    <w:rsid w:val="003B31E8"/>
    <w:rsid w:val="003B3DBC"/>
    <w:rsid w:val="003B443B"/>
    <w:rsid w:val="003B4B0D"/>
    <w:rsid w:val="003B5674"/>
    <w:rsid w:val="003B59D8"/>
    <w:rsid w:val="003B5F2E"/>
    <w:rsid w:val="003B7F98"/>
    <w:rsid w:val="003C05A8"/>
    <w:rsid w:val="003C1827"/>
    <w:rsid w:val="003C3113"/>
    <w:rsid w:val="003C3116"/>
    <w:rsid w:val="003C338A"/>
    <w:rsid w:val="003C4C0E"/>
    <w:rsid w:val="003C4C90"/>
    <w:rsid w:val="003C4CBF"/>
    <w:rsid w:val="003C5267"/>
    <w:rsid w:val="003C591F"/>
    <w:rsid w:val="003C5C63"/>
    <w:rsid w:val="003C6787"/>
    <w:rsid w:val="003C6D95"/>
    <w:rsid w:val="003C7D0B"/>
    <w:rsid w:val="003D19BA"/>
    <w:rsid w:val="003D3235"/>
    <w:rsid w:val="003D4910"/>
    <w:rsid w:val="003D4E47"/>
    <w:rsid w:val="003D4F88"/>
    <w:rsid w:val="003D5810"/>
    <w:rsid w:val="003D73E5"/>
    <w:rsid w:val="003D7ECD"/>
    <w:rsid w:val="003E0479"/>
    <w:rsid w:val="003E0879"/>
    <w:rsid w:val="003E39C6"/>
    <w:rsid w:val="003E41FB"/>
    <w:rsid w:val="003E4A3F"/>
    <w:rsid w:val="003E5500"/>
    <w:rsid w:val="003E6718"/>
    <w:rsid w:val="003E71E6"/>
    <w:rsid w:val="003E724D"/>
    <w:rsid w:val="003E7B92"/>
    <w:rsid w:val="003F12A6"/>
    <w:rsid w:val="003F2AE7"/>
    <w:rsid w:val="003F4493"/>
    <w:rsid w:val="003F60F8"/>
    <w:rsid w:val="003F6AB8"/>
    <w:rsid w:val="003F74AB"/>
    <w:rsid w:val="003F7991"/>
    <w:rsid w:val="0040132B"/>
    <w:rsid w:val="00401359"/>
    <w:rsid w:val="004021D4"/>
    <w:rsid w:val="004026D8"/>
    <w:rsid w:val="0040274D"/>
    <w:rsid w:val="00402A9E"/>
    <w:rsid w:val="00405129"/>
    <w:rsid w:val="00406354"/>
    <w:rsid w:val="00406FA4"/>
    <w:rsid w:val="00407A22"/>
    <w:rsid w:val="00411B40"/>
    <w:rsid w:val="00412350"/>
    <w:rsid w:val="004123B4"/>
    <w:rsid w:val="00414EFE"/>
    <w:rsid w:val="004157FE"/>
    <w:rsid w:val="00417BBE"/>
    <w:rsid w:val="00417FAD"/>
    <w:rsid w:val="00420C96"/>
    <w:rsid w:val="00420F8C"/>
    <w:rsid w:val="00421028"/>
    <w:rsid w:val="004225AF"/>
    <w:rsid w:val="00422F77"/>
    <w:rsid w:val="0042304F"/>
    <w:rsid w:val="0042337D"/>
    <w:rsid w:val="00424F7A"/>
    <w:rsid w:val="004252B2"/>
    <w:rsid w:val="00426783"/>
    <w:rsid w:val="00430359"/>
    <w:rsid w:val="00430BB2"/>
    <w:rsid w:val="004317E1"/>
    <w:rsid w:val="00431921"/>
    <w:rsid w:val="004332A7"/>
    <w:rsid w:val="00434E57"/>
    <w:rsid w:val="004366F3"/>
    <w:rsid w:val="00442070"/>
    <w:rsid w:val="004428BD"/>
    <w:rsid w:val="004449C4"/>
    <w:rsid w:val="004459DF"/>
    <w:rsid w:val="00445ED1"/>
    <w:rsid w:val="004466C2"/>
    <w:rsid w:val="00446BBC"/>
    <w:rsid w:val="00446DBB"/>
    <w:rsid w:val="00446E77"/>
    <w:rsid w:val="00447B84"/>
    <w:rsid w:val="00447DCF"/>
    <w:rsid w:val="004516BD"/>
    <w:rsid w:val="00451A4F"/>
    <w:rsid w:val="00456DE2"/>
    <w:rsid w:val="00457A0F"/>
    <w:rsid w:val="004627D8"/>
    <w:rsid w:val="004628AE"/>
    <w:rsid w:val="0046299C"/>
    <w:rsid w:val="00462E1E"/>
    <w:rsid w:val="00462E4E"/>
    <w:rsid w:val="0046345A"/>
    <w:rsid w:val="0046400E"/>
    <w:rsid w:val="004649F9"/>
    <w:rsid w:val="00466815"/>
    <w:rsid w:val="00467A5F"/>
    <w:rsid w:val="00467E35"/>
    <w:rsid w:val="004713C9"/>
    <w:rsid w:val="00471516"/>
    <w:rsid w:val="00471C2C"/>
    <w:rsid w:val="00471DBD"/>
    <w:rsid w:val="00471F0E"/>
    <w:rsid w:val="00472D92"/>
    <w:rsid w:val="004742BE"/>
    <w:rsid w:val="00475879"/>
    <w:rsid w:val="00475D5D"/>
    <w:rsid w:val="004764A3"/>
    <w:rsid w:val="004767D0"/>
    <w:rsid w:val="00477167"/>
    <w:rsid w:val="00480EC7"/>
    <w:rsid w:val="0048178E"/>
    <w:rsid w:val="00481A84"/>
    <w:rsid w:val="00483800"/>
    <w:rsid w:val="00484A74"/>
    <w:rsid w:val="004855CB"/>
    <w:rsid w:val="00485FD0"/>
    <w:rsid w:val="004878CC"/>
    <w:rsid w:val="00490B2F"/>
    <w:rsid w:val="0049194D"/>
    <w:rsid w:val="0049358B"/>
    <w:rsid w:val="00494AA3"/>
    <w:rsid w:val="00495D9A"/>
    <w:rsid w:val="004A006D"/>
    <w:rsid w:val="004A088E"/>
    <w:rsid w:val="004A16B2"/>
    <w:rsid w:val="004A2D6E"/>
    <w:rsid w:val="004A30A2"/>
    <w:rsid w:val="004A3322"/>
    <w:rsid w:val="004A3993"/>
    <w:rsid w:val="004A5544"/>
    <w:rsid w:val="004A6B52"/>
    <w:rsid w:val="004A6E7D"/>
    <w:rsid w:val="004B016C"/>
    <w:rsid w:val="004B0174"/>
    <w:rsid w:val="004B05C1"/>
    <w:rsid w:val="004B067D"/>
    <w:rsid w:val="004B1B64"/>
    <w:rsid w:val="004B1E94"/>
    <w:rsid w:val="004B6D1C"/>
    <w:rsid w:val="004B7A2C"/>
    <w:rsid w:val="004C0C9A"/>
    <w:rsid w:val="004C21EE"/>
    <w:rsid w:val="004C23DB"/>
    <w:rsid w:val="004C4276"/>
    <w:rsid w:val="004C5180"/>
    <w:rsid w:val="004D0675"/>
    <w:rsid w:val="004D0C60"/>
    <w:rsid w:val="004D28B3"/>
    <w:rsid w:val="004D52DF"/>
    <w:rsid w:val="004D567F"/>
    <w:rsid w:val="004D5776"/>
    <w:rsid w:val="004D67B7"/>
    <w:rsid w:val="004D6B6C"/>
    <w:rsid w:val="004D6DAE"/>
    <w:rsid w:val="004E2A67"/>
    <w:rsid w:val="004E3448"/>
    <w:rsid w:val="004E4972"/>
    <w:rsid w:val="004E682A"/>
    <w:rsid w:val="004E7A61"/>
    <w:rsid w:val="004F02CB"/>
    <w:rsid w:val="004F0857"/>
    <w:rsid w:val="004F30DB"/>
    <w:rsid w:val="004F6648"/>
    <w:rsid w:val="004F7D7A"/>
    <w:rsid w:val="0050059A"/>
    <w:rsid w:val="00500860"/>
    <w:rsid w:val="00505849"/>
    <w:rsid w:val="005072B8"/>
    <w:rsid w:val="00507E8D"/>
    <w:rsid w:val="005101AF"/>
    <w:rsid w:val="00511EBE"/>
    <w:rsid w:val="00512B6C"/>
    <w:rsid w:val="00513EFF"/>
    <w:rsid w:val="00514A9F"/>
    <w:rsid w:val="00514B1A"/>
    <w:rsid w:val="00514CC6"/>
    <w:rsid w:val="0051616E"/>
    <w:rsid w:val="0051705A"/>
    <w:rsid w:val="0051757F"/>
    <w:rsid w:val="00521147"/>
    <w:rsid w:val="00523371"/>
    <w:rsid w:val="00524850"/>
    <w:rsid w:val="00524D94"/>
    <w:rsid w:val="00525600"/>
    <w:rsid w:val="0052650D"/>
    <w:rsid w:val="005274DD"/>
    <w:rsid w:val="00527CC2"/>
    <w:rsid w:val="00531BFF"/>
    <w:rsid w:val="00532586"/>
    <w:rsid w:val="00532969"/>
    <w:rsid w:val="00533245"/>
    <w:rsid w:val="00533B10"/>
    <w:rsid w:val="00534385"/>
    <w:rsid w:val="00541B17"/>
    <w:rsid w:val="00541BD4"/>
    <w:rsid w:val="00544207"/>
    <w:rsid w:val="00544BD9"/>
    <w:rsid w:val="00545115"/>
    <w:rsid w:val="00545E27"/>
    <w:rsid w:val="00546726"/>
    <w:rsid w:val="0054679C"/>
    <w:rsid w:val="005468AA"/>
    <w:rsid w:val="005475CC"/>
    <w:rsid w:val="00550026"/>
    <w:rsid w:val="005520EA"/>
    <w:rsid w:val="00552B12"/>
    <w:rsid w:val="005538B5"/>
    <w:rsid w:val="0055399B"/>
    <w:rsid w:val="00553EDC"/>
    <w:rsid w:val="005552F8"/>
    <w:rsid w:val="00555932"/>
    <w:rsid w:val="0055732A"/>
    <w:rsid w:val="00557C40"/>
    <w:rsid w:val="00560222"/>
    <w:rsid w:val="005605D7"/>
    <w:rsid w:val="00560BB3"/>
    <w:rsid w:val="00561E36"/>
    <w:rsid w:val="00563FEC"/>
    <w:rsid w:val="00564687"/>
    <w:rsid w:val="0056478A"/>
    <w:rsid w:val="00564F10"/>
    <w:rsid w:val="0056587B"/>
    <w:rsid w:val="00566280"/>
    <w:rsid w:val="0056765B"/>
    <w:rsid w:val="005679C1"/>
    <w:rsid w:val="00572952"/>
    <w:rsid w:val="00572B07"/>
    <w:rsid w:val="00573670"/>
    <w:rsid w:val="00574CAA"/>
    <w:rsid w:val="00580DA7"/>
    <w:rsid w:val="00581AD6"/>
    <w:rsid w:val="00583FA6"/>
    <w:rsid w:val="0058426F"/>
    <w:rsid w:val="00584375"/>
    <w:rsid w:val="005857CE"/>
    <w:rsid w:val="00590694"/>
    <w:rsid w:val="005914F2"/>
    <w:rsid w:val="005941FD"/>
    <w:rsid w:val="00595A21"/>
    <w:rsid w:val="00597780"/>
    <w:rsid w:val="005A1B73"/>
    <w:rsid w:val="005A2142"/>
    <w:rsid w:val="005A23C6"/>
    <w:rsid w:val="005A30F6"/>
    <w:rsid w:val="005A37E9"/>
    <w:rsid w:val="005A3FCD"/>
    <w:rsid w:val="005A5278"/>
    <w:rsid w:val="005A551E"/>
    <w:rsid w:val="005A7084"/>
    <w:rsid w:val="005A70A5"/>
    <w:rsid w:val="005B0665"/>
    <w:rsid w:val="005B08BC"/>
    <w:rsid w:val="005B2208"/>
    <w:rsid w:val="005B2CA4"/>
    <w:rsid w:val="005B3CC1"/>
    <w:rsid w:val="005B519E"/>
    <w:rsid w:val="005B51DF"/>
    <w:rsid w:val="005B5E80"/>
    <w:rsid w:val="005B77FF"/>
    <w:rsid w:val="005B78FF"/>
    <w:rsid w:val="005C0D64"/>
    <w:rsid w:val="005C1F5D"/>
    <w:rsid w:val="005C5012"/>
    <w:rsid w:val="005C58F5"/>
    <w:rsid w:val="005C64E8"/>
    <w:rsid w:val="005C7867"/>
    <w:rsid w:val="005D08EA"/>
    <w:rsid w:val="005D1145"/>
    <w:rsid w:val="005D241A"/>
    <w:rsid w:val="005E045A"/>
    <w:rsid w:val="005E2C89"/>
    <w:rsid w:val="005E4104"/>
    <w:rsid w:val="005E410C"/>
    <w:rsid w:val="005E4EFC"/>
    <w:rsid w:val="005E7980"/>
    <w:rsid w:val="005F039E"/>
    <w:rsid w:val="005F3048"/>
    <w:rsid w:val="005F33E1"/>
    <w:rsid w:val="005F35A0"/>
    <w:rsid w:val="005F399D"/>
    <w:rsid w:val="005F5A94"/>
    <w:rsid w:val="005F639E"/>
    <w:rsid w:val="005F676E"/>
    <w:rsid w:val="005F6B9C"/>
    <w:rsid w:val="005F6E6B"/>
    <w:rsid w:val="005F6F22"/>
    <w:rsid w:val="00600C87"/>
    <w:rsid w:val="00601FD1"/>
    <w:rsid w:val="00603172"/>
    <w:rsid w:val="006031D0"/>
    <w:rsid w:val="00603486"/>
    <w:rsid w:val="00605999"/>
    <w:rsid w:val="00605C34"/>
    <w:rsid w:val="00605CF4"/>
    <w:rsid w:val="00607DA4"/>
    <w:rsid w:val="00610E9B"/>
    <w:rsid w:val="006130E4"/>
    <w:rsid w:val="00616736"/>
    <w:rsid w:val="00616843"/>
    <w:rsid w:val="00616E06"/>
    <w:rsid w:val="006176F2"/>
    <w:rsid w:val="00617CEA"/>
    <w:rsid w:val="00617DC4"/>
    <w:rsid w:val="00622B3B"/>
    <w:rsid w:val="00623EA8"/>
    <w:rsid w:val="006251A1"/>
    <w:rsid w:val="00627B6B"/>
    <w:rsid w:val="0063070F"/>
    <w:rsid w:val="00631FE2"/>
    <w:rsid w:val="0063377E"/>
    <w:rsid w:val="00641068"/>
    <w:rsid w:val="00641770"/>
    <w:rsid w:val="00641F83"/>
    <w:rsid w:val="00643630"/>
    <w:rsid w:val="00646B01"/>
    <w:rsid w:val="00647821"/>
    <w:rsid w:val="00650391"/>
    <w:rsid w:val="00651F3B"/>
    <w:rsid w:val="0065218B"/>
    <w:rsid w:val="00653315"/>
    <w:rsid w:val="006551A0"/>
    <w:rsid w:val="00655B3F"/>
    <w:rsid w:val="0065600A"/>
    <w:rsid w:val="006578EB"/>
    <w:rsid w:val="006616EE"/>
    <w:rsid w:val="00661A7C"/>
    <w:rsid w:val="00663B91"/>
    <w:rsid w:val="006642FA"/>
    <w:rsid w:val="0066498B"/>
    <w:rsid w:val="00666050"/>
    <w:rsid w:val="00671D30"/>
    <w:rsid w:val="006720B9"/>
    <w:rsid w:val="00672484"/>
    <w:rsid w:val="00673ECD"/>
    <w:rsid w:val="0067526C"/>
    <w:rsid w:val="00676DA7"/>
    <w:rsid w:val="006777C7"/>
    <w:rsid w:val="00677B54"/>
    <w:rsid w:val="00680BCC"/>
    <w:rsid w:val="00680C02"/>
    <w:rsid w:val="00680F22"/>
    <w:rsid w:val="00682861"/>
    <w:rsid w:val="00683FF2"/>
    <w:rsid w:val="006868A0"/>
    <w:rsid w:val="00687B01"/>
    <w:rsid w:val="00690C7A"/>
    <w:rsid w:val="006924EF"/>
    <w:rsid w:val="0069289D"/>
    <w:rsid w:val="00692E5A"/>
    <w:rsid w:val="006940BE"/>
    <w:rsid w:val="00696AE3"/>
    <w:rsid w:val="00697226"/>
    <w:rsid w:val="006A03DD"/>
    <w:rsid w:val="006A04F8"/>
    <w:rsid w:val="006A2D76"/>
    <w:rsid w:val="006A332D"/>
    <w:rsid w:val="006A3D1B"/>
    <w:rsid w:val="006A54F5"/>
    <w:rsid w:val="006A6EBC"/>
    <w:rsid w:val="006A7411"/>
    <w:rsid w:val="006B13E8"/>
    <w:rsid w:val="006B2761"/>
    <w:rsid w:val="006B423F"/>
    <w:rsid w:val="006B5020"/>
    <w:rsid w:val="006B5501"/>
    <w:rsid w:val="006B697D"/>
    <w:rsid w:val="006B7971"/>
    <w:rsid w:val="006B79C5"/>
    <w:rsid w:val="006C0117"/>
    <w:rsid w:val="006C3886"/>
    <w:rsid w:val="006C6994"/>
    <w:rsid w:val="006D0A33"/>
    <w:rsid w:val="006D4450"/>
    <w:rsid w:val="006D4FD1"/>
    <w:rsid w:val="006D5D8C"/>
    <w:rsid w:val="006D69F7"/>
    <w:rsid w:val="006E0973"/>
    <w:rsid w:val="006E0C5A"/>
    <w:rsid w:val="006E0DF1"/>
    <w:rsid w:val="006E14CC"/>
    <w:rsid w:val="006E2EFC"/>
    <w:rsid w:val="006E3206"/>
    <w:rsid w:val="006E360F"/>
    <w:rsid w:val="006E4454"/>
    <w:rsid w:val="006E511C"/>
    <w:rsid w:val="006E635E"/>
    <w:rsid w:val="006E7BB1"/>
    <w:rsid w:val="006F24D4"/>
    <w:rsid w:val="006F3738"/>
    <w:rsid w:val="006F6212"/>
    <w:rsid w:val="006F6305"/>
    <w:rsid w:val="006F6CE7"/>
    <w:rsid w:val="006F7F8D"/>
    <w:rsid w:val="00700DD7"/>
    <w:rsid w:val="0070366F"/>
    <w:rsid w:val="007050AB"/>
    <w:rsid w:val="0070679A"/>
    <w:rsid w:val="00707C14"/>
    <w:rsid w:val="00711D92"/>
    <w:rsid w:val="00711F4D"/>
    <w:rsid w:val="00712577"/>
    <w:rsid w:val="0071386C"/>
    <w:rsid w:val="00713A8C"/>
    <w:rsid w:val="0071587D"/>
    <w:rsid w:val="00717125"/>
    <w:rsid w:val="007226F5"/>
    <w:rsid w:val="007231DC"/>
    <w:rsid w:val="00724140"/>
    <w:rsid w:val="0072458B"/>
    <w:rsid w:val="00724D88"/>
    <w:rsid w:val="007251A4"/>
    <w:rsid w:val="00726166"/>
    <w:rsid w:val="00726253"/>
    <w:rsid w:val="00727AFC"/>
    <w:rsid w:val="00730561"/>
    <w:rsid w:val="00731848"/>
    <w:rsid w:val="00732AD0"/>
    <w:rsid w:val="00735118"/>
    <w:rsid w:val="007365B6"/>
    <w:rsid w:val="00740B0A"/>
    <w:rsid w:val="00740CAF"/>
    <w:rsid w:val="0074136E"/>
    <w:rsid w:val="0074199E"/>
    <w:rsid w:val="00741EFB"/>
    <w:rsid w:val="00742A00"/>
    <w:rsid w:val="007431E3"/>
    <w:rsid w:val="0074471F"/>
    <w:rsid w:val="00745349"/>
    <w:rsid w:val="00746416"/>
    <w:rsid w:val="00750356"/>
    <w:rsid w:val="00750B0F"/>
    <w:rsid w:val="007510D4"/>
    <w:rsid w:val="00752181"/>
    <w:rsid w:val="007522F6"/>
    <w:rsid w:val="00753A1F"/>
    <w:rsid w:val="00754413"/>
    <w:rsid w:val="0075529E"/>
    <w:rsid w:val="007604BB"/>
    <w:rsid w:val="007619D2"/>
    <w:rsid w:val="00767440"/>
    <w:rsid w:val="00770376"/>
    <w:rsid w:val="007714FC"/>
    <w:rsid w:val="007719CF"/>
    <w:rsid w:val="00775876"/>
    <w:rsid w:val="00775FF7"/>
    <w:rsid w:val="00776C6C"/>
    <w:rsid w:val="00776DCC"/>
    <w:rsid w:val="007779AA"/>
    <w:rsid w:val="00780C87"/>
    <w:rsid w:val="00781A49"/>
    <w:rsid w:val="00784B29"/>
    <w:rsid w:val="00784D03"/>
    <w:rsid w:val="007850B5"/>
    <w:rsid w:val="00785397"/>
    <w:rsid w:val="00785559"/>
    <w:rsid w:val="00785DC1"/>
    <w:rsid w:val="00786C0C"/>
    <w:rsid w:val="00786DF1"/>
    <w:rsid w:val="00787215"/>
    <w:rsid w:val="00790351"/>
    <w:rsid w:val="007921CE"/>
    <w:rsid w:val="00792B07"/>
    <w:rsid w:val="00793270"/>
    <w:rsid w:val="00793853"/>
    <w:rsid w:val="007942B4"/>
    <w:rsid w:val="00796BC8"/>
    <w:rsid w:val="007A073C"/>
    <w:rsid w:val="007A1B09"/>
    <w:rsid w:val="007A1FB0"/>
    <w:rsid w:val="007A2094"/>
    <w:rsid w:val="007A33B1"/>
    <w:rsid w:val="007A3E21"/>
    <w:rsid w:val="007A462E"/>
    <w:rsid w:val="007A4D7D"/>
    <w:rsid w:val="007A5B51"/>
    <w:rsid w:val="007A5FA4"/>
    <w:rsid w:val="007A6CC5"/>
    <w:rsid w:val="007B1C2B"/>
    <w:rsid w:val="007B212C"/>
    <w:rsid w:val="007B245D"/>
    <w:rsid w:val="007B2F03"/>
    <w:rsid w:val="007B3463"/>
    <w:rsid w:val="007B404D"/>
    <w:rsid w:val="007B4282"/>
    <w:rsid w:val="007B4452"/>
    <w:rsid w:val="007B4D19"/>
    <w:rsid w:val="007B5C86"/>
    <w:rsid w:val="007B7531"/>
    <w:rsid w:val="007B7BA6"/>
    <w:rsid w:val="007C0DDF"/>
    <w:rsid w:val="007C23BB"/>
    <w:rsid w:val="007C31D8"/>
    <w:rsid w:val="007C4003"/>
    <w:rsid w:val="007C6988"/>
    <w:rsid w:val="007C7550"/>
    <w:rsid w:val="007D150D"/>
    <w:rsid w:val="007D1AEE"/>
    <w:rsid w:val="007D2B34"/>
    <w:rsid w:val="007D4DA1"/>
    <w:rsid w:val="007D60A2"/>
    <w:rsid w:val="007D7444"/>
    <w:rsid w:val="007D7759"/>
    <w:rsid w:val="007D7C1C"/>
    <w:rsid w:val="007E143C"/>
    <w:rsid w:val="007E3E8E"/>
    <w:rsid w:val="007E6F92"/>
    <w:rsid w:val="007F0E9B"/>
    <w:rsid w:val="007F26A7"/>
    <w:rsid w:val="007F3242"/>
    <w:rsid w:val="007F3E23"/>
    <w:rsid w:val="007F43CB"/>
    <w:rsid w:val="007F448C"/>
    <w:rsid w:val="007F5DCE"/>
    <w:rsid w:val="007F6A31"/>
    <w:rsid w:val="00800C00"/>
    <w:rsid w:val="00800C9C"/>
    <w:rsid w:val="0080288B"/>
    <w:rsid w:val="008031C4"/>
    <w:rsid w:val="0080339D"/>
    <w:rsid w:val="0080456C"/>
    <w:rsid w:val="008047E8"/>
    <w:rsid w:val="00805932"/>
    <w:rsid w:val="00805B15"/>
    <w:rsid w:val="00805D30"/>
    <w:rsid w:val="00806958"/>
    <w:rsid w:val="00806C85"/>
    <w:rsid w:val="00807F89"/>
    <w:rsid w:val="00810E1D"/>
    <w:rsid w:val="00813B83"/>
    <w:rsid w:val="00815554"/>
    <w:rsid w:val="00815845"/>
    <w:rsid w:val="00815D6A"/>
    <w:rsid w:val="00815F97"/>
    <w:rsid w:val="00816416"/>
    <w:rsid w:val="00817133"/>
    <w:rsid w:val="00820A3C"/>
    <w:rsid w:val="008213D4"/>
    <w:rsid w:val="00821A09"/>
    <w:rsid w:val="00822B36"/>
    <w:rsid w:val="00822D2B"/>
    <w:rsid w:val="00826ACC"/>
    <w:rsid w:val="0082704A"/>
    <w:rsid w:val="00834355"/>
    <w:rsid w:val="00835BB2"/>
    <w:rsid w:val="008373D6"/>
    <w:rsid w:val="00837953"/>
    <w:rsid w:val="00837971"/>
    <w:rsid w:val="00837B09"/>
    <w:rsid w:val="00842A56"/>
    <w:rsid w:val="00842C51"/>
    <w:rsid w:val="008437D5"/>
    <w:rsid w:val="00843E8E"/>
    <w:rsid w:val="00843FAA"/>
    <w:rsid w:val="008466B3"/>
    <w:rsid w:val="00847514"/>
    <w:rsid w:val="00847E27"/>
    <w:rsid w:val="008502AF"/>
    <w:rsid w:val="008511A9"/>
    <w:rsid w:val="00853D22"/>
    <w:rsid w:val="008559A3"/>
    <w:rsid w:val="00856438"/>
    <w:rsid w:val="00857C59"/>
    <w:rsid w:val="00860FF7"/>
    <w:rsid w:val="0086136C"/>
    <w:rsid w:val="00862AE1"/>
    <w:rsid w:val="00863E5E"/>
    <w:rsid w:val="00865A05"/>
    <w:rsid w:val="008674E0"/>
    <w:rsid w:val="00870088"/>
    <w:rsid w:val="008700CD"/>
    <w:rsid w:val="0087020E"/>
    <w:rsid w:val="008710AF"/>
    <w:rsid w:val="00871355"/>
    <w:rsid w:val="0087185B"/>
    <w:rsid w:val="0087741A"/>
    <w:rsid w:val="00880993"/>
    <w:rsid w:val="00880B00"/>
    <w:rsid w:val="00881200"/>
    <w:rsid w:val="00881240"/>
    <w:rsid w:val="00881336"/>
    <w:rsid w:val="00881E51"/>
    <w:rsid w:val="00883722"/>
    <w:rsid w:val="00884604"/>
    <w:rsid w:val="00885C6B"/>
    <w:rsid w:val="008900E5"/>
    <w:rsid w:val="0089036E"/>
    <w:rsid w:val="00893A32"/>
    <w:rsid w:val="00894863"/>
    <w:rsid w:val="00895367"/>
    <w:rsid w:val="00896ABC"/>
    <w:rsid w:val="0089725C"/>
    <w:rsid w:val="008A0447"/>
    <w:rsid w:val="008A076E"/>
    <w:rsid w:val="008A0ACB"/>
    <w:rsid w:val="008A0DFF"/>
    <w:rsid w:val="008A25DE"/>
    <w:rsid w:val="008A2E69"/>
    <w:rsid w:val="008A3F66"/>
    <w:rsid w:val="008A5DDB"/>
    <w:rsid w:val="008A6CD7"/>
    <w:rsid w:val="008A7545"/>
    <w:rsid w:val="008B0063"/>
    <w:rsid w:val="008B06C7"/>
    <w:rsid w:val="008B1D63"/>
    <w:rsid w:val="008B696D"/>
    <w:rsid w:val="008C2315"/>
    <w:rsid w:val="008C25C8"/>
    <w:rsid w:val="008C4048"/>
    <w:rsid w:val="008C6AD5"/>
    <w:rsid w:val="008C6B72"/>
    <w:rsid w:val="008C6C72"/>
    <w:rsid w:val="008C7683"/>
    <w:rsid w:val="008D0BB5"/>
    <w:rsid w:val="008D1423"/>
    <w:rsid w:val="008D1FAC"/>
    <w:rsid w:val="008D2022"/>
    <w:rsid w:val="008D2A24"/>
    <w:rsid w:val="008D2B36"/>
    <w:rsid w:val="008D6067"/>
    <w:rsid w:val="008D6BE5"/>
    <w:rsid w:val="008E0330"/>
    <w:rsid w:val="008E0435"/>
    <w:rsid w:val="008E0D1A"/>
    <w:rsid w:val="008E7EBA"/>
    <w:rsid w:val="008F0BAF"/>
    <w:rsid w:val="008F0F45"/>
    <w:rsid w:val="008F131E"/>
    <w:rsid w:val="008F1B6D"/>
    <w:rsid w:val="008F1C7C"/>
    <w:rsid w:val="008F22E0"/>
    <w:rsid w:val="008F246F"/>
    <w:rsid w:val="008F2840"/>
    <w:rsid w:val="008F5824"/>
    <w:rsid w:val="008F5C07"/>
    <w:rsid w:val="008F666A"/>
    <w:rsid w:val="008F6C15"/>
    <w:rsid w:val="008F7456"/>
    <w:rsid w:val="008F74A2"/>
    <w:rsid w:val="008F7584"/>
    <w:rsid w:val="0090014E"/>
    <w:rsid w:val="00901794"/>
    <w:rsid w:val="00901CE7"/>
    <w:rsid w:val="009036E6"/>
    <w:rsid w:val="00904B1C"/>
    <w:rsid w:val="00904FA8"/>
    <w:rsid w:val="009050AA"/>
    <w:rsid w:val="009052CA"/>
    <w:rsid w:val="00905810"/>
    <w:rsid w:val="0090643F"/>
    <w:rsid w:val="009076D8"/>
    <w:rsid w:val="00910470"/>
    <w:rsid w:val="0091097C"/>
    <w:rsid w:val="00911044"/>
    <w:rsid w:val="00912E24"/>
    <w:rsid w:val="0091335C"/>
    <w:rsid w:val="00914112"/>
    <w:rsid w:val="009145C9"/>
    <w:rsid w:val="00915CAB"/>
    <w:rsid w:val="00915EB5"/>
    <w:rsid w:val="00920C09"/>
    <w:rsid w:val="00922A56"/>
    <w:rsid w:val="0092343D"/>
    <w:rsid w:val="00924CF9"/>
    <w:rsid w:val="00924D7D"/>
    <w:rsid w:val="00925DD4"/>
    <w:rsid w:val="0093085A"/>
    <w:rsid w:val="00930F2E"/>
    <w:rsid w:val="009312F5"/>
    <w:rsid w:val="0093283C"/>
    <w:rsid w:val="0093297D"/>
    <w:rsid w:val="00934641"/>
    <w:rsid w:val="0093650C"/>
    <w:rsid w:val="00936939"/>
    <w:rsid w:val="0093727C"/>
    <w:rsid w:val="009373A3"/>
    <w:rsid w:val="009402EA"/>
    <w:rsid w:val="00941D06"/>
    <w:rsid w:val="009420D6"/>
    <w:rsid w:val="009426D2"/>
    <w:rsid w:val="00943DFE"/>
    <w:rsid w:val="0094410E"/>
    <w:rsid w:val="00944572"/>
    <w:rsid w:val="00946BF0"/>
    <w:rsid w:val="00947602"/>
    <w:rsid w:val="00947DBD"/>
    <w:rsid w:val="00950730"/>
    <w:rsid w:val="009511B7"/>
    <w:rsid w:val="00951FC4"/>
    <w:rsid w:val="00953BD2"/>
    <w:rsid w:val="00954A4E"/>
    <w:rsid w:val="00954C1E"/>
    <w:rsid w:val="00954FD0"/>
    <w:rsid w:val="00962398"/>
    <w:rsid w:val="00962E55"/>
    <w:rsid w:val="00962EDA"/>
    <w:rsid w:val="00964A52"/>
    <w:rsid w:val="00964A6E"/>
    <w:rsid w:val="009653A0"/>
    <w:rsid w:val="00965CA4"/>
    <w:rsid w:val="00966D7F"/>
    <w:rsid w:val="009702A0"/>
    <w:rsid w:val="00972D7A"/>
    <w:rsid w:val="0097346C"/>
    <w:rsid w:val="00973FBE"/>
    <w:rsid w:val="0097491E"/>
    <w:rsid w:val="00975980"/>
    <w:rsid w:val="009762F3"/>
    <w:rsid w:val="00977D1C"/>
    <w:rsid w:val="009809A8"/>
    <w:rsid w:val="00980D04"/>
    <w:rsid w:val="00982035"/>
    <w:rsid w:val="00982755"/>
    <w:rsid w:val="00983828"/>
    <w:rsid w:val="00983EF0"/>
    <w:rsid w:val="00986713"/>
    <w:rsid w:val="00987645"/>
    <w:rsid w:val="0099304B"/>
    <w:rsid w:val="00996152"/>
    <w:rsid w:val="0099634B"/>
    <w:rsid w:val="009963A1"/>
    <w:rsid w:val="009963EE"/>
    <w:rsid w:val="00997D07"/>
    <w:rsid w:val="009A0B56"/>
    <w:rsid w:val="009A155F"/>
    <w:rsid w:val="009A21CA"/>
    <w:rsid w:val="009A2616"/>
    <w:rsid w:val="009A2977"/>
    <w:rsid w:val="009A29DB"/>
    <w:rsid w:val="009A5C3D"/>
    <w:rsid w:val="009A7CEC"/>
    <w:rsid w:val="009B0095"/>
    <w:rsid w:val="009B1AAA"/>
    <w:rsid w:val="009B5389"/>
    <w:rsid w:val="009B74E0"/>
    <w:rsid w:val="009B7CEC"/>
    <w:rsid w:val="009C0644"/>
    <w:rsid w:val="009C14C1"/>
    <w:rsid w:val="009C2DD9"/>
    <w:rsid w:val="009C2FC2"/>
    <w:rsid w:val="009C3A6B"/>
    <w:rsid w:val="009C431A"/>
    <w:rsid w:val="009C48F0"/>
    <w:rsid w:val="009C52BF"/>
    <w:rsid w:val="009D154A"/>
    <w:rsid w:val="009D4149"/>
    <w:rsid w:val="009D5BF6"/>
    <w:rsid w:val="009D720A"/>
    <w:rsid w:val="009D7CA5"/>
    <w:rsid w:val="009D7FF0"/>
    <w:rsid w:val="009E0A41"/>
    <w:rsid w:val="009E0F5E"/>
    <w:rsid w:val="009E1ED9"/>
    <w:rsid w:val="009E2204"/>
    <w:rsid w:val="009E27D8"/>
    <w:rsid w:val="009E3264"/>
    <w:rsid w:val="009E32C7"/>
    <w:rsid w:val="009E3737"/>
    <w:rsid w:val="009E3E94"/>
    <w:rsid w:val="009E4EA9"/>
    <w:rsid w:val="009E561C"/>
    <w:rsid w:val="009F2E19"/>
    <w:rsid w:val="009F2F53"/>
    <w:rsid w:val="009F5C0F"/>
    <w:rsid w:val="00A01590"/>
    <w:rsid w:val="00A019A0"/>
    <w:rsid w:val="00A020E3"/>
    <w:rsid w:val="00A02BE7"/>
    <w:rsid w:val="00A0370B"/>
    <w:rsid w:val="00A03803"/>
    <w:rsid w:val="00A06702"/>
    <w:rsid w:val="00A067F2"/>
    <w:rsid w:val="00A06B3E"/>
    <w:rsid w:val="00A0724A"/>
    <w:rsid w:val="00A1004D"/>
    <w:rsid w:val="00A10CBA"/>
    <w:rsid w:val="00A12448"/>
    <w:rsid w:val="00A13256"/>
    <w:rsid w:val="00A13764"/>
    <w:rsid w:val="00A14AE7"/>
    <w:rsid w:val="00A14D00"/>
    <w:rsid w:val="00A15416"/>
    <w:rsid w:val="00A15684"/>
    <w:rsid w:val="00A16078"/>
    <w:rsid w:val="00A16C00"/>
    <w:rsid w:val="00A1783D"/>
    <w:rsid w:val="00A206CA"/>
    <w:rsid w:val="00A22282"/>
    <w:rsid w:val="00A2376E"/>
    <w:rsid w:val="00A243DC"/>
    <w:rsid w:val="00A244EE"/>
    <w:rsid w:val="00A253EE"/>
    <w:rsid w:val="00A2610B"/>
    <w:rsid w:val="00A27B50"/>
    <w:rsid w:val="00A27B5D"/>
    <w:rsid w:val="00A310AD"/>
    <w:rsid w:val="00A311CA"/>
    <w:rsid w:val="00A33D79"/>
    <w:rsid w:val="00A35388"/>
    <w:rsid w:val="00A3687E"/>
    <w:rsid w:val="00A41CD4"/>
    <w:rsid w:val="00A42002"/>
    <w:rsid w:val="00A43A37"/>
    <w:rsid w:val="00A45B20"/>
    <w:rsid w:val="00A46A68"/>
    <w:rsid w:val="00A47819"/>
    <w:rsid w:val="00A516F4"/>
    <w:rsid w:val="00A52D68"/>
    <w:rsid w:val="00A52EAF"/>
    <w:rsid w:val="00A54423"/>
    <w:rsid w:val="00A56151"/>
    <w:rsid w:val="00A56493"/>
    <w:rsid w:val="00A56A3B"/>
    <w:rsid w:val="00A57C5B"/>
    <w:rsid w:val="00A57C71"/>
    <w:rsid w:val="00A611A5"/>
    <w:rsid w:val="00A6209B"/>
    <w:rsid w:val="00A6243F"/>
    <w:rsid w:val="00A6380F"/>
    <w:rsid w:val="00A63DBB"/>
    <w:rsid w:val="00A67EA4"/>
    <w:rsid w:val="00A74637"/>
    <w:rsid w:val="00A74ADD"/>
    <w:rsid w:val="00A757C4"/>
    <w:rsid w:val="00A775AA"/>
    <w:rsid w:val="00A77CA6"/>
    <w:rsid w:val="00A77D08"/>
    <w:rsid w:val="00A80A7E"/>
    <w:rsid w:val="00A80D6F"/>
    <w:rsid w:val="00A80E49"/>
    <w:rsid w:val="00A81B35"/>
    <w:rsid w:val="00A81C6E"/>
    <w:rsid w:val="00A82445"/>
    <w:rsid w:val="00A82E65"/>
    <w:rsid w:val="00A837A8"/>
    <w:rsid w:val="00A846D9"/>
    <w:rsid w:val="00A849F3"/>
    <w:rsid w:val="00A84EBD"/>
    <w:rsid w:val="00A84F2F"/>
    <w:rsid w:val="00A850C5"/>
    <w:rsid w:val="00A86E6D"/>
    <w:rsid w:val="00A873EB"/>
    <w:rsid w:val="00A874C8"/>
    <w:rsid w:val="00A90783"/>
    <w:rsid w:val="00A909E3"/>
    <w:rsid w:val="00A92A2B"/>
    <w:rsid w:val="00A93FF3"/>
    <w:rsid w:val="00A94C70"/>
    <w:rsid w:val="00A95577"/>
    <w:rsid w:val="00A96611"/>
    <w:rsid w:val="00A96BCB"/>
    <w:rsid w:val="00A97A2A"/>
    <w:rsid w:val="00AA0C13"/>
    <w:rsid w:val="00AA15ED"/>
    <w:rsid w:val="00AA35DD"/>
    <w:rsid w:val="00AA508C"/>
    <w:rsid w:val="00AA6136"/>
    <w:rsid w:val="00AB01B0"/>
    <w:rsid w:val="00AB103C"/>
    <w:rsid w:val="00AB1505"/>
    <w:rsid w:val="00AB17A8"/>
    <w:rsid w:val="00AB220B"/>
    <w:rsid w:val="00AB2F9D"/>
    <w:rsid w:val="00AB3608"/>
    <w:rsid w:val="00AB39EF"/>
    <w:rsid w:val="00AB5649"/>
    <w:rsid w:val="00AB595B"/>
    <w:rsid w:val="00AB610D"/>
    <w:rsid w:val="00AB6C7E"/>
    <w:rsid w:val="00AB7535"/>
    <w:rsid w:val="00AC0854"/>
    <w:rsid w:val="00AC1D0E"/>
    <w:rsid w:val="00AC3037"/>
    <w:rsid w:val="00AC3379"/>
    <w:rsid w:val="00AC46B1"/>
    <w:rsid w:val="00AC4D36"/>
    <w:rsid w:val="00AC5433"/>
    <w:rsid w:val="00AC55BF"/>
    <w:rsid w:val="00AC60BD"/>
    <w:rsid w:val="00AC7775"/>
    <w:rsid w:val="00AC7873"/>
    <w:rsid w:val="00AC7FBE"/>
    <w:rsid w:val="00AD04A9"/>
    <w:rsid w:val="00AD06A9"/>
    <w:rsid w:val="00AD22CC"/>
    <w:rsid w:val="00AD4550"/>
    <w:rsid w:val="00AD544A"/>
    <w:rsid w:val="00AD7CB2"/>
    <w:rsid w:val="00AD7DCD"/>
    <w:rsid w:val="00AE0AA7"/>
    <w:rsid w:val="00AE0BC7"/>
    <w:rsid w:val="00AE25A0"/>
    <w:rsid w:val="00AE2D70"/>
    <w:rsid w:val="00AE38A7"/>
    <w:rsid w:val="00AE3D71"/>
    <w:rsid w:val="00AE454F"/>
    <w:rsid w:val="00AE49E6"/>
    <w:rsid w:val="00AE4E73"/>
    <w:rsid w:val="00AE4FD6"/>
    <w:rsid w:val="00AE547B"/>
    <w:rsid w:val="00AE665E"/>
    <w:rsid w:val="00AE71B7"/>
    <w:rsid w:val="00AE7E5A"/>
    <w:rsid w:val="00AF2985"/>
    <w:rsid w:val="00AF2CF8"/>
    <w:rsid w:val="00AF3E3B"/>
    <w:rsid w:val="00AF448B"/>
    <w:rsid w:val="00AF5896"/>
    <w:rsid w:val="00AF7CE4"/>
    <w:rsid w:val="00B00166"/>
    <w:rsid w:val="00B004AE"/>
    <w:rsid w:val="00B00786"/>
    <w:rsid w:val="00B01642"/>
    <w:rsid w:val="00B04DF1"/>
    <w:rsid w:val="00B051C1"/>
    <w:rsid w:val="00B05389"/>
    <w:rsid w:val="00B127FD"/>
    <w:rsid w:val="00B14292"/>
    <w:rsid w:val="00B145D0"/>
    <w:rsid w:val="00B14D98"/>
    <w:rsid w:val="00B15CD5"/>
    <w:rsid w:val="00B15F70"/>
    <w:rsid w:val="00B15F98"/>
    <w:rsid w:val="00B1687E"/>
    <w:rsid w:val="00B20654"/>
    <w:rsid w:val="00B217B9"/>
    <w:rsid w:val="00B21DAD"/>
    <w:rsid w:val="00B243AE"/>
    <w:rsid w:val="00B244AE"/>
    <w:rsid w:val="00B25966"/>
    <w:rsid w:val="00B26088"/>
    <w:rsid w:val="00B2734B"/>
    <w:rsid w:val="00B324C0"/>
    <w:rsid w:val="00B33F49"/>
    <w:rsid w:val="00B366EA"/>
    <w:rsid w:val="00B36CF8"/>
    <w:rsid w:val="00B36D59"/>
    <w:rsid w:val="00B37831"/>
    <w:rsid w:val="00B40323"/>
    <w:rsid w:val="00B40587"/>
    <w:rsid w:val="00B41D95"/>
    <w:rsid w:val="00B43413"/>
    <w:rsid w:val="00B463AD"/>
    <w:rsid w:val="00B46BB0"/>
    <w:rsid w:val="00B5004F"/>
    <w:rsid w:val="00B509BD"/>
    <w:rsid w:val="00B52768"/>
    <w:rsid w:val="00B529BE"/>
    <w:rsid w:val="00B53F5A"/>
    <w:rsid w:val="00B543AD"/>
    <w:rsid w:val="00B54508"/>
    <w:rsid w:val="00B55D1F"/>
    <w:rsid w:val="00B5623E"/>
    <w:rsid w:val="00B5757C"/>
    <w:rsid w:val="00B57A1A"/>
    <w:rsid w:val="00B60677"/>
    <w:rsid w:val="00B63618"/>
    <w:rsid w:val="00B6554C"/>
    <w:rsid w:val="00B6760D"/>
    <w:rsid w:val="00B72005"/>
    <w:rsid w:val="00B72DFE"/>
    <w:rsid w:val="00B72E0F"/>
    <w:rsid w:val="00B74227"/>
    <w:rsid w:val="00B75A9F"/>
    <w:rsid w:val="00B7678D"/>
    <w:rsid w:val="00B767C7"/>
    <w:rsid w:val="00B778A6"/>
    <w:rsid w:val="00B779D5"/>
    <w:rsid w:val="00B81E9F"/>
    <w:rsid w:val="00B83075"/>
    <w:rsid w:val="00B85093"/>
    <w:rsid w:val="00B85FA2"/>
    <w:rsid w:val="00B871D2"/>
    <w:rsid w:val="00B87462"/>
    <w:rsid w:val="00B8769A"/>
    <w:rsid w:val="00B878C3"/>
    <w:rsid w:val="00B90623"/>
    <w:rsid w:val="00B90D32"/>
    <w:rsid w:val="00B910CF"/>
    <w:rsid w:val="00B92708"/>
    <w:rsid w:val="00B936AB"/>
    <w:rsid w:val="00B96416"/>
    <w:rsid w:val="00B96AD4"/>
    <w:rsid w:val="00BA0273"/>
    <w:rsid w:val="00BA0806"/>
    <w:rsid w:val="00BA0BBE"/>
    <w:rsid w:val="00BA0EC7"/>
    <w:rsid w:val="00BA2542"/>
    <w:rsid w:val="00BA2924"/>
    <w:rsid w:val="00BA3DAF"/>
    <w:rsid w:val="00BA6C5E"/>
    <w:rsid w:val="00BA6F86"/>
    <w:rsid w:val="00BA70EA"/>
    <w:rsid w:val="00BB199F"/>
    <w:rsid w:val="00BB2001"/>
    <w:rsid w:val="00BB30F6"/>
    <w:rsid w:val="00BB328F"/>
    <w:rsid w:val="00BB44BB"/>
    <w:rsid w:val="00BB5779"/>
    <w:rsid w:val="00BB5F57"/>
    <w:rsid w:val="00BB63A5"/>
    <w:rsid w:val="00BB7532"/>
    <w:rsid w:val="00BB7BE1"/>
    <w:rsid w:val="00BC148F"/>
    <w:rsid w:val="00BC21DB"/>
    <w:rsid w:val="00BC3B10"/>
    <w:rsid w:val="00BC3D10"/>
    <w:rsid w:val="00BC4401"/>
    <w:rsid w:val="00BD017A"/>
    <w:rsid w:val="00BD2471"/>
    <w:rsid w:val="00BD2AF2"/>
    <w:rsid w:val="00BD2EAC"/>
    <w:rsid w:val="00BD421A"/>
    <w:rsid w:val="00BD439C"/>
    <w:rsid w:val="00BD6832"/>
    <w:rsid w:val="00BE1440"/>
    <w:rsid w:val="00BE18EF"/>
    <w:rsid w:val="00BE5245"/>
    <w:rsid w:val="00BE6837"/>
    <w:rsid w:val="00BF18D2"/>
    <w:rsid w:val="00BF1A2D"/>
    <w:rsid w:val="00BF1C23"/>
    <w:rsid w:val="00BF264D"/>
    <w:rsid w:val="00BF6451"/>
    <w:rsid w:val="00BF7D6A"/>
    <w:rsid w:val="00C00264"/>
    <w:rsid w:val="00C01E51"/>
    <w:rsid w:val="00C05CC4"/>
    <w:rsid w:val="00C06575"/>
    <w:rsid w:val="00C114A7"/>
    <w:rsid w:val="00C14BEC"/>
    <w:rsid w:val="00C179D4"/>
    <w:rsid w:val="00C211CC"/>
    <w:rsid w:val="00C218F8"/>
    <w:rsid w:val="00C21C5A"/>
    <w:rsid w:val="00C23912"/>
    <w:rsid w:val="00C23C74"/>
    <w:rsid w:val="00C2628A"/>
    <w:rsid w:val="00C262FB"/>
    <w:rsid w:val="00C26576"/>
    <w:rsid w:val="00C26C25"/>
    <w:rsid w:val="00C275CC"/>
    <w:rsid w:val="00C31B7D"/>
    <w:rsid w:val="00C325A2"/>
    <w:rsid w:val="00C32AFE"/>
    <w:rsid w:val="00C33E52"/>
    <w:rsid w:val="00C345B6"/>
    <w:rsid w:val="00C34D5B"/>
    <w:rsid w:val="00C35D65"/>
    <w:rsid w:val="00C36010"/>
    <w:rsid w:val="00C3643C"/>
    <w:rsid w:val="00C373A6"/>
    <w:rsid w:val="00C40C49"/>
    <w:rsid w:val="00C41F16"/>
    <w:rsid w:val="00C4230E"/>
    <w:rsid w:val="00C4251B"/>
    <w:rsid w:val="00C42C3A"/>
    <w:rsid w:val="00C45734"/>
    <w:rsid w:val="00C470DB"/>
    <w:rsid w:val="00C47BFA"/>
    <w:rsid w:val="00C50BB7"/>
    <w:rsid w:val="00C52C1C"/>
    <w:rsid w:val="00C5346B"/>
    <w:rsid w:val="00C54D98"/>
    <w:rsid w:val="00C565B1"/>
    <w:rsid w:val="00C56DD3"/>
    <w:rsid w:val="00C57173"/>
    <w:rsid w:val="00C61760"/>
    <w:rsid w:val="00C61FB4"/>
    <w:rsid w:val="00C62A13"/>
    <w:rsid w:val="00C64F59"/>
    <w:rsid w:val="00C6566D"/>
    <w:rsid w:val="00C67A2A"/>
    <w:rsid w:val="00C7227C"/>
    <w:rsid w:val="00C72C09"/>
    <w:rsid w:val="00C734D0"/>
    <w:rsid w:val="00C73B75"/>
    <w:rsid w:val="00C753ED"/>
    <w:rsid w:val="00C75614"/>
    <w:rsid w:val="00C75AA7"/>
    <w:rsid w:val="00C7618A"/>
    <w:rsid w:val="00C76626"/>
    <w:rsid w:val="00C77FFC"/>
    <w:rsid w:val="00C802CA"/>
    <w:rsid w:val="00C81651"/>
    <w:rsid w:val="00C831C3"/>
    <w:rsid w:val="00C8374F"/>
    <w:rsid w:val="00C840F6"/>
    <w:rsid w:val="00C85B20"/>
    <w:rsid w:val="00C85E6E"/>
    <w:rsid w:val="00C874DE"/>
    <w:rsid w:val="00C87E15"/>
    <w:rsid w:val="00C92F28"/>
    <w:rsid w:val="00C93BBC"/>
    <w:rsid w:val="00C9480D"/>
    <w:rsid w:val="00C954B9"/>
    <w:rsid w:val="00C96156"/>
    <w:rsid w:val="00C976D2"/>
    <w:rsid w:val="00CA1196"/>
    <w:rsid w:val="00CA1555"/>
    <w:rsid w:val="00CA163A"/>
    <w:rsid w:val="00CA17D7"/>
    <w:rsid w:val="00CA2998"/>
    <w:rsid w:val="00CA352C"/>
    <w:rsid w:val="00CA3637"/>
    <w:rsid w:val="00CA3A62"/>
    <w:rsid w:val="00CA71B0"/>
    <w:rsid w:val="00CA73C3"/>
    <w:rsid w:val="00CA7D47"/>
    <w:rsid w:val="00CB022B"/>
    <w:rsid w:val="00CB0B01"/>
    <w:rsid w:val="00CB2089"/>
    <w:rsid w:val="00CB2934"/>
    <w:rsid w:val="00CB385E"/>
    <w:rsid w:val="00CB3AA9"/>
    <w:rsid w:val="00CB53D1"/>
    <w:rsid w:val="00CB5B27"/>
    <w:rsid w:val="00CB5D5A"/>
    <w:rsid w:val="00CB619F"/>
    <w:rsid w:val="00CB67D7"/>
    <w:rsid w:val="00CB6C7A"/>
    <w:rsid w:val="00CB7B3C"/>
    <w:rsid w:val="00CC0ED0"/>
    <w:rsid w:val="00CC1872"/>
    <w:rsid w:val="00CC2DEC"/>
    <w:rsid w:val="00CC4995"/>
    <w:rsid w:val="00CC538F"/>
    <w:rsid w:val="00CC78D4"/>
    <w:rsid w:val="00CC7F3F"/>
    <w:rsid w:val="00CD544A"/>
    <w:rsid w:val="00CE33F1"/>
    <w:rsid w:val="00CE35B0"/>
    <w:rsid w:val="00CE5068"/>
    <w:rsid w:val="00CE51BF"/>
    <w:rsid w:val="00CE57F9"/>
    <w:rsid w:val="00CE7044"/>
    <w:rsid w:val="00CF06B9"/>
    <w:rsid w:val="00CF0AE6"/>
    <w:rsid w:val="00CF3A31"/>
    <w:rsid w:val="00CF542C"/>
    <w:rsid w:val="00CF5942"/>
    <w:rsid w:val="00CF691F"/>
    <w:rsid w:val="00CF6C26"/>
    <w:rsid w:val="00CF7E38"/>
    <w:rsid w:val="00D00D01"/>
    <w:rsid w:val="00D04B4D"/>
    <w:rsid w:val="00D05EE7"/>
    <w:rsid w:val="00D076DA"/>
    <w:rsid w:val="00D11F45"/>
    <w:rsid w:val="00D13B0A"/>
    <w:rsid w:val="00D13C7E"/>
    <w:rsid w:val="00D14B88"/>
    <w:rsid w:val="00D16D78"/>
    <w:rsid w:val="00D16EBE"/>
    <w:rsid w:val="00D171A0"/>
    <w:rsid w:val="00D17D66"/>
    <w:rsid w:val="00D203E3"/>
    <w:rsid w:val="00D21C59"/>
    <w:rsid w:val="00D237DB"/>
    <w:rsid w:val="00D2388F"/>
    <w:rsid w:val="00D23C04"/>
    <w:rsid w:val="00D300ED"/>
    <w:rsid w:val="00D30C55"/>
    <w:rsid w:val="00D32021"/>
    <w:rsid w:val="00D322E0"/>
    <w:rsid w:val="00D331B3"/>
    <w:rsid w:val="00D3323B"/>
    <w:rsid w:val="00D34990"/>
    <w:rsid w:val="00D34E44"/>
    <w:rsid w:val="00D35AED"/>
    <w:rsid w:val="00D360DE"/>
    <w:rsid w:val="00D36375"/>
    <w:rsid w:val="00D37FC4"/>
    <w:rsid w:val="00D40886"/>
    <w:rsid w:val="00D40B48"/>
    <w:rsid w:val="00D41012"/>
    <w:rsid w:val="00D419FE"/>
    <w:rsid w:val="00D43686"/>
    <w:rsid w:val="00D44C3E"/>
    <w:rsid w:val="00D471E0"/>
    <w:rsid w:val="00D478B8"/>
    <w:rsid w:val="00D51412"/>
    <w:rsid w:val="00D52454"/>
    <w:rsid w:val="00D53FE9"/>
    <w:rsid w:val="00D5471E"/>
    <w:rsid w:val="00D5568B"/>
    <w:rsid w:val="00D5587F"/>
    <w:rsid w:val="00D55F6E"/>
    <w:rsid w:val="00D5631B"/>
    <w:rsid w:val="00D56797"/>
    <w:rsid w:val="00D56EE5"/>
    <w:rsid w:val="00D56FAB"/>
    <w:rsid w:val="00D60276"/>
    <w:rsid w:val="00D630BB"/>
    <w:rsid w:val="00D63D96"/>
    <w:rsid w:val="00D649ED"/>
    <w:rsid w:val="00D64ECA"/>
    <w:rsid w:val="00D726FB"/>
    <w:rsid w:val="00D72977"/>
    <w:rsid w:val="00D738EB"/>
    <w:rsid w:val="00D742A4"/>
    <w:rsid w:val="00D77070"/>
    <w:rsid w:val="00D80D70"/>
    <w:rsid w:val="00D81591"/>
    <w:rsid w:val="00D8296D"/>
    <w:rsid w:val="00D82C53"/>
    <w:rsid w:val="00D830C1"/>
    <w:rsid w:val="00D83B08"/>
    <w:rsid w:val="00D84A76"/>
    <w:rsid w:val="00D84C35"/>
    <w:rsid w:val="00D86D70"/>
    <w:rsid w:val="00D87323"/>
    <w:rsid w:val="00D902B8"/>
    <w:rsid w:val="00D90BCF"/>
    <w:rsid w:val="00D9171F"/>
    <w:rsid w:val="00D92608"/>
    <w:rsid w:val="00D94621"/>
    <w:rsid w:val="00D9557E"/>
    <w:rsid w:val="00D95D08"/>
    <w:rsid w:val="00D96778"/>
    <w:rsid w:val="00D96FE0"/>
    <w:rsid w:val="00D97914"/>
    <w:rsid w:val="00D97B32"/>
    <w:rsid w:val="00D97CCE"/>
    <w:rsid w:val="00DA146D"/>
    <w:rsid w:val="00DA1A3B"/>
    <w:rsid w:val="00DA2D92"/>
    <w:rsid w:val="00DA2D9C"/>
    <w:rsid w:val="00DA3CF5"/>
    <w:rsid w:val="00DA45B0"/>
    <w:rsid w:val="00DA4F39"/>
    <w:rsid w:val="00DA561B"/>
    <w:rsid w:val="00DA6C1F"/>
    <w:rsid w:val="00DA6E8C"/>
    <w:rsid w:val="00DB02E9"/>
    <w:rsid w:val="00DB0784"/>
    <w:rsid w:val="00DB1135"/>
    <w:rsid w:val="00DB18BC"/>
    <w:rsid w:val="00DB1D86"/>
    <w:rsid w:val="00DB379A"/>
    <w:rsid w:val="00DB39AB"/>
    <w:rsid w:val="00DB5069"/>
    <w:rsid w:val="00DB68D7"/>
    <w:rsid w:val="00DB738D"/>
    <w:rsid w:val="00DC1A20"/>
    <w:rsid w:val="00DC2D14"/>
    <w:rsid w:val="00DC5149"/>
    <w:rsid w:val="00DC53ED"/>
    <w:rsid w:val="00DC745B"/>
    <w:rsid w:val="00DC7760"/>
    <w:rsid w:val="00DD091C"/>
    <w:rsid w:val="00DD14D3"/>
    <w:rsid w:val="00DD17D6"/>
    <w:rsid w:val="00DD1EF7"/>
    <w:rsid w:val="00DD2193"/>
    <w:rsid w:val="00DD5588"/>
    <w:rsid w:val="00DD7BE1"/>
    <w:rsid w:val="00DE0A37"/>
    <w:rsid w:val="00DE1958"/>
    <w:rsid w:val="00DE37EE"/>
    <w:rsid w:val="00DE3A2F"/>
    <w:rsid w:val="00DE431B"/>
    <w:rsid w:val="00DE4AA2"/>
    <w:rsid w:val="00DE5362"/>
    <w:rsid w:val="00DE6329"/>
    <w:rsid w:val="00DE76B9"/>
    <w:rsid w:val="00DF0EAE"/>
    <w:rsid w:val="00DF2ACA"/>
    <w:rsid w:val="00DF2CD8"/>
    <w:rsid w:val="00DF30D3"/>
    <w:rsid w:val="00DF4332"/>
    <w:rsid w:val="00DF5535"/>
    <w:rsid w:val="00DF68EA"/>
    <w:rsid w:val="00E01B88"/>
    <w:rsid w:val="00E030FA"/>
    <w:rsid w:val="00E05051"/>
    <w:rsid w:val="00E05FF1"/>
    <w:rsid w:val="00E10B7F"/>
    <w:rsid w:val="00E14139"/>
    <w:rsid w:val="00E14B35"/>
    <w:rsid w:val="00E1574D"/>
    <w:rsid w:val="00E1603A"/>
    <w:rsid w:val="00E22256"/>
    <w:rsid w:val="00E22638"/>
    <w:rsid w:val="00E22749"/>
    <w:rsid w:val="00E240F0"/>
    <w:rsid w:val="00E24B92"/>
    <w:rsid w:val="00E2572B"/>
    <w:rsid w:val="00E257A1"/>
    <w:rsid w:val="00E2717D"/>
    <w:rsid w:val="00E27DF1"/>
    <w:rsid w:val="00E30FAD"/>
    <w:rsid w:val="00E31A0E"/>
    <w:rsid w:val="00E32457"/>
    <w:rsid w:val="00E32849"/>
    <w:rsid w:val="00E33A71"/>
    <w:rsid w:val="00E36CB4"/>
    <w:rsid w:val="00E4032A"/>
    <w:rsid w:val="00E4362C"/>
    <w:rsid w:val="00E43CA8"/>
    <w:rsid w:val="00E45881"/>
    <w:rsid w:val="00E460F4"/>
    <w:rsid w:val="00E46709"/>
    <w:rsid w:val="00E469A5"/>
    <w:rsid w:val="00E534A2"/>
    <w:rsid w:val="00E543D5"/>
    <w:rsid w:val="00E54991"/>
    <w:rsid w:val="00E56BE9"/>
    <w:rsid w:val="00E56E7E"/>
    <w:rsid w:val="00E579ED"/>
    <w:rsid w:val="00E608FE"/>
    <w:rsid w:val="00E60D21"/>
    <w:rsid w:val="00E62349"/>
    <w:rsid w:val="00E62549"/>
    <w:rsid w:val="00E626EE"/>
    <w:rsid w:val="00E63891"/>
    <w:rsid w:val="00E63A1F"/>
    <w:rsid w:val="00E66B86"/>
    <w:rsid w:val="00E704AC"/>
    <w:rsid w:val="00E71D0B"/>
    <w:rsid w:val="00E7294C"/>
    <w:rsid w:val="00E742E5"/>
    <w:rsid w:val="00E7703F"/>
    <w:rsid w:val="00E77856"/>
    <w:rsid w:val="00E77F29"/>
    <w:rsid w:val="00E80C8C"/>
    <w:rsid w:val="00E81BC9"/>
    <w:rsid w:val="00E81C31"/>
    <w:rsid w:val="00E85054"/>
    <w:rsid w:val="00E86E6E"/>
    <w:rsid w:val="00E9155E"/>
    <w:rsid w:val="00E91571"/>
    <w:rsid w:val="00E91691"/>
    <w:rsid w:val="00E917FF"/>
    <w:rsid w:val="00E91916"/>
    <w:rsid w:val="00E92834"/>
    <w:rsid w:val="00E94F2E"/>
    <w:rsid w:val="00E95724"/>
    <w:rsid w:val="00EA1519"/>
    <w:rsid w:val="00EA1B02"/>
    <w:rsid w:val="00EA36BC"/>
    <w:rsid w:val="00EA3866"/>
    <w:rsid w:val="00EA3FBC"/>
    <w:rsid w:val="00EA47E6"/>
    <w:rsid w:val="00EA4D62"/>
    <w:rsid w:val="00EA5083"/>
    <w:rsid w:val="00EA5284"/>
    <w:rsid w:val="00EA6126"/>
    <w:rsid w:val="00EA7B20"/>
    <w:rsid w:val="00EA7B59"/>
    <w:rsid w:val="00EB0CFC"/>
    <w:rsid w:val="00EB1742"/>
    <w:rsid w:val="00EB210E"/>
    <w:rsid w:val="00EB4708"/>
    <w:rsid w:val="00EB4D5F"/>
    <w:rsid w:val="00EB6102"/>
    <w:rsid w:val="00EC0A95"/>
    <w:rsid w:val="00EC21E4"/>
    <w:rsid w:val="00EC3689"/>
    <w:rsid w:val="00EC3CAD"/>
    <w:rsid w:val="00EC6782"/>
    <w:rsid w:val="00EC6F42"/>
    <w:rsid w:val="00EC71FE"/>
    <w:rsid w:val="00EC7299"/>
    <w:rsid w:val="00EC7A31"/>
    <w:rsid w:val="00ED1999"/>
    <w:rsid w:val="00ED484F"/>
    <w:rsid w:val="00ED5B27"/>
    <w:rsid w:val="00ED6DB3"/>
    <w:rsid w:val="00ED6EB1"/>
    <w:rsid w:val="00ED751A"/>
    <w:rsid w:val="00ED7AAF"/>
    <w:rsid w:val="00ED7D75"/>
    <w:rsid w:val="00EE111D"/>
    <w:rsid w:val="00EE25DC"/>
    <w:rsid w:val="00EE39FB"/>
    <w:rsid w:val="00EE4598"/>
    <w:rsid w:val="00EE531B"/>
    <w:rsid w:val="00EE6762"/>
    <w:rsid w:val="00EE6BCA"/>
    <w:rsid w:val="00EF03C6"/>
    <w:rsid w:val="00EF0524"/>
    <w:rsid w:val="00EF08B7"/>
    <w:rsid w:val="00EF0A13"/>
    <w:rsid w:val="00EF1726"/>
    <w:rsid w:val="00EF1E0D"/>
    <w:rsid w:val="00EF2602"/>
    <w:rsid w:val="00EF326B"/>
    <w:rsid w:val="00EF382C"/>
    <w:rsid w:val="00EF3CC8"/>
    <w:rsid w:val="00EF4C8C"/>
    <w:rsid w:val="00EF6132"/>
    <w:rsid w:val="00EF6EB7"/>
    <w:rsid w:val="00F01727"/>
    <w:rsid w:val="00F029E9"/>
    <w:rsid w:val="00F03823"/>
    <w:rsid w:val="00F03DBD"/>
    <w:rsid w:val="00F04D27"/>
    <w:rsid w:val="00F05502"/>
    <w:rsid w:val="00F05CE9"/>
    <w:rsid w:val="00F0715A"/>
    <w:rsid w:val="00F07891"/>
    <w:rsid w:val="00F07A51"/>
    <w:rsid w:val="00F148FF"/>
    <w:rsid w:val="00F15ABC"/>
    <w:rsid w:val="00F16652"/>
    <w:rsid w:val="00F178B1"/>
    <w:rsid w:val="00F17924"/>
    <w:rsid w:val="00F20C15"/>
    <w:rsid w:val="00F21F32"/>
    <w:rsid w:val="00F21F9F"/>
    <w:rsid w:val="00F27306"/>
    <w:rsid w:val="00F2774F"/>
    <w:rsid w:val="00F3114A"/>
    <w:rsid w:val="00F3192B"/>
    <w:rsid w:val="00F31BD3"/>
    <w:rsid w:val="00F32746"/>
    <w:rsid w:val="00F353DB"/>
    <w:rsid w:val="00F40919"/>
    <w:rsid w:val="00F420FA"/>
    <w:rsid w:val="00F43EDB"/>
    <w:rsid w:val="00F453D7"/>
    <w:rsid w:val="00F45578"/>
    <w:rsid w:val="00F465B8"/>
    <w:rsid w:val="00F46A57"/>
    <w:rsid w:val="00F46F52"/>
    <w:rsid w:val="00F475F5"/>
    <w:rsid w:val="00F50427"/>
    <w:rsid w:val="00F50552"/>
    <w:rsid w:val="00F51355"/>
    <w:rsid w:val="00F5152C"/>
    <w:rsid w:val="00F52F60"/>
    <w:rsid w:val="00F53424"/>
    <w:rsid w:val="00F5347D"/>
    <w:rsid w:val="00F53CD6"/>
    <w:rsid w:val="00F570DD"/>
    <w:rsid w:val="00F60AF5"/>
    <w:rsid w:val="00F60FA3"/>
    <w:rsid w:val="00F626B8"/>
    <w:rsid w:val="00F6338A"/>
    <w:rsid w:val="00F635F0"/>
    <w:rsid w:val="00F64854"/>
    <w:rsid w:val="00F658E9"/>
    <w:rsid w:val="00F669CD"/>
    <w:rsid w:val="00F67584"/>
    <w:rsid w:val="00F70030"/>
    <w:rsid w:val="00F703CF"/>
    <w:rsid w:val="00F71662"/>
    <w:rsid w:val="00F721F0"/>
    <w:rsid w:val="00F72475"/>
    <w:rsid w:val="00F7601C"/>
    <w:rsid w:val="00F7634F"/>
    <w:rsid w:val="00F80010"/>
    <w:rsid w:val="00F80F7D"/>
    <w:rsid w:val="00F81B56"/>
    <w:rsid w:val="00F81CA7"/>
    <w:rsid w:val="00F83E4E"/>
    <w:rsid w:val="00F868EB"/>
    <w:rsid w:val="00F91434"/>
    <w:rsid w:val="00F93C4E"/>
    <w:rsid w:val="00F9412C"/>
    <w:rsid w:val="00F94890"/>
    <w:rsid w:val="00F9533D"/>
    <w:rsid w:val="00F9541A"/>
    <w:rsid w:val="00F96358"/>
    <w:rsid w:val="00FA0458"/>
    <w:rsid w:val="00FA24EA"/>
    <w:rsid w:val="00FA4E55"/>
    <w:rsid w:val="00FB0033"/>
    <w:rsid w:val="00FB0ACB"/>
    <w:rsid w:val="00FB0DA6"/>
    <w:rsid w:val="00FB2745"/>
    <w:rsid w:val="00FB2A3F"/>
    <w:rsid w:val="00FB46B5"/>
    <w:rsid w:val="00FB655A"/>
    <w:rsid w:val="00FC091E"/>
    <w:rsid w:val="00FC0DE2"/>
    <w:rsid w:val="00FC12B6"/>
    <w:rsid w:val="00FC1EB7"/>
    <w:rsid w:val="00FC34B5"/>
    <w:rsid w:val="00FC5959"/>
    <w:rsid w:val="00FC67A6"/>
    <w:rsid w:val="00FC699E"/>
    <w:rsid w:val="00FC7767"/>
    <w:rsid w:val="00FD146A"/>
    <w:rsid w:val="00FD1543"/>
    <w:rsid w:val="00FD20F3"/>
    <w:rsid w:val="00FD2188"/>
    <w:rsid w:val="00FD2429"/>
    <w:rsid w:val="00FD28D8"/>
    <w:rsid w:val="00FD2C57"/>
    <w:rsid w:val="00FD3DF0"/>
    <w:rsid w:val="00FD4113"/>
    <w:rsid w:val="00FD5E2E"/>
    <w:rsid w:val="00FE1B3B"/>
    <w:rsid w:val="00FE2679"/>
    <w:rsid w:val="00FE34ED"/>
    <w:rsid w:val="00FE4337"/>
    <w:rsid w:val="00FE4904"/>
    <w:rsid w:val="00FE4C69"/>
    <w:rsid w:val="00FE57EE"/>
    <w:rsid w:val="00FE58C7"/>
    <w:rsid w:val="00FE7588"/>
    <w:rsid w:val="00FF1584"/>
    <w:rsid w:val="00FF37C2"/>
    <w:rsid w:val="00FF3BA5"/>
    <w:rsid w:val="00FF4D69"/>
    <w:rsid w:val="00FF4FAC"/>
    <w:rsid w:val="00FF508D"/>
    <w:rsid w:val="00FF746B"/>
    <w:rsid w:val="00FF7712"/>
    <w:rsid w:val="00FF79A9"/>
    <w:rsid w:val="01152B5F"/>
    <w:rsid w:val="012304E9"/>
    <w:rsid w:val="017F3EED"/>
    <w:rsid w:val="02206017"/>
    <w:rsid w:val="024677F2"/>
    <w:rsid w:val="02E35669"/>
    <w:rsid w:val="02EC7A94"/>
    <w:rsid w:val="036E5A21"/>
    <w:rsid w:val="03E6051C"/>
    <w:rsid w:val="0419631C"/>
    <w:rsid w:val="043240A2"/>
    <w:rsid w:val="04FB5A13"/>
    <w:rsid w:val="07EC6F0B"/>
    <w:rsid w:val="08327406"/>
    <w:rsid w:val="08433A0C"/>
    <w:rsid w:val="08965EEE"/>
    <w:rsid w:val="08A4443A"/>
    <w:rsid w:val="08CA63AF"/>
    <w:rsid w:val="0A37356D"/>
    <w:rsid w:val="0B8F2541"/>
    <w:rsid w:val="0DCB1BC3"/>
    <w:rsid w:val="0DE37B48"/>
    <w:rsid w:val="0E397051"/>
    <w:rsid w:val="0E537FC3"/>
    <w:rsid w:val="0EC6726F"/>
    <w:rsid w:val="0F4B692A"/>
    <w:rsid w:val="0FFF0A52"/>
    <w:rsid w:val="106519EC"/>
    <w:rsid w:val="108F3EB6"/>
    <w:rsid w:val="113E51CB"/>
    <w:rsid w:val="115171FB"/>
    <w:rsid w:val="116622C5"/>
    <w:rsid w:val="11A95B02"/>
    <w:rsid w:val="127C57D1"/>
    <w:rsid w:val="13163C28"/>
    <w:rsid w:val="136172A7"/>
    <w:rsid w:val="142349C8"/>
    <w:rsid w:val="162C5612"/>
    <w:rsid w:val="17C522FB"/>
    <w:rsid w:val="18A104D3"/>
    <w:rsid w:val="19B55AB3"/>
    <w:rsid w:val="19DD426E"/>
    <w:rsid w:val="1A9C317B"/>
    <w:rsid w:val="1AA470EC"/>
    <w:rsid w:val="1C041EE0"/>
    <w:rsid w:val="1D646708"/>
    <w:rsid w:val="1D6557FB"/>
    <w:rsid w:val="1DC03651"/>
    <w:rsid w:val="1EBF7192"/>
    <w:rsid w:val="1EF11CAE"/>
    <w:rsid w:val="1F31751A"/>
    <w:rsid w:val="1FE55C39"/>
    <w:rsid w:val="1FFC1957"/>
    <w:rsid w:val="20040FEB"/>
    <w:rsid w:val="21701FA9"/>
    <w:rsid w:val="21E130F9"/>
    <w:rsid w:val="221B5564"/>
    <w:rsid w:val="221C32B7"/>
    <w:rsid w:val="222A03BD"/>
    <w:rsid w:val="2266371B"/>
    <w:rsid w:val="227B643E"/>
    <w:rsid w:val="22803907"/>
    <w:rsid w:val="22AC2254"/>
    <w:rsid w:val="22BF02BB"/>
    <w:rsid w:val="23406771"/>
    <w:rsid w:val="242B24DF"/>
    <w:rsid w:val="242D7C97"/>
    <w:rsid w:val="24CC5CC8"/>
    <w:rsid w:val="24D317D8"/>
    <w:rsid w:val="25F45C2B"/>
    <w:rsid w:val="26FB6832"/>
    <w:rsid w:val="27F3508A"/>
    <w:rsid w:val="28ED0B6A"/>
    <w:rsid w:val="29301AA6"/>
    <w:rsid w:val="2A1F68E6"/>
    <w:rsid w:val="2A707334"/>
    <w:rsid w:val="2AA67E09"/>
    <w:rsid w:val="2B866286"/>
    <w:rsid w:val="2BBF51E4"/>
    <w:rsid w:val="2BDD749A"/>
    <w:rsid w:val="2BE05FF3"/>
    <w:rsid w:val="2CC4142B"/>
    <w:rsid w:val="2CDA3039"/>
    <w:rsid w:val="2CF215A6"/>
    <w:rsid w:val="2D465680"/>
    <w:rsid w:val="2D822664"/>
    <w:rsid w:val="2E210A49"/>
    <w:rsid w:val="2FA1773B"/>
    <w:rsid w:val="2FA507F3"/>
    <w:rsid w:val="305A3B95"/>
    <w:rsid w:val="312D0FFD"/>
    <w:rsid w:val="31D45E2B"/>
    <w:rsid w:val="31D870DD"/>
    <w:rsid w:val="320C4E1B"/>
    <w:rsid w:val="32FF3914"/>
    <w:rsid w:val="332A5B91"/>
    <w:rsid w:val="33EB1C4D"/>
    <w:rsid w:val="34073FEC"/>
    <w:rsid w:val="342F19A0"/>
    <w:rsid w:val="344519DA"/>
    <w:rsid w:val="34471A3D"/>
    <w:rsid w:val="348E6CC8"/>
    <w:rsid w:val="355E29A1"/>
    <w:rsid w:val="361956B6"/>
    <w:rsid w:val="36726B1F"/>
    <w:rsid w:val="37275F79"/>
    <w:rsid w:val="37423DB7"/>
    <w:rsid w:val="379640D5"/>
    <w:rsid w:val="3800089E"/>
    <w:rsid w:val="380B1D9A"/>
    <w:rsid w:val="38E21CF2"/>
    <w:rsid w:val="393802F5"/>
    <w:rsid w:val="396360C2"/>
    <w:rsid w:val="399B1433"/>
    <w:rsid w:val="39F96249"/>
    <w:rsid w:val="3B0D0FD9"/>
    <w:rsid w:val="3B1829FB"/>
    <w:rsid w:val="3C4741CA"/>
    <w:rsid w:val="3C842F63"/>
    <w:rsid w:val="3CDD7461"/>
    <w:rsid w:val="3D06174C"/>
    <w:rsid w:val="3D0A1843"/>
    <w:rsid w:val="3D876254"/>
    <w:rsid w:val="3D9F6FDD"/>
    <w:rsid w:val="3DED3D29"/>
    <w:rsid w:val="3E227533"/>
    <w:rsid w:val="3EE91D34"/>
    <w:rsid w:val="3EFC0235"/>
    <w:rsid w:val="3F4807FB"/>
    <w:rsid w:val="3F6C182D"/>
    <w:rsid w:val="3F89400C"/>
    <w:rsid w:val="41132FEC"/>
    <w:rsid w:val="41B04259"/>
    <w:rsid w:val="41C06764"/>
    <w:rsid w:val="41D3555E"/>
    <w:rsid w:val="41D568DA"/>
    <w:rsid w:val="424E17F4"/>
    <w:rsid w:val="43D93B74"/>
    <w:rsid w:val="43F05E44"/>
    <w:rsid w:val="44F95853"/>
    <w:rsid w:val="458C4680"/>
    <w:rsid w:val="45906A27"/>
    <w:rsid w:val="474A1856"/>
    <w:rsid w:val="47863161"/>
    <w:rsid w:val="48094F09"/>
    <w:rsid w:val="48C87F22"/>
    <w:rsid w:val="49AC3932"/>
    <w:rsid w:val="49DE0681"/>
    <w:rsid w:val="4A4F4EC2"/>
    <w:rsid w:val="4B34573C"/>
    <w:rsid w:val="4B3738BB"/>
    <w:rsid w:val="4B7A7170"/>
    <w:rsid w:val="4B7C6BF7"/>
    <w:rsid w:val="4BDA5388"/>
    <w:rsid w:val="4CFB5359"/>
    <w:rsid w:val="4D4D1809"/>
    <w:rsid w:val="4E4A439A"/>
    <w:rsid w:val="4F001BCC"/>
    <w:rsid w:val="4F5218ED"/>
    <w:rsid w:val="4F784888"/>
    <w:rsid w:val="4FDB5896"/>
    <w:rsid w:val="4FE41E54"/>
    <w:rsid w:val="508D3093"/>
    <w:rsid w:val="508E7E2E"/>
    <w:rsid w:val="509012EC"/>
    <w:rsid w:val="51F845EB"/>
    <w:rsid w:val="51FB360F"/>
    <w:rsid w:val="5221432D"/>
    <w:rsid w:val="52A60F92"/>
    <w:rsid w:val="53524DED"/>
    <w:rsid w:val="53A139B4"/>
    <w:rsid w:val="53A86F18"/>
    <w:rsid w:val="53CB445D"/>
    <w:rsid w:val="548270CF"/>
    <w:rsid w:val="54D91622"/>
    <w:rsid w:val="565F310C"/>
    <w:rsid w:val="566A6020"/>
    <w:rsid w:val="56972C61"/>
    <w:rsid w:val="56E94433"/>
    <w:rsid w:val="57D17909"/>
    <w:rsid w:val="58B27CC3"/>
    <w:rsid w:val="59260E57"/>
    <w:rsid w:val="59BF009D"/>
    <w:rsid w:val="5A217E5B"/>
    <w:rsid w:val="5ADA210C"/>
    <w:rsid w:val="5AF75EB0"/>
    <w:rsid w:val="5B5C53E4"/>
    <w:rsid w:val="5B625BCE"/>
    <w:rsid w:val="5BE06CA5"/>
    <w:rsid w:val="5C823256"/>
    <w:rsid w:val="5DE441AC"/>
    <w:rsid w:val="5DE46FAF"/>
    <w:rsid w:val="5E0F5E3E"/>
    <w:rsid w:val="5E8763EC"/>
    <w:rsid w:val="5EB7567E"/>
    <w:rsid w:val="5ED42420"/>
    <w:rsid w:val="5FD7044A"/>
    <w:rsid w:val="60342F05"/>
    <w:rsid w:val="60507D65"/>
    <w:rsid w:val="60FD28B6"/>
    <w:rsid w:val="617C5745"/>
    <w:rsid w:val="61A27384"/>
    <w:rsid w:val="61EA59E2"/>
    <w:rsid w:val="63B2022D"/>
    <w:rsid w:val="63F87562"/>
    <w:rsid w:val="644A7D2D"/>
    <w:rsid w:val="64C268FF"/>
    <w:rsid w:val="6500635B"/>
    <w:rsid w:val="657F2909"/>
    <w:rsid w:val="65D66667"/>
    <w:rsid w:val="66D777FD"/>
    <w:rsid w:val="677D539D"/>
    <w:rsid w:val="678F513D"/>
    <w:rsid w:val="68773090"/>
    <w:rsid w:val="68C70F39"/>
    <w:rsid w:val="68D7106B"/>
    <w:rsid w:val="68EE41E3"/>
    <w:rsid w:val="69DF332A"/>
    <w:rsid w:val="69E35F50"/>
    <w:rsid w:val="6A6D6BA4"/>
    <w:rsid w:val="6BF46938"/>
    <w:rsid w:val="6C920AD6"/>
    <w:rsid w:val="6D023F42"/>
    <w:rsid w:val="6DD01BE3"/>
    <w:rsid w:val="6E8C59CD"/>
    <w:rsid w:val="6F035A59"/>
    <w:rsid w:val="6F483AD1"/>
    <w:rsid w:val="6FC5102F"/>
    <w:rsid w:val="6FE11806"/>
    <w:rsid w:val="70B33B2D"/>
    <w:rsid w:val="70DE4060"/>
    <w:rsid w:val="710D58AC"/>
    <w:rsid w:val="71761B9F"/>
    <w:rsid w:val="71FA13BB"/>
    <w:rsid w:val="720867EF"/>
    <w:rsid w:val="722C04C9"/>
    <w:rsid w:val="72EA28D9"/>
    <w:rsid w:val="72FF7D9B"/>
    <w:rsid w:val="731B16A2"/>
    <w:rsid w:val="73D040CE"/>
    <w:rsid w:val="73E4411B"/>
    <w:rsid w:val="745D6409"/>
    <w:rsid w:val="74995177"/>
    <w:rsid w:val="74AB4FE5"/>
    <w:rsid w:val="761F7F3A"/>
    <w:rsid w:val="76856420"/>
    <w:rsid w:val="76EF5746"/>
    <w:rsid w:val="77045574"/>
    <w:rsid w:val="770D6A93"/>
    <w:rsid w:val="77343076"/>
    <w:rsid w:val="774B0A1F"/>
    <w:rsid w:val="78014D8E"/>
    <w:rsid w:val="78432D95"/>
    <w:rsid w:val="786D7712"/>
    <w:rsid w:val="788A7FD7"/>
    <w:rsid w:val="78DC6412"/>
    <w:rsid w:val="79B33F8C"/>
    <w:rsid w:val="7A966109"/>
    <w:rsid w:val="7B101F55"/>
    <w:rsid w:val="7D396E2D"/>
    <w:rsid w:val="7D694E9E"/>
    <w:rsid w:val="7E1B40AE"/>
    <w:rsid w:val="7E3B1A79"/>
    <w:rsid w:val="7E830941"/>
    <w:rsid w:val="7F986626"/>
    <w:rsid w:val="7FBB6CE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5"/>
    <w:semiHidden/>
    <w:unhideWhenUsed/>
    <w:qFormat/>
    <w:uiPriority w:val="0"/>
    <w:rPr>
      <w:rFonts w:ascii="宋体"/>
      <w:sz w:val="18"/>
      <w:szCs w:val="18"/>
    </w:rPr>
  </w:style>
  <w:style w:type="paragraph" w:styleId="3">
    <w:name w:val="annotation text"/>
    <w:basedOn w:val="1"/>
    <w:link w:val="22"/>
    <w:semiHidden/>
    <w:unhideWhenUsed/>
    <w:qFormat/>
    <w:uiPriority w:val="0"/>
    <w:pPr>
      <w:jc w:val="left"/>
    </w:pPr>
  </w:style>
  <w:style w:type="paragraph" w:styleId="4">
    <w:name w:val="Body Text"/>
    <w:basedOn w:val="1"/>
    <w:link w:val="20"/>
    <w:qFormat/>
    <w:uiPriority w:val="0"/>
    <w:pPr>
      <w:adjustRightInd w:val="0"/>
      <w:jc w:val="left"/>
      <w:textAlignment w:val="baseline"/>
    </w:pPr>
    <w:rPr>
      <w:szCs w:val="20"/>
    </w:rPr>
  </w:style>
  <w:style w:type="paragraph" w:styleId="5">
    <w:name w:val="Balloon Text"/>
    <w:basedOn w:val="1"/>
    <w:link w:val="27"/>
    <w:semiHidden/>
    <w:qFormat/>
    <w:uiPriority w:val="0"/>
    <w:rPr>
      <w:sz w:val="18"/>
      <w:szCs w:val="18"/>
    </w:rPr>
  </w:style>
  <w:style w:type="paragraph" w:styleId="6">
    <w:name w:val="footer"/>
    <w:basedOn w:val="1"/>
    <w:link w:val="26"/>
    <w:qFormat/>
    <w:uiPriority w:val="0"/>
    <w:pPr>
      <w:tabs>
        <w:tab w:val="center" w:pos="4153"/>
        <w:tab w:val="right" w:pos="8306"/>
      </w:tabs>
      <w:snapToGrid w:val="0"/>
      <w:jc w:val="left"/>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28"/>
    <w:semiHidden/>
    <w:qFormat/>
    <w:uiPriority w:val="0"/>
    <w:pPr>
      <w:snapToGrid w:val="0"/>
      <w:jc w:val="left"/>
    </w:pPr>
    <w:rPr>
      <w:sz w:val="18"/>
      <w:szCs w:val="18"/>
    </w:rPr>
  </w:style>
  <w:style w:type="paragraph" w:styleId="9">
    <w:name w:val="annotation subject"/>
    <w:basedOn w:val="3"/>
    <w:next w:val="3"/>
    <w:link w:val="23"/>
    <w:semiHidden/>
    <w:unhideWhenUsed/>
    <w:qFormat/>
    <w:uiPriority w:val="0"/>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2">
    <w:name w:val="Table Theme"/>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FollowedHyperlink"/>
    <w:basedOn w:val="13"/>
    <w:qFormat/>
    <w:uiPriority w:val="0"/>
    <w:rPr>
      <w:color w:val="800080"/>
      <w:u w:val="single"/>
    </w:rPr>
  </w:style>
  <w:style w:type="character" w:styleId="16">
    <w:name w:val="Hyperlink"/>
    <w:basedOn w:val="13"/>
    <w:qFormat/>
    <w:uiPriority w:val="0"/>
    <w:rPr>
      <w:color w:val="0000FF"/>
      <w:u w:val="single"/>
    </w:rPr>
  </w:style>
  <w:style w:type="character" w:styleId="17">
    <w:name w:val="annotation reference"/>
    <w:basedOn w:val="13"/>
    <w:semiHidden/>
    <w:unhideWhenUsed/>
    <w:qFormat/>
    <w:uiPriority w:val="0"/>
    <w:rPr>
      <w:sz w:val="21"/>
      <w:szCs w:val="21"/>
    </w:rPr>
  </w:style>
  <w:style w:type="character" w:styleId="18">
    <w:name w:val="footnote reference"/>
    <w:basedOn w:val="13"/>
    <w:semiHidden/>
    <w:qFormat/>
    <w:uiPriority w:val="0"/>
    <w:rPr>
      <w:vertAlign w:val="superscript"/>
    </w:rPr>
  </w:style>
  <w:style w:type="character" w:customStyle="1" w:styleId="19">
    <w:name w:val="页眉 字符"/>
    <w:basedOn w:val="13"/>
    <w:link w:val="7"/>
    <w:qFormat/>
    <w:uiPriority w:val="0"/>
    <w:rPr>
      <w:kern w:val="2"/>
      <w:sz w:val="18"/>
      <w:szCs w:val="18"/>
    </w:rPr>
  </w:style>
  <w:style w:type="character" w:customStyle="1" w:styleId="20">
    <w:name w:val="正文文本 字符"/>
    <w:basedOn w:val="13"/>
    <w:link w:val="4"/>
    <w:qFormat/>
    <w:uiPriority w:val="0"/>
    <w:rPr>
      <w:kern w:val="2"/>
      <w:sz w:val="21"/>
    </w:rPr>
  </w:style>
  <w:style w:type="paragraph" w:styleId="21">
    <w:name w:val="List Paragraph"/>
    <w:basedOn w:val="1"/>
    <w:qFormat/>
    <w:uiPriority w:val="34"/>
    <w:pPr>
      <w:ind w:firstLine="420" w:firstLineChars="200"/>
    </w:pPr>
  </w:style>
  <w:style w:type="character" w:customStyle="1" w:styleId="22">
    <w:name w:val="批注文字 字符"/>
    <w:basedOn w:val="13"/>
    <w:link w:val="3"/>
    <w:semiHidden/>
    <w:qFormat/>
    <w:uiPriority w:val="0"/>
    <w:rPr>
      <w:kern w:val="2"/>
      <w:sz w:val="21"/>
      <w:szCs w:val="24"/>
    </w:rPr>
  </w:style>
  <w:style w:type="character" w:customStyle="1" w:styleId="23">
    <w:name w:val="批注主题 字符"/>
    <w:basedOn w:val="22"/>
    <w:link w:val="9"/>
    <w:semiHidden/>
    <w:qFormat/>
    <w:uiPriority w:val="0"/>
    <w:rPr>
      <w:b/>
      <w:bCs/>
      <w:kern w:val="2"/>
      <w:sz w:val="21"/>
      <w:szCs w:val="24"/>
    </w:rPr>
  </w:style>
  <w:style w:type="paragraph" w:customStyle="1" w:styleId="24">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5">
    <w:name w:val="文档结构图 字符"/>
    <w:basedOn w:val="13"/>
    <w:link w:val="2"/>
    <w:semiHidden/>
    <w:qFormat/>
    <w:uiPriority w:val="0"/>
    <w:rPr>
      <w:rFonts w:ascii="宋体"/>
      <w:kern w:val="2"/>
      <w:sz w:val="18"/>
      <w:szCs w:val="18"/>
    </w:rPr>
  </w:style>
  <w:style w:type="character" w:customStyle="1" w:styleId="26">
    <w:name w:val="页脚 字符"/>
    <w:basedOn w:val="13"/>
    <w:link w:val="6"/>
    <w:qFormat/>
    <w:uiPriority w:val="0"/>
    <w:rPr>
      <w:kern w:val="2"/>
      <w:sz w:val="18"/>
      <w:szCs w:val="18"/>
    </w:rPr>
  </w:style>
  <w:style w:type="character" w:customStyle="1" w:styleId="27">
    <w:name w:val="批注框文本 字符"/>
    <w:basedOn w:val="13"/>
    <w:link w:val="5"/>
    <w:semiHidden/>
    <w:qFormat/>
    <w:uiPriority w:val="0"/>
    <w:rPr>
      <w:kern w:val="2"/>
      <w:sz w:val="18"/>
      <w:szCs w:val="18"/>
    </w:rPr>
  </w:style>
  <w:style w:type="character" w:customStyle="1" w:styleId="28">
    <w:name w:val="脚注文本 字符"/>
    <w:basedOn w:val="13"/>
    <w:link w:val="8"/>
    <w:semiHidden/>
    <w:qFormat/>
    <w:uiPriority w:val="0"/>
    <w:rPr>
      <w:kern w:val="2"/>
      <w:sz w:val="18"/>
      <w:szCs w:val="18"/>
    </w:rPr>
  </w:style>
  <w:style w:type="paragraph" w:customStyle="1" w:styleId="29">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6BED8E-914D-4B06-8E54-85716D33291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702</Words>
  <Characters>756</Characters>
  <Lines>158</Lines>
  <Paragraphs>44</Paragraphs>
  <TotalTime>628</TotalTime>
  <ScaleCrop>false</ScaleCrop>
  <LinksUpToDate>false</LinksUpToDate>
  <CharactersWithSpaces>766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2021-03-11T09:51:00Z</dcterms:created>
  <dc:creator>zm</dc:creator>
  <cp:lastModifiedBy>敷衍</cp:lastModifiedBy>
  <cp:lastPrinted>2021-03-09T08:15:00Z</cp:lastPrinted>
  <dcterms:modified xsi:type="dcterms:W3CDTF">2026-07-15T01:42:25Z</dcterms:modified>
  <dc:title>签     报</dc:title>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DFA13289B35E443FB8B949A91365B783_13</vt:lpwstr>
  </property>
  <property fmtid="{D5CDD505-2E9C-101B-9397-08002B2CF9AE}" pid="4" name="KSOTemplateDocerSaveRecord">
    <vt:lpwstr>eyJoZGlkIjoiNDc4MWVmYWJkZTllNTNiZWFiODgyNWFlMTkxMjZhM2MiLCJ1c2VySWQiOiI5NTkxMTI2OTEifQ==</vt:lpwstr>
  </property>
</Properties>
</file>