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溆浦县卢峰镇人民政府</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第一部分溆浦县卢峰镇人民政府概况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pStyle w:val="12"/>
        <w:jc w:val="center"/>
        <w:rPr>
          <w:sz w:val="48"/>
          <w:szCs w:val="48"/>
        </w:rPr>
      </w:pPr>
    </w:p>
    <w:p>
      <w:pPr>
        <w:pStyle w:val="12"/>
        <w:jc w:val="center"/>
        <w:rPr>
          <w:sz w:val="48"/>
          <w:szCs w:val="48"/>
        </w:rPr>
      </w:pPr>
    </w:p>
    <w:p>
      <w:pPr>
        <w:pStyle w:val="12"/>
        <w:jc w:val="center"/>
        <w:rPr>
          <w:sz w:val="48"/>
          <w:szCs w:val="48"/>
        </w:rPr>
      </w:pPr>
    </w:p>
    <w:p>
      <w:pPr>
        <w:pStyle w:val="12"/>
        <w:jc w:val="center"/>
        <w:rPr>
          <w:sz w:val="48"/>
          <w:szCs w:val="48"/>
        </w:rPr>
      </w:pPr>
    </w:p>
    <w:p>
      <w:pPr>
        <w:pStyle w:val="12"/>
        <w:jc w:val="center"/>
        <w:rPr>
          <w:sz w:val="48"/>
          <w:szCs w:val="48"/>
        </w:rPr>
      </w:pPr>
    </w:p>
    <w:p>
      <w:pPr>
        <w:pStyle w:val="12"/>
        <w:jc w:val="center"/>
        <w:rPr>
          <w:sz w:val="48"/>
          <w:szCs w:val="48"/>
        </w:rPr>
      </w:pPr>
    </w:p>
    <w:p>
      <w:pPr>
        <w:pStyle w:val="12"/>
        <w:jc w:val="center"/>
        <w:rPr>
          <w:sz w:val="48"/>
          <w:szCs w:val="48"/>
        </w:rPr>
      </w:pPr>
    </w:p>
    <w:p>
      <w:pPr>
        <w:pStyle w:val="12"/>
        <w:jc w:val="center"/>
        <w:rPr>
          <w:sz w:val="48"/>
          <w:szCs w:val="48"/>
        </w:rPr>
      </w:pPr>
    </w:p>
    <w:p>
      <w:pPr>
        <w:pStyle w:val="12"/>
        <w:jc w:val="center"/>
        <w:rPr>
          <w:sz w:val="84"/>
          <w:szCs w:val="84"/>
        </w:rPr>
      </w:pPr>
      <w:r>
        <w:rPr>
          <w:rFonts w:hint="eastAsia"/>
          <w:sz w:val="84"/>
          <w:szCs w:val="84"/>
        </w:rPr>
        <w:t>第一部分</w:t>
      </w:r>
    </w:p>
    <w:p>
      <w:pPr>
        <w:pStyle w:val="12"/>
        <w:jc w:val="center"/>
        <w:rPr>
          <w:sz w:val="84"/>
          <w:szCs w:val="84"/>
        </w:rPr>
      </w:pPr>
    </w:p>
    <w:p>
      <w:pPr>
        <w:pStyle w:val="12"/>
        <w:jc w:val="center"/>
        <w:rPr>
          <w:sz w:val="84"/>
          <w:szCs w:val="84"/>
        </w:rPr>
      </w:pPr>
      <w:r>
        <w:rPr>
          <w:rFonts w:hint="eastAsia"/>
          <w:sz w:val="84"/>
          <w:szCs w:val="84"/>
        </w:rPr>
        <w:t>溆浦县卢峰镇人民政府</w:t>
      </w: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2"/>
        <w:jc w:val="center"/>
        <w:rPr>
          <w:sz w:val="32"/>
          <w:szCs w:val="32"/>
        </w:rPr>
      </w:pPr>
    </w:p>
    <w:p>
      <w:pPr>
        <w:pStyle w:val="12"/>
        <w:ind w:firstLine="480" w:firstLineChars="150"/>
        <w:jc w:val="both"/>
        <w:rPr>
          <w:rFonts w:asciiTheme="minorEastAsia" w:hAnsiTheme="minorEastAsia" w:eastAsiaTheme="minorEastAsia" w:cstheme="minorBidi"/>
          <w:bCs/>
          <w:color w:val="auto"/>
          <w:sz w:val="32"/>
          <w:szCs w:val="32"/>
        </w:rPr>
      </w:pPr>
      <w:r>
        <w:rPr>
          <w:rFonts w:hint="eastAsia" w:asciiTheme="minorEastAsia" w:hAnsiTheme="minorEastAsia" w:eastAsiaTheme="minorEastAsia" w:cstheme="minorBidi"/>
          <w:bCs/>
          <w:color w:val="auto"/>
          <w:sz w:val="32"/>
          <w:szCs w:val="32"/>
        </w:rPr>
        <w:t xml:space="preserve"> 溆浦县卢峰镇下辖31个行政村、10个居委会，全镇年末总人口为22.3万人，其中城镇人口8.8万人，农业总人口13.5万人，耕地面积7.83万亩，其中水田6.92万亩、旱土0.91万亩，林地总面积13.31万亩，盛产柑桔、葡萄、梨等。</w:t>
      </w:r>
    </w:p>
    <w:p>
      <w:pPr>
        <w:pStyle w:val="13"/>
        <w:ind w:firstLine="0" w:firstLineChars="0"/>
        <w:jc w:val="left"/>
        <w:rPr>
          <w:rFonts w:ascii="黑体" w:hAnsi="黑体" w:eastAsia="黑体"/>
          <w:b/>
          <w:bCs/>
          <w:kern w:val="0"/>
          <w:sz w:val="32"/>
          <w:szCs w:val="32"/>
        </w:rPr>
      </w:pPr>
      <w:r>
        <w:rPr>
          <w:rFonts w:hint="eastAsia" w:ascii="黑体" w:hAnsi="黑体" w:eastAsia="黑体"/>
          <w:b/>
          <w:bCs/>
          <w:kern w:val="0"/>
          <w:sz w:val="32"/>
          <w:szCs w:val="32"/>
        </w:rPr>
        <w:t>　　一、</w:t>
      </w:r>
      <w:r>
        <w:rPr>
          <w:rFonts w:ascii="黑体" w:hAnsi="黑体" w:eastAsia="黑体"/>
          <w:b/>
          <w:bCs/>
          <w:kern w:val="0"/>
          <w:sz w:val="32"/>
          <w:szCs w:val="32"/>
        </w:rPr>
        <w:t>部门职责</w:t>
      </w:r>
    </w:p>
    <w:p>
      <w:pPr>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widowControl/>
        <w:spacing w:line="600" w:lineRule="exact"/>
        <w:rPr>
          <w:rFonts w:ascii="黑体" w:hAnsi="黑体" w:eastAsia="黑体"/>
          <w:b/>
          <w:kern w:val="0"/>
          <w:sz w:val="32"/>
          <w:szCs w:val="32"/>
        </w:rPr>
      </w:pPr>
      <w:r>
        <w:rPr>
          <w:rFonts w:hint="eastAsia" w:ascii="黑体" w:hAnsi="黑体" w:eastAsia="黑体"/>
          <w:b/>
          <w:kern w:val="0"/>
          <w:sz w:val="32"/>
          <w:szCs w:val="32"/>
        </w:rPr>
        <w:t>　　二、机构设置及决算单位构成</w:t>
      </w:r>
    </w:p>
    <w:p>
      <w:pPr>
        <w:widowControl/>
        <w:spacing w:line="600" w:lineRule="exact"/>
        <w:ind w:firstLine="480" w:firstLineChars="150"/>
        <w:rPr>
          <w:rFonts w:asciiTheme="minorEastAsia" w:hAnsiTheme="minorEastAsia"/>
          <w:bCs/>
          <w:kern w:val="0"/>
          <w:sz w:val="32"/>
          <w:szCs w:val="32"/>
        </w:rPr>
      </w:pPr>
      <w:r>
        <w:rPr>
          <w:rFonts w:hint="eastAsia" w:asciiTheme="minorEastAsia" w:hAnsiTheme="minorEastAsia"/>
          <w:bCs/>
          <w:kern w:val="0"/>
          <w:sz w:val="32"/>
          <w:szCs w:val="32"/>
        </w:rPr>
        <w:t>（一）内设机构设置。溆浦县卢峰镇人民政府内设机构包括：党政办、党建工作站、纪检监察室、经济发展办公室、文化旅游和卫生计生服务中心、社会管理综合治理办公室、社会保障服务中心、农业综合服务中心、扶贫开发工作站、建设环保服务中心。</w:t>
      </w:r>
      <w:r>
        <w:rPr>
          <w:rFonts w:hint="eastAsia"/>
          <w:sz w:val="32"/>
          <w:szCs w:val="32"/>
        </w:rPr>
        <w:t>编制数139人，年末在职人员164人。</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 xml:space="preserve">   （二）决算单位构成。溆浦县卢峰镇人民政府</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21年部门决算汇总公开单位构成包括：卢峰镇人民政府本级及财政所。</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jc w:val="center"/>
        <w:rPr>
          <w:sz w:val="72"/>
          <w:szCs w:val="72"/>
        </w:rPr>
      </w:pPr>
    </w:p>
    <w:p>
      <w:pPr>
        <w:jc w:val="center"/>
        <w:rPr>
          <w:sz w:val="72"/>
          <w:szCs w:val="72"/>
        </w:rPr>
      </w:pPr>
    </w:p>
    <w:p>
      <w:pPr>
        <w:jc w:val="center"/>
        <w:rPr>
          <w:sz w:val="72"/>
          <w:szCs w:val="72"/>
        </w:rPr>
      </w:pPr>
    </w:p>
    <w:p>
      <w:pPr>
        <w:rPr>
          <w:sz w:val="72"/>
          <w:szCs w:val="7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ind w:firstLine="3600" w:firstLineChars="500"/>
        <w:rPr>
          <w:sz w:val="72"/>
          <w:szCs w:val="72"/>
        </w:rPr>
      </w:pPr>
    </w:p>
    <w:p>
      <w:pPr>
        <w:ind w:firstLine="3600" w:firstLineChars="500"/>
        <w:rPr>
          <w:sz w:val="72"/>
          <w:szCs w:val="72"/>
        </w:rPr>
      </w:pPr>
    </w:p>
    <w:p>
      <w:pPr>
        <w:ind w:firstLine="3600" w:firstLineChars="500"/>
        <w:rPr>
          <w:sz w:val="72"/>
          <w:szCs w:val="72"/>
        </w:rPr>
      </w:pPr>
    </w:p>
    <w:p>
      <w:pPr>
        <w:ind w:firstLine="3600" w:firstLineChars="500"/>
        <w:rPr>
          <w:sz w:val="72"/>
          <w:szCs w:val="72"/>
        </w:rPr>
      </w:pPr>
    </w:p>
    <w:p>
      <w:pPr>
        <w:ind w:firstLine="3600" w:firstLineChars="500"/>
        <w:rPr>
          <w:sz w:val="72"/>
          <w:szCs w:val="72"/>
        </w:rPr>
      </w:pPr>
    </w:p>
    <w:p>
      <w:pPr>
        <w:ind w:firstLine="3614" w:firstLineChars="500"/>
        <w:rPr>
          <w:b/>
          <w:sz w:val="72"/>
          <w:szCs w:val="72"/>
        </w:rPr>
      </w:pPr>
    </w:p>
    <w:p>
      <w:pPr>
        <w:ind w:firstLine="3614" w:firstLineChars="500"/>
        <w:rPr>
          <w:b/>
          <w:sz w:val="72"/>
          <w:szCs w:val="72"/>
        </w:rPr>
      </w:pPr>
      <w:r>
        <w:rPr>
          <w:rFonts w:hint="eastAsia"/>
          <w:b/>
          <w:sz w:val="72"/>
          <w:szCs w:val="72"/>
        </w:rPr>
        <w:t>第二部分</w:t>
      </w:r>
    </w:p>
    <w:p>
      <w:pPr>
        <w:jc w:val="center"/>
        <w:rPr>
          <w:b/>
          <w:sz w:val="72"/>
          <w:szCs w:val="72"/>
        </w:rPr>
      </w:pPr>
    </w:p>
    <w:p>
      <w:pPr>
        <w:jc w:val="center"/>
        <w:rPr>
          <w:b/>
          <w:sz w:val="72"/>
          <w:szCs w:val="72"/>
        </w:rPr>
      </w:pPr>
      <w:r>
        <w:rPr>
          <w:rFonts w:hint="eastAsia"/>
          <w:b/>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120" w:type="dxa"/>
        <w:tblInd w:w="89" w:type="dxa"/>
        <w:tblLayout w:type="autofit"/>
        <w:tblCellMar>
          <w:top w:w="0" w:type="dxa"/>
          <w:left w:w="108" w:type="dxa"/>
          <w:bottom w:w="0" w:type="dxa"/>
          <w:right w:w="108" w:type="dxa"/>
        </w:tblCellMar>
      </w:tblPr>
      <w:tblGrid>
        <w:gridCol w:w="4922"/>
        <w:gridCol w:w="661"/>
        <w:gridCol w:w="1270"/>
        <w:gridCol w:w="4617"/>
        <w:gridCol w:w="661"/>
        <w:gridCol w:w="1989"/>
      </w:tblGrid>
      <w:tr>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000000" w:fill="FFFFFF"/>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4922"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661"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270"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617"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661"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989" w:type="dxa"/>
            <w:tcBorders>
              <w:top w:val="nil"/>
              <w:left w:val="nil"/>
              <w:bottom w:val="nil"/>
              <w:right w:val="nil"/>
            </w:tcBorders>
            <w:shd w:val="clear" w:color="000000" w:fill="FFFFFF"/>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4922" w:type="dxa"/>
            <w:tcBorders>
              <w:top w:val="nil"/>
              <w:left w:val="nil"/>
              <w:bottom w:val="nil"/>
              <w:right w:val="nil"/>
            </w:tcBorders>
            <w:shd w:val="clear" w:color="000000" w:fill="FFFFFF"/>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部门：溆浦县卢峰镇人民政府</w:t>
            </w:r>
          </w:p>
        </w:tc>
        <w:tc>
          <w:tcPr>
            <w:tcW w:w="661"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270"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4617"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661" w:type="dxa"/>
            <w:tcBorders>
              <w:top w:val="nil"/>
              <w:left w:val="nil"/>
              <w:bottom w:val="nil"/>
              <w:right w:val="nil"/>
            </w:tcBorders>
            <w:shd w:val="clear" w:color="000000" w:fill="FFFFFF"/>
            <w:noWrap/>
            <w:vAlign w:val="bottom"/>
          </w:tcPr>
          <w:p>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989" w:type="dxa"/>
            <w:tcBorders>
              <w:top w:val="nil"/>
              <w:left w:val="nil"/>
              <w:bottom w:val="nil"/>
              <w:right w:val="nil"/>
            </w:tcBorders>
            <w:shd w:val="clear" w:color="000000" w:fill="FFFFFF"/>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85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267" w:type="dxa"/>
            <w:gridSpan w:val="3"/>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7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989"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7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989"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5,103.00</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1,695.20</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19.58</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254.33</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473.52</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192.49</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2,234.69</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56.16</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5,141.00</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5,141.00</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27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5,141.00</w:t>
            </w:r>
          </w:p>
        </w:tc>
        <w:tc>
          <w:tcPr>
            <w:tcW w:w="4617"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6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98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5,141.00</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pPr>
        <w:pStyle w:val="12"/>
        <w:rPr>
          <w:sz w:val="72"/>
          <w:szCs w:val="72"/>
        </w:rPr>
      </w:pPr>
    </w:p>
    <w:tbl>
      <w:tblPr>
        <w:tblStyle w:val="6"/>
        <w:tblW w:w="14739" w:type="dxa"/>
        <w:tblInd w:w="89" w:type="dxa"/>
        <w:tblLayout w:type="autofit"/>
        <w:tblCellMar>
          <w:top w:w="0" w:type="dxa"/>
          <w:left w:w="108" w:type="dxa"/>
          <w:bottom w:w="0" w:type="dxa"/>
          <w:right w:w="108" w:type="dxa"/>
        </w:tblCellMar>
      </w:tblPr>
      <w:tblGrid>
        <w:gridCol w:w="400"/>
        <w:gridCol w:w="316"/>
        <w:gridCol w:w="270"/>
        <w:gridCol w:w="4438"/>
        <w:gridCol w:w="1800"/>
        <w:gridCol w:w="1800"/>
        <w:gridCol w:w="1199"/>
        <w:gridCol w:w="1137"/>
        <w:gridCol w:w="1083"/>
        <w:gridCol w:w="1036"/>
        <w:gridCol w:w="1438"/>
      </w:tblGrid>
      <w:tr>
        <w:tblPrEx>
          <w:tblCellMar>
            <w:top w:w="0" w:type="dxa"/>
            <w:left w:w="108" w:type="dxa"/>
            <w:bottom w:w="0" w:type="dxa"/>
            <w:right w:w="108" w:type="dxa"/>
          </w:tblCellMar>
        </w:tblPrEx>
        <w:trPr>
          <w:trHeight w:val="390" w:hRule="atLeast"/>
        </w:trPr>
        <w:tc>
          <w:tcPr>
            <w:tcW w:w="14739" w:type="dxa"/>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3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9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5246"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部门：溆浦县卢峰镇人民政府</w:t>
            </w:r>
          </w:p>
        </w:tc>
        <w:tc>
          <w:tcPr>
            <w:tcW w:w="18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9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2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19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08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03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43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8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43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9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3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4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9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3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4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9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3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24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08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0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4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trPr>
        <w:tc>
          <w:tcPr>
            <w:tcW w:w="524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5,141.00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5,141.00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1,695.20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1,695.20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1,479.86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1,479.86</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1,050.76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1,050.76</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40.62</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388.49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388.49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发展与改革事务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其他发展与改革事务支出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148.31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148.31</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139.94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139.94</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8.37</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2013105</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专项业务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20607</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科学技术普及</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2060702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科普活动</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254.33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254.33</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20820</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临时救助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2082001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临时救助支出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城市特困人员救助供养支出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2.32</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小型水库移民扶助基金安排的支出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20826</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财政对基本养老保险基金的补助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2082699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财政对其他基本养老保险基金的补助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473.52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473.52</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34.92</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10.42</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2100408</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基本公共卫生服务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349.89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349.89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2100717</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计划生育服务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23.76</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其他计划生育事务支出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157.74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157.74</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21013</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医疗救助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2101301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城乡医疗救助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2101399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其他医疗救助支出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192.49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192.49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34.70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34.70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60.79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60.79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60.79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60.79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2,234.69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2,234.69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117.09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117.09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农村合作经济</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12.66</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100.43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100.43</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2130305</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水利工程建设</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2130321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大中型水库移民后期扶持专项支出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741.19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741.19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485.16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485.16</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97.60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97.60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157.43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157.43</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其他交通运输支出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其他交通运输支出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其他自然资源事务支出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56.16</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56.16</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2296003</w:t>
            </w:r>
          </w:p>
        </w:tc>
        <w:tc>
          <w:tcPr>
            <w:tcW w:w="44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用于体育事业的彩票公益金支出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4739" w:type="dxa"/>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pStyle w:val="12"/>
        <w:rPr>
          <w:sz w:val="72"/>
          <w:szCs w:val="72"/>
        </w:rPr>
      </w:pPr>
    </w:p>
    <w:p>
      <w:pPr>
        <w:pStyle w:val="12"/>
        <w:rPr>
          <w:sz w:val="72"/>
          <w:szCs w:val="72"/>
        </w:rPr>
      </w:pPr>
    </w:p>
    <w:p>
      <w:pPr>
        <w:pStyle w:val="12"/>
        <w:rPr>
          <w:sz w:val="72"/>
          <w:szCs w:val="72"/>
        </w:rPr>
      </w:pPr>
    </w:p>
    <w:p>
      <w:pPr>
        <w:pStyle w:val="12"/>
        <w:rPr>
          <w:sz w:val="72"/>
          <w:szCs w:val="72"/>
        </w:rPr>
      </w:pPr>
    </w:p>
    <w:tbl>
      <w:tblPr>
        <w:tblStyle w:val="6"/>
        <w:tblW w:w="13296" w:type="dxa"/>
        <w:tblInd w:w="89" w:type="dxa"/>
        <w:tblLayout w:type="autofit"/>
        <w:tblCellMar>
          <w:top w:w="0" w:type="dxa"/>
          <w:left w:w="108" w:type="dxa"/>
          <w:bottom w:w="0" w:type="dxa"/>
          <w:right w:w="108" w:type="dxa"/>
        </w:tblCellMar>
      </w:tblPr>
      <w:tblGrid>
        <w:gridCol w:w="400"/>
        <w:gridCol w:w="316"/>
        <w:gridCol w:w="270"/>
        <w:gridCol w:w="5131"/>
        <w:gridCol w:w="1367"/>
        <w:gridCol w:w="1367"/>
        <w:gridCol w:w="1367"/>
        <w:gridCol w:w="797"/>
        <w:gridCol w:w="797"/>
        <w:gridCol w:w="1662"/>
      </w:tblGrid>
      <w:tr>
        <w:tblPrEx>
          <w:tblCellMar>
            <w:top w:w="0" w:type="dxa"/>
            <w:left w:w="108" w:type="dxa"/>
            <w:bottom w:w="0" w:type="dxa"/>
            <w:right w:w="108" w:type="dxa"/>
          </w:tblCellMar>
        </w:tblPrEx>
        <w:trPr>
          <w:trHeight w:val="390" w:hRule="atLeast"/>
        </w:trPr>
        <w:tc>
          <w:tcPr>
            <w:tcW w:w="13296"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3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13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62"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5939"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部门：溆浦县卢峰镇人民政府</w:t>
            </w:r>
          </w:p>
        </w:tc>
        <w:tc>
          <w:tcPr>
            <w:tcW w:w="13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62"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9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36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36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36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79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79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66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8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131"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3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6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13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6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13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6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93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3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3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7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79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6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593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5,141.00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3,714.57</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1,426.43</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1,695.20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1,477.78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217.42</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1,479.86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1,270.81</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209.05</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1,050.76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907.49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143.27</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40.62</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388.49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363.33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25.16</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发展与改革事务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其他发展与改革事务支出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148.31</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139.94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8.37</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139.94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139.94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8.37</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8.37</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2013105</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专项业务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20607</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科学技术普及</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2060702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科普活动</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254.33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238.33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20820</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临时救助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2082001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临时救助支出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城市特困人员救助供养支出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小型水库移民扶助基金安排的支出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20826</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财政对基本养老保险基金的补助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2082699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财政对其他基本养老保险基金的补助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473.52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473.52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10.42</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2100408</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基本公共卫生服务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349.89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349.89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2100717</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计划生育服务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其他计划生育事务支出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157.74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157.74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21013</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医疗救助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2101301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城乡医疗救助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2101399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其他医疗救助支出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192.49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48.84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143.65</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34.70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19.14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15.56</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15.14</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13.56</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60.79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18.70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42.09</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60.79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18.70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42.09</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2,234.69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1,388.41</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846.28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117.09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117.09</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农村合作经济</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12.66</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100.43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100.43</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2130305</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水利工程建设</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2130321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大中型水库移民后期扶持专项支出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741.19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710.19</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485.16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485.16</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97.60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97.60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157.43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127.43</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其他交通运输支出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其他交通运输支出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其他自然资源事务支出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56.16</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51.16</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34.88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34.88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2296003</w:t>
            </w:r>
          </w:p>
        </w:tc>
        <w:tc>
          <w:tcPr>
            <w:tcW w:w="513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用于体育事业的彩票公益金支出</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3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9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3296"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rPr>
          <w:sz w:val="72"/>
          <w:szCs w:val="72"/>
        </w:rPr>
      </w:pPr>
    </w:p>
    <w:tbl>
      <w:tblPr>
        <w:tblStyle w:val="6"/>
        <w:tblW w:w="14875" w:type="dxa"/>
        <w:tblInd w:w="89" w:type="dxa"/>
        <w:tblLayout w:type="autofit"/>
        <w:tblCellMar>
          <w:top w:w="0" w:type="dxa"/>
          <w:left w:w="108" w:type="dxa"/>
          <w:bottom w:w="0" w:type="dxa"/>
          <w:right w:w="108" w:type="dxa"/>
        </w:tblCellMar>
      </w:tblPr>
      <w:tblGrid>
        <w:gridCol w:w="3516"/>
        <w:gridCol w:w="489"/>
        <w:gridCol w:w="1307"/>
        <w:gridCol w:w="3982"/>
        <w:gridCol w:w="487"/>
        <w:gridCol w:w="1096"/>
        <w:gridCol w:w="1302"/>
        <w:gridCol w:w="1110"/>
        <w:gridCol w:w="1637"/>
      </w:tblGrid>
      <w:tr>
        <w:tblPrEx>
          <w:tblCellMar>
            <w:top w:w="0" w:type="dxa"/>
            <w:left w:w="108" w:type="dxa"/>
            <w:bottom w:w="0" w:type="dxa"/>
            <w:right w:w="108" w:type="dxa"/>
          </w:tblCellMar>
        </w:tblPrEx>
        <w:trPr>
          <w:trHeight w:val="390" w:hRule="atLeast"/>
        </w:trPr>
        <w:tc>
          <w:tcPr>
            <w:tcW w:w="14875"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5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8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8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8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4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3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516"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部门：溆浦县卢峰镇人民政府</w:t>
            </w:r>
          </w:p>
        </w:tc>
        <w:tc>
          <w:tcPr>
            <w:tcW w:w="48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8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8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4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3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3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563"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5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30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98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8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4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0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1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63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5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8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8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8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4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3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5,103.00</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1,695.20</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1,695.20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三、国有资本经营财政拨款</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19.58</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254.33</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238.33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473.52</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473.52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192.49</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182.49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2,234.69</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2,234.69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56.16</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56.16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5,141.00</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5,141.00</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5,103.00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1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3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5,141.00</w:t>
            </w:r>
          </w:p>
        </w:tc>
        <w:tc>
          <w:tcPr>
            <w:tcW w:w="39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8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0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5,141.00</w:t>
            </w:r>
          </w:p>
        </w:tc>
        <w:tc>
          <w:tcPr>
            <w:tcW w:w="13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5,103.00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16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3238" w:type="dxa"/>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637"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r>
    </w:tbl>
    <w:p>
      <w:pPr>
        <w:pStyle w:val="12"/>
        <w:rPr>
          <w:sz w:val="72"/>
          <w:szCs w:val="72"/>
        </w:rPr>
      </w:pPr>
    </w:p>
    <w:p>
      <w:pPr>
        <w:pStyle w:val="12"/>
        <w:rPr>
          <w:sz w:val="72"/>
          <w:szCs w:val="72"/>
        </w:rPr>
      </w:pPr>
    </w:p>
    <w:tbl>
      <w:tblPr>
        <w:tblStyle w:val="6"/>
        <w:tblW w:w="12387" w:type="dxa"/>
        <w:tblInd w:w="89" w:type="dxa"/>
        <w:tblLayout w:type="autofit"/>
        <w:tblCellMar>
          <w:top w:w="0" w:type="dxa"/>
          <w:left w:w="108" w:type="dxa"/>
          <w:bottom w:w="0" w:type="dxa"/>
          <w:right w:w="108" w:type="dxa"/>
        </w:tblCellMar>
      </w:tblPr>
      <w:tblGrid>
        <w:gridCol w:w="400"/>
        <w:gridCol w:w="316"/>
        <w:gridCol w:w="270"/>
        <w:gridCol w:w="5425"/>
        <w:gridCol w:w="1947"/>
        <w:gridCol w:w="1947"/>
        <w:gridCol w:w="2260"/>
      </w:tblGrid>
      <w:tr>
        <w:tblPrEx>
          <w:tblCellMar>
            <w:top w:w="0" w:type="dxa"/>
            <w:left w:w="108" w:type="dxa"/>
            <w:bottom w:w="0" w:type="dxa"/>
            <w:right w:w="108" w:type="dxa"/>
          </w:tblCellMar>
        </w:tblPrEx>
        <w:trPr>
          <w:trHeight w:val="390" w:hRule="atLeast"/>
        </w:trPr>
        <w:tc>
          <w:tcPr>
            <w:tcW w:w="12387"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3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42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6233"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部门：溆浦县卢峰镇人民政府</w:t>
            </w:r>
          </w:p>
        </w:tc>
        <w:tc>
          <w:tcPr>
            <w:tcW w:w="19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2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1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8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42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4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4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8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42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42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4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2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623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5,103.00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3,703.57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1,399.43</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1,695.20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1,477.78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217.42</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1,479.86</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1,270.81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209.05</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1,050.76</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907.49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143.27</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40.62</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40.62</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388.49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363.33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25.16</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发展与改革事务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其他发展与改革事务支出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148.31</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139.94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8.37</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139.94</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139.94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8.37</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8.37</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党委办公厅（室）及相关机构事务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2013105</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专项业务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40.78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20607</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科学技术普及</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2060702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科普活动</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238.33</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20820</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临时救助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2082001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临时救助支出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城市特困人员救助供养支出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2.32</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20826</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财政对基本养老保险基金的补助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2082699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财政对其他基本养老保险基金的补助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473.52</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473.52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34.92</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10.42</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2100408</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基本公共卫生服务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349.89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349.89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168.39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2100717</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计划生育服务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23.76</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其他计划生育事务支出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157.74</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157.74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21013</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医疗救助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2101301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城乡医疗救助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2101399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其他医疗救助支出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182.49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42.84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139.65</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34.70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19.14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15.56</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15.14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13.56</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60.79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18.70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42.09</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60.79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18.70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42.09</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2,234.69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1,388.41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846.28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117.09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117.09</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2130124</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农村合作经济</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12.66</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12.66</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100.43</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100.43</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2130305</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水利工程建设</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2130321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大中型水库移民后期扶持专项支出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741.19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710.19</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485.16</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485.16</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97.60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97.60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157.43</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127.43</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其他交通运输支出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其他交通运输支出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其他自然资源事务支出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67.36</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56.16</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51.16</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34.88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34.88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8.28</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r>
      <w:tr>
        <w:tblPrEx>
          <w:tblCellMar>
            <w:top w:w="0" w:type="dxa"/>
            <w:left w:w="108" w:type="dxa"/>
            <w:bottom w:w="0" w:type="dxa"/>
            <w:right w:w="108" w:type="dxa"/>
          </w:tblCellMar>
        </w:tblPrEx>
        <w:trPr>
          <w:trHeight w:val="308" w:hRule="atLeast"/>
        </w:trPr>
        <w:tc>
          <w:tcPr>
            <w:tcW w:w="8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542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9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r>
      <w:tr>
        <w:tblPrEx>
          <w:tblCellMar>
            <w:top w:w="0" w:type="dxa"/>
            <w:left w:w="108" w:type="dxa"/>
            <w:bottom w:w="0" w:type="dxa"/>
            <w:right w:w="108" w:type="dxa"/>
          </w:tblCellMar>
        </w:tblPrEx>
        <w:trPr>
          <w:trHeight w:val="308" w:hRule="atLeast"/>
        </w:trPr>
        <w:tc>
          <w:tcPr>
            <w:tcW w:w="12387"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pStyle w:val="12"/>
        <w:rPr>
          <w:sz w:val="72"/>
          <w:szCs w:val="72"/>
        </w:rPr>
      </w:pPr>
    </w:p>
    <w:tbl>
      <w:tblPr>
        <w:tblStyle w:val="6"/>
        <w:tblW w:w="14832" w:type="dxa"/>
        <w:tblInd w:w="89" w:type="dxa"/>
        <w:tblLayout w:type="autofit"/>
        <w:tblCellMar>
          <w:top w:w="0" w:type="dxa"/>
          <w:left w:w="108" w:type="dxa"/>
          <w:bottom w:w="0" w:type="dxa"/>
          <w:right w:w="108" w:type="dxa"/>
        </w:tblCellMar>
      </w:tblPr>
      <w:tblGrid>
        <w:gridCol w:w="758"/>
        <w:gridCol w:w="3293"/>
        <w:gridCol w:w="1083"/>
        <w:gridCol w:w="758"/>
        <w:gridCol w:w="2209"/>
        <w:gridCol w:w="1083"/>
        <w:gridCol w:w="758"/>
        <w:gridCol w:w="4161"/>
        <w:gridCol w:w="1422"/>
      </w:tblGrid>
      <w:tr>
        <w:tblPrEx>
          <w:tblCellMar>
            <w:top w:w="0" w:type="dxa"/>
            <w:left w:w="108" w:type="dxa"/>
            <w:bottom w:w="0" w:type="dxa"/>
            <w:right w:w="108" w:type="dxa"/>
          </w:tblCellMar>
        </w:tblPrEx>
        <w:trPr>
          <w:trHeight w:val="390" w:hRule="atLeast"/>
        </w:trPr>
        <w:tc>
          <w:tcPr>
            <w:tcW w:w="14832"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公开06表</w:t>
            </w:r>
          </w:p>
        </w:tc>
      </w:tr>
      <w:tr>
        <w:tblPrEx>
          <w:tblCellMar>
            <w:top w:w="0" w:type="dxa"/>
            <w:left w:w="108" w:type="dxa"/>
            <w:bottom w:w="0" w:type="dxa"/>
            <w:right w:w="108" w:type="dxa"/>
          </w:tblCellMar>
        </w:tblPrEx>
        <w:trPr>
          <w:trHeight w:val="255" w:hRule="atLeast"/>
        </w:trPr>
        <w:tc>
          <w:tcPr>
            <w:tcW w:w="3926"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部门：溆浦县卢峰镇人民政府</w:t>
            </w:r>
          </w:p>
        </w:tc>
        <w:tc>
          <w:tcPr>
            <w:tcW w:w="9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8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988"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58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3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58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22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58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42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58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3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1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1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1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2,256.52</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1,152.34</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1,091.17</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149.47</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504.20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41.13</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179.08</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34.44</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24.85</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153.80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48.78</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5.83</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85.71</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5.57</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7.24</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167.38</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70.69</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108.86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130.18</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294.71</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5.52</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0.15</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14.11</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198.84</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17.36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96.16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46.00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2.54</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140.56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73.06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288.06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9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2,551.23</w:t>
            </w:r>
          </w:p>
        </w:tc>
        <w:tc>
          <w:tcPr>
            <w:tcW w:w="8550"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1,152.34</w:t>
            </w:r>
          </w:p>
        </w:tc>
      </w:tr>
      <w:tr>
        <w:tblPrEx>
          <w:tblCellMar>
            <w:top w:w="0" w:type="dxa"/>
            <w:left w:w="108" w:type="dxa"/>
            <w:bottom w:w="0" w:type="dxa"/>
            <w:right w:w="108" w:type="dxa"/>
          </w:tblCellMar>
        </w:tblPrEx>
        <w:trPr>
          <w:trHeight w:val="308" w:hRule="atLeast"/>
        </w:trPr>
        <w:tc>
          <w:tcPr>
            <w:tcW w:w="14832"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pStyle w:val="12"/>
        <w:rPr>
          <w:sz w:val="72"/>
          <w:szCs w:val="72"/>
        </w:rPr>
      </w:pPr>
    </w:p>
    <w:p>
      <w:pPr>
        <w:pStyle w:val="12"/>
        <w:rPr>
          <w:sz w:val="72"/>
          <w:szCs w:val="72"/>
        </w:rPr>
      </w:pPr>
    </w:p>
    <w:tbl>
      <w:tblPr>
        <w:tblStyle w:val="6"/>
        <w:tblW w:w="15665" w:type="dxa"/>
        <w:tblInd w:w="89" w:type="dxa"/>
        <w:tblLayout w:type="autofit"/>
        <w:tblCellMar>
          <w:top w:w="0" w:type="dxa"/>
          <w:left w:w="108" w:type="dxa"/>
          <w:bottom w:w="0" w:type="dxa"/>
          <w:right w:w="108" w:type="dxa"/>
        </w:tblCellMar>
      </w:tblPr>
      <w:tblGrid>
        <w:gridCol w:w="403"/>
        <w:gridCol w:w="315"/>
        <w:gridCol w:w="268"/>
        <w:gridCol w:w="310"/>
        <w:gridCol w:w="1120"/>
        <w:gridCol w:w="1120"/>
        <w:gridCol w:w="1071"/>
        <w:gridCol w:w="1120"/>
        <w:gridCol w:w="230"/>
        <w:gridCol w:w="890"/>
        <w:gridCol w:w="464"/>
        <w:gridCol w:w="656"/>
        <w:gridCol w:w="932"/>
        <w:gridCol w:w="188"/>
        <w:gridCol w:w="1120"/>
        <w:gridCol w:w="280"/>
        <w:gridCol w:w="589"/>
        <w:gridCol w:w="999"/>
        <w:gridCol w:w="104"/>
        <w:gridCol w:w="1438"/>
        <w:gridCol w:w="46"/>
        <w:gridCol w:w="2178"/>
      </w:tblGrid>
      <w:tr>
        <w:tblPrEx>
          <w:tblCellMar>
            <w:top w:w="0" w:type="dxa"/>
            <w:left w:w="108" w:type="dxa"/>
            <w:bottom w:w="0" w:type="dxa"/>
            <w:right w:w="108" w:type="dxa"/>
          </w:tblCellMar>
        </w:tblPrEx>
        <w:trPr>
          <w:gridAfter w:val="2"/>
          <w:wAfter w:w="2224" w:type="dxa"/>
          <w:trHeight w:val="499" w:hRule="atLeast"/>
        </w:trPr>
        <w:tc>
          <w:tcPr>
            <w:tcW w:w="13441" w:type="dxa"/>
            <w:gridSpan w:val="2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一般公共预算财政拨款“三公”经费支出决算表</w:t>
            </w:r>
          </w:p>
        </w:tc>
      </w:tr>
      <w:tr>
        <w:tblPrEx>
          <w:tblCellMar>
            <w:top w:w="0" w:type="dxa"/>
            <w:left w:w="108" w:type="dxa"/>
            <w:bottom w:w="0" w:type="dxa"/>
            <w:right w:w="108" w:type="dxa"/>
          </w:tblCellMar>
        </w:tblPrEx>
        <w:trPr>
          <w:gridAfter w:val="2"/>
          <w:wAfter w:w="2224" w:type="dxa"/>
          <w:trHeight w:val="499" w:hRule="atLeast"/>
        </w:trPr>
        <w:tc>
          <w:tcPr>
            <w:tcW w:w="1120" w:type="dxa"/>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6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gridAfter w:val="2"/>
          <w:wAfter w:w="2224" w:type="dxa"/>
          <w:trHeight w:val="499" w:hRule="atLeast"/>
        </w:trPr>
        <w:tc>
          <w:tcPr>
            <w:tcW w:w="3360" w:type="dxa"/>
            <w:gridSpan w:val="6"/>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部门：溆浦县卢峰镇人民政府</w:t>
            </w:r>
          </w:p>
        </w:tc>
        <w:tc>
          <w:tcPr>
            <w:tcW w:w="10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6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0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2"/>
          <w:wAfter w:w="2224" w:type="dxa"/>
          <w:trHeight w:val="499" w:hRule="atLeast"/>
        </w:trPr>
        <w:tc>
          <w:tcPr>
            <w:tcW w:w="66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6770"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gridAfter w:val="2"/>
          <w:wAfter w:w="2224" w:type="dxa"/>
          <w:trHeight w:val="499" w:hRule="atLeast"/>
        </w:trPr>
        <w:tc>
          <w:tcPr>
            <w:tcW w:w="1120"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31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12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12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2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092"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4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gridAfter w:val="2"/>
          <w:wAfter w:w="2224" w:type="dxa"/>
          <w:trHeight w:val="499" w:hRule="atLeast"/>
        </w:trPr>
        <w:tc>
          <w:tcPr>
            <w:tcW w:w="1120"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0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12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86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0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4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2224" w:type="dxa"/>
          <w:trHeight w:val="499" w:hRule="atLeast"/>
        </w:trPr>
        <w:tc>
          <w:tcPr>
            <w:tcW w:w="112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7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1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1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1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6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10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gridAfter w:val="2"/>
          <w:wAfter w:w="2224" w:type="dxa"/>
          <w:trHeight w:val="499" w:hRule="atLeast"/>
        </w:trPr>
        <w:tc>
          <w:tcPr>
            <w:tcW w:w="112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11.30</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4.90</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4.90</w:t>
            </w:r>
          </w:p>
        </w:tc>
        <w:tc>
          <w:tcPr>
            <w:tcW w:w="11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6.40</w:t>
            </w:r>
          </w:p>
        </w:tc>
        <w:tc>
          <w:tcPr>
            <w:tcW w:w="11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7.44</w:t>
            </w:r>
          </w:p>
        </w:tc>
        <w:tc>
          <w:tcPr>
            <w:tcW w:w="112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2.54</w:t>
            </w:r>
          </w:p>
        </w:tc>
        <w:tc>
          <w:tcPr>
            <w:tcW w:w="86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2.54</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4.90</w:t>
            </w:r>
          </w:p>
        </w:tc>
      </w:tr>
      <w:tr>
        <w:tblPrEx>
          <w:tblCellMar>
            <w:top w:w="0" w:type="dxa"/>
            <w:left w:w="108" w:type="dxa"/>
            <w:bottom w:w="0" w:type="dxa"/>
            <w:right w:w="108" w:type="dxa"/>
          </w:tblCellMar>
        </w:tblPrEx>
        <w:trPr>
          <w:gridAfter w:val="2"/>
          <w:wAfter w:w="2224" w:type="dxa"/>
          <w:trHeight w:val="795" w:hRule="atLeast"/>
        </w:trPr>
        <w:tc>
          <w:tcPr>
            <w:tcW w:w="13441" w:type="dxa"/>
            <w:gridSpan w:val="20"/>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CellMar>
            <w:top w:w="0" w:type="dxa"/>
            <w:left w:w="108" w:type="dxa"/>
            <w:bottom w:w="0" w:type="dxa"/>
            <w:right w:w="108" w:type="dxa"/>
          </w:tblCellMar>
        </w:tblPrEx>
        <w:trPr>
          <w:gridAfter w:val="2"/>
          <w:wAfter w:w="2224" w:type="dxa"/>
          <w:trHeight w:val="795" w:hRule="atLeast"/>
        </w:trPr>
        <w:tc>
          <w:tcPr>
            <w:tcW w:w="13441" w:type="dxa"/>
            <w:gridSpan w:val="20"/>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8"/>
              </w:rPr>
            </w:pPr>
          </w:p>
          <w:p>
            <w:pPr>
              <w:widowControl/>
              <w:jc w:val="center"/>
              <w:rPr>
                <w:rFonts w:ascii="宋体" w:hAnsi="宋体" w:eastAsia="宋体" w:cs="Arial"/>
                <w:color w:val="000000"/>
                <w:kern w:val="0"/>
                <w:sz w:val="28"/>
              </w:rPr>
            </w:pPr>
          </w:p>
          <w:p>
            <w:pPr>
              <w:widowControl/>
              <w:jc w:val="center"/>
              <w:rPr>
                <w:rFonts w:ascii="宋体" w:hAnsi="宋体" w:eastAsia="宋体" w:cs="Arial"/>
                <w:color w:val="000000"/>
                <w:kern w:val="0"/>
                <w:sz w:val="28"/>
              </w:rPr>
            </w:pPr>
          </w:p>
          <w:p>
            <w:pPr>
              <w:widowControl/>
              <w:jc w:val="center"/>
              <w:rPr>
                <w:rFonts w:ascii="宋体" w:hAnsi="宋体" w:eastAsia="宋体" w:cs="Arial"/>
                <w:color w:val="000000"/>
                <w:kern w:val="0"/>
                <w:sz w:val="28"/>
              </w:rPr>
            </w:pPr>
          </w:p>
          <w:p>
            <w:pPr>
              <w:widowControl/>
              <w:jc w:val="center"/>
              <w:rPr>
                <w:rFonts w:ascii="宋体" w:hAnsi="宋体" w:eastAsia="宋体" w:cs="Arial"/>
                <w:color w:val="000000"/>
                <w:kern w:val="0"/>
                <w:sz w:val="28"/>
              </w:rPr>
            </w:pPr>
          </w:p>
          <w:p>
            <w:pPr>
              <w:widowControl/>
              <w:jc w:val="center"/>
              <w:rPr>
                <w:rFonts w:ascii="宋体" w:hAnsi="宋体" w:eastAsia="宋体" w:cs="Arial"/>
                <w:color w:val="000000"/>
                <w:kern w:val="0"/>
                <w:sz w:val="28"/>
              </w:rPr>
            </w:pPr>
          </w:p>
          <w:p>
            <w:pPr>
              <w:widowControl/>
              <w:jc w:val="center"/>
              <w:rPr>
                <w:rFonts w:ascii="宋体" w:hAnsi="宋体" w:eastAsia="宋体" w:cs="Arial"/>
                <w:color w:val="000000"/>
                <w:kern w:val="0"/>
                <w:sz w:val="28"/>
              </w:rPr>
            </w:pPr>
          </w:p>
          <w:p>
            <w:pPr>
              <w:widowControl/>
              <w:jc w:val="center"/>
              <w:rPr>
                <w:rFonts w:ascii="宋体" w:hAnsi="宋体" w:eastAsia="宋体" w:cs="Arial"/>
                <w:color w:val="000000"/>
                <w:kern w:val="0"/>
                <w:sz w:val="22"/>
              </w:rPr>
            </w:pPr>
            <w:r>
              <w:rPr>
                <w:rFonts w:hint="eastAsia" w:ascii="宋体" w:hAnsi="宋体" w:eastAsia="宋体" w:cs="Arial"/>
                <w:color w:val="000000"/>
                <w:kern w:val="0"/>
                <w:sz w:val="28"/>
              </w:rPr>
              <w:t>政府性基金预算财政拨款收入支出决算表</w:t>
            </w:r>
          </w:p>
        </w:tc>
      </w:tr>
      <w:tr>
        <w:tblPrEx>
          <w:tblCellMar>
            <w:top w:w="0" w:type="dxa"/>
            <w:left w:w="108" w:type="dxa"/>
            <w:bottom w:w="0" w:type="dxa"/>
            <w:right w:w="108" w:type="dxa"/>
          </w:tblCellMar>
        </w:tblPrEx>
        <w:trPr>
          <w:trHeight w:val="255" w:hRule="atLeast"/>
        </w:trPr>
        <w:tc>
          <w:tcPr>
            <w:tcW w:w="33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71" w:type="dxa"/>
            <w:gridSpan w:val="6"/>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5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88"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88"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88"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88"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7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5781" w:type="dxa"/>
            <w:gridSpan w:val="9"/>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部门：溆浦县卢峰镇人民政府</w:t>
            </w:r>
          </w:p>
        </w:tc>
        <w:tc>
          <w:tcPr>
            <w:tcW w:w="135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88"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88"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88"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88"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7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78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3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588"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476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217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81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971" w:type="dxa"/>
            <w:gridSpan w:val="6"/>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35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588"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588"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21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1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71"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5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1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71"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5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8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781" w:type="dxa"/>
            <w:gridSpan w:val="9"/>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5781" w:type="dxa"/>
            <w:gridSpan w:val="9"/>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38.00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38.00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11.00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27.00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小型水库移民扶助基金安排的支出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2082302</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2120804</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2296003</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用于体育事业的彩票公益金支出</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71" w:type="dxa"/>
            <w:gridSpan w:val="6"/>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35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8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5665" w:type="dxa"/>
            <w:gridSpan w:val="22"/>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pStyle w:val="12"/>
        <w:rPr>
          <w:sz w:val="72"/>
          <w:szCs w:val="72"/>
        </w:rPr>
      </w:pPr>
    </w:p>
    <w:p>
      <w:pPr>
        <w:pStyle w:val="12"/>
        <w:rPr>
          <w:sz w:val="72"/>
          <w:szCs w:val="72"/>
        </w:rPr>
      </w:pPr>
    </w:p>
    <w:tbl>
      <w:tblPr>
        <w:tblStyle w:val="6"/>
        <w:tblW w:w="12776" w:type="dxa"/>
        <w:tblInd w:w="89" w:type="dxa"/>
        <w:tblLayout w:type="autofit"/>
        <w:tblCellMar>
          <w:top w:w="0" w:type="dxa"/>
          <w:left w:w="108" w:type="dxa"/>
          <w:bottom w:w="0" w:type="dxa"/>
          <w:right w:w="108" w:type="dxa"/>
        </w:tblCellMar>
      </w:tblPr>
      <w:tblGrid>
        <w:gridCol w:w="222"/>
        <w:gridCol w:w="222"/>
        <w:gridCol w:w="222"/>
        <w:gridCol w:w="2306"/>
        <w:gridCol w:w="3071"/>
        <w:gridCol w:w="2896"/>
        <w:gridCol w:w="4170"/>
      </w:tblGrid>
      <w:tr>
        <w:tblPrEx>
          <w:tblCellMar>
            <w:top w:w="0" w:type="dxa"/>
            <w:left w:w="108" w:type="dxa"/>
            <w:bottom w:w="0" w:type="dxa"/>
            <w:right w:w="108" w:type="dxa"/>
          </w:tblCellMar>
        </w:tblPrEx>
        <w:trPr>
          <w:trHeight w:val="570" w:hRule="atLeast"/>
        </w:trPr>
        <w:tc>
          <w:tcPr>
            <w:tcW w:w="12776"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1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0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8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495" w:hRule="atLeast"/>
        </w:trPr>
        <w:tc>
          <w:tcPr>
            <w:tcW w:w="2639"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部门：溆浦县卢峰镇人民政府</w:t>
            </w:r>
          </w:p>
        </w:tc>
        <w:tc>
          <w:tcPr>
            <w:tcW w:w="30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8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13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33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230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307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8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41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33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07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8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33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07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8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3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307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89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1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263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2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41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8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2776"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hAnsi="黑体"/>
          <w:b/>
          <w:sz w:val="32"/>
          <w:szCs w:val="32"/>
        </w:rPr>
      </w:pPr>
      <w:r>
        <w:rPr>
          <w:rFonts w:hint="eastAsia" w:hAnsi="黑体"/>
          <w:b/>
          <w:sz w:val="32"/>
          <w:szCs w:val="32"/>
        </w:rPr>
        <w:t>　　一、收入支出决算总体情况说明</w:t>
      </w:r>
    </w:p>
    <w:p>
      <w:pPr>
        <w:widowControl/>
        <w:spacing w:line="800" w:lineRule="exact"/>
        <w:ind w:firstLine="640" w:firstLineChars="200"/>
        <w:rPr>
          <w:rFonts w:ascii="宋体"/>
          <w:kern w:val="0"/>
          <w:sz w:val="32"/>
          <w:szCs w:val="32"/>
        </w:rPr>
      </w:pPr>
      <w:r>
        <w:rPr>
          <w:rFonts w:hint="eastAsia" w:asciiTheme="minorEastAsia" w:hAnsiTheme="minorEastAsia"/>
          <w:sz w:val="32"/>
          <w:szCs w:val="32"/>
        </w:rPr>
        <w:t>2021年度收、支总计5141.00万元。与上年相比，减少490.20万元，减幅9.00%，</w:t>
      </w:r>
      <w:r>
        <w:rPr>
          <w:rFonts w:hint="eastAsia" w:ascii="宋体" w:hAnsi="宋体"/>
          <w:kern w:val="0"/>
          <w:sz w:val="32"/>
          <w:szCs w:val="32"/>
        </w:rPr>
        <w:t>减少的主要原因是有以下几个方面：一是压减公用经费，压减一般性支出；二是扶贫和乡村振兴衔接时期，衔接资金同上年扶贫资金相比减少。</w:t>
      </w:r>
    </w:p>
    <w:p>
      <w:pPr>
        <w:pStyle w:val="12"/>
        <w:rPr>
          <w:rFonts w:hAnsi="黑体"/>
          <w:b/>
          <w:sz w:val="32"/>
          <w:szCs w:val="32"/>
        </w:rPr>
      </w:pPr>
      <w:r>
        <w:rPr>
          <w:rFonts w:hint="eastAsia" w:hAnsi="黑体"/>
          <w:b/>
          <w:sz w:val="32"/>
          <w:szCs w:val="32"/>
        </w:rPr>
        <w:t>　　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5141.00万元，其中：财政拨款收入5141.00万元（一般公共预算财政拨款5103.00万元、政府性基金预算财政拨款38.00万元），占100%；上级补助收入0万元，占0%；事业收入0万元，占0%；经营收入0万元，占0%；附属单位上缴收入0万元，占0%；其他收入0万元，占0%。</w:t>
      </w:r>
    </w:p>
    <w:p>
      <w:pPr>
        <w:pStyle w:val="12"/>
        <w:rPr>
          <w:rFonts w:hAnsi="黑体"/>
          <w:b/>
          <w:sz w:val="32"/>
          <w:szCs w:val="32"/>
        </w:rPr>
      </w:pPr>
      <w:r>
        <w:rPr>
          <w:rFonts w:hint="eastAsia" w:hAnsi="黑体"/>
          <w:b/>
          <w:sz w:val="32"/>
          <w:szCs w:val="32"/>
        </w:rPr>
        <w:t>　　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本年支出合计5141.00万元，其中：基本支出3714.57万元，占72.00%；项目支出1426.43万元，占28.00%；上缴上级支出0万元，占0%；经营支出0万元，占0%；对附属单位补助支出0万元，占0%。</w:t>
      </w:r>
    </w:p>
    <w:p>
      <w:pPr>
        <w:pStyle w:val="12"/>
        <w:rPr>
          <w:rFonts w:hAnsi="黑体"/>
          <w:b/>
          <w:sz w:val="32"/>
          <w:szCs w:val="32"/>
        </w:rPr>
      </w:pPr>
      <w:r>
        <w:rPr>
          <w:rFonts w:hint="eastAsia" w:hAnsi="黑体"/>
          <w:b/>
          <w:sz w:val="32"/>
          <w:szCs w:val="32"/>
        </w:rPr>
        <w:t>　　四、财政拨款收入支出决算总体情况说明</w:t>
      </w:r>
    </w:p>
    <w:p>
      <w:pPr>
        <w:widowControl/>
        <w:spacing w:line="800" w:lineRule="exact"/>
        <w:ind w:firstLine="640" w:firstLineChars="200"/>
        <w:rPr>
          <w:rFonts w:ascii="宋体"/>
          <w:kern w:val="0"/>
          <w:sz w:val="32"/>
          <w:szCs w:val="32"/>
        </w:rPr>
      </w:pPr>
      <w:r>
        <w:rPr>
          <w:rFonts w:hint="eastAsia" w:asciiTheme="minorEastAsia" w:hAnsiTheme="minorEastAsia"/>
          <w:sz w:val="32"/>
          <w:szCs w:val="32"/>
        </w:rPr>
        <w:t xml:space="preserve"> 2021年度财政拨款收、支总计5141.00万元，与上年相比，减少490.20万元，减幅9.00%，主要是因为继续</w:t>
      </w:r>
      <w:r>
        <w:rPr>
          <w:rFonts w:hint="eastAsia" w:ascii="宋体" w:hAnsi="宋体"/>
          <w:kern w:val="0"/>
          <w:sz w:val="32"/>
          <w:szCs w:val="32"/>
        </w:rPr>
        <w:t>压减公用经费和扶贫衔接资金同上年扶贫资金相比减少等原因。</w:t>
      </w:r>
    </w:p>
    <w:p>
      <w:pPr>
        <w:pStyle w:val="12"/>
        <w:rPr>
          <w:rFonts w:hAnsi="黑体"/>
          <w:b/>
          <w:sz w:val="32"/>
          <w:szCs w:val="32"/>
        </w:rPr>
      </w:pPr>
      <w:r>
        <w:rPr>
          <w:rFonts w:hint="eastAsia" w:hAnsi="黑体"/>
          <w:b/>
          <w:sz w:val="32"/>
          <w:szCs w:val="32"/>
        </w:rPr>
        <w:t>　　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widowControl/>
        <w:spacing w:line="800" w:lineRule="exact"/>
        <w:ind w:firstLine="640" w:firstLineChars="200"/>
        <w:rPr>
          <w:rFonts w:ascii="宋体"/>
          <w:kern w:val="0"/>
          <w:sz w:val="32"/>
          <w:szCs w:val="32"/>
        </w:rPr>
      </w:pPr>
      <w:r>
        <w:rPr>
          <w:rFonts w:hint="eastAsia" w:asciiTheme="minorEastAsia" w:hAnsiTheme="minorEastAsia"/>
          <w:sz w:val="32"/>
          <w:szCs w:val="32"/>
        </w:rPr>
        <w:t>2021年度财政拨款支出5103.00万元，占本年支出合计的99.26%，与上年相比，财政拨款支出减少493.2万元，减幅8.81%，主要是因为</w:t>
      </w:r>
      <w:r>
        <w:rPr>
          <w:rFonts w:hint="eastAsia" w:ascii="宋体" w:hAnsi="宋体"/>
          <w:kern w:val="0"/>
          <w:sz w:val="32"/>
          <w:szCs w:val="32"/>
        </w:rPr>
        <w:t>压减公用经费和扶贫衔接资金同上年扶贫资金相比减少等原因。</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5103.00万元，主要用于以下方面：一般公共服务（类）支出1695.2万元，占33.22%；公共安全（类）支出43.78万元，占0.86%;科学技术（类）支出17.2万元，占0.34%;文化旅游体育与传媒（类）支出19.58万元，占0.38%;社会保障和就业（类）支出238.33万元，占4.67%;卫生健康（类）支出473.52万元，占9.28%;城乡社区（类）支出182.49万元，占3.58%;农林水（类）支出2234.69万元，占43.79%;交通运输（类）支出4万元，占0.08%;自然资源海洋气象（类）支出67.36万元，占1.31%；住房保障（类）支出70.69万元，占1.39%;灾害防治及应急管理（类）支出56.16万元，占1.1%。</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2021年度财政拨款支出年初预算数为5103.00万元，支出决算数为5103.00万元，完成年初预算的100%，其中：</w:t>
      </w:r>
    </w:p>
    <w:p>
      <w:pPr>
        <w:pStyle w:val="12"/>
        <w:ind w:firstLine="800" w:firstLineChars="250"/>
        <w:rPr>
          <w:rFonts w:ascii="宋体" w:hAnsi="宋体" w:eastAsia="宋体"/>
          <w:sz w:val="32"/>
          <w:szCs w:val="32"/>
        </w:rPr>
      </w:pPr>
      <w:r>
        <w:rPr>
          <w:rFonts w:hint="eastAsia" w:ascii="宋体" w:hAnsi="宋体" w:eastAsia="宋体"/>
          <w:sz w:val="32"/>
          <w:szCs w:val="32"/>
        </w:rPr>
        <w:t>1、一般公共服务（类）人大事务（款）一般行政管理事务（项）。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年初预算为16.83万元，支出决算为16.83万元，完成年初预算的100%。</w:t>
      </w:r>
    </w:p>
    <w:p>
      <w:pPr>
        <w:pStyle w:val="12"/>
        <w:ind w:firstLine="800" w:firstLineChars="250"/>
        <w:rPr>
          <w:rFonts w:ascii="宋体" w:hAnsi="宋体" w:eastAsia="宋体"/>
          <w:sz w:val="32"/>
          <w:szCs w:val="32"/>
        </w:rPr>
      </w:pPr>
      <w:r>
        <w:rPr>
          <w:rFonts w:hint="eastAsia" w:ascii="宋体" w:hAnsi="宋体" w:eastAsia="宋体"/>
          <w:sz w:val="32"/>
          <w:szCs w:val="32"/>
        </w:rPr>
        <w:t>2、一般公共服务（类）政府办公厅（室）及相关机构事务（款）行政运行（项）。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年初预算为1050.76万元，支出决算为1050.46万元，完成年初预算的100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3、一般公共服务（类）政府办公厅（室）及相关机构事务（款）一般行政管理事务（项）。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年初预算为40.62万元，支出决算为40.62万元，完成年初预算的100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4、一般公共服务（类）政府办公厅（室）及相关机构事务（款）其他政府办公厅（室）及相关机构事务支出（项）。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年初预算为388.49万元，支出决算为388.49万元，完成年初预算的100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5、一般公共服务（类）发展与改革事务（款）其他发展与改革事务支出（项）。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年初预算为10万元，支出决算为10万元，完成年初预算的100</w:t>
      </w:r>
      <w:r>
        <w:rPr>
          <w:rFonts w:ascii="宋体" w:hAnsi="宋体" w:eastAsia="宋体"/>
          <w:sz w:val="32"/>
          <w:szCs w:val="32"/>
        </w:rPr>
        <w:t>%</w:t>
      </w:r>
      <w:r>
        <w:rPr>
          <w:rFonts w:hint="eastAsia" w:ascii="宋体" w:hAnsi="宋体" w:eastAsia="宋体"/>
          <w:sz w:val="32"/>
          <w:szCs w:val="32"/>
        </w:rPr>
        <w:t>。</w:t>
      </w:r>
    </w:p>
    <w:p>
      <w:pPr>
        <w:pStyle w:val="12"/>
        <w:numPr>
          <w:ilvl w:val="0"/>
          <w:numId w:val="1"/>
        </w:numPr>
        <w:ind w:firstLine="800" w:firstLineChars="250"/>
        <w:rPr>
          <w:rFonts w:ascii="宋体" w:hAnsi="宋体" w:eastAsia="宋体"/>
          <w:sz w:val="32"/>
          <w:szCs w:val="32"/>
        </w:rPr>
      </w:pPr>
      <w:r>
        <w:rPr>
          <w:rFonts w:hint="eastAsia" w:ascii="宋体" w:hAnsi="宋体" w:eastAsia="宋体"/>
          <w:sz w:val="32"/>
          <w:szCs w:val="32"/>
        </w:rPr>
        <w:t>一般公共服务（类）统计信息事务（款）专项普查活动（项）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年初预算为21万元，支出决算为21万元，完成年初预算的100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7、一般公共服务（类）财政事务（款）行政运行（项）。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年初预算为139.94万元，支出决算为139.94万元，完成年初预算的100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8、一般公共服务（类）财政事务（款）一般行政管理事务（项）。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年初预算为8.37万元，支出决算为8.37万元，完成年初预算的100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9、一般公共服务（类）纪检监察事务（款）行政运行（项）。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年初预算为3.2万元，支出决算为3.2万元，完成年初预算的100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10、一般公共服务（类）党委办公厅（室）及相关机构事务（款）专项业务（项）。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年初预算为6万元，支出决算为6万元，完成年初预算的100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11、一般公共服务（类）其他一般公共服务支出（款）其他一般公共服务支出（项）。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年初预算为10万元，支出决算为10万元，完成年初预算的100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12、公共安全（类）公安（款）行政运行（项）。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年初预算为2万元，支出决算为2万元，完成年初预算的100</w:t>
      </w:r>
      <w:r>
        <w:rPr>
          <w:rFonts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13、公共安全（类）公安（款）一般行政管理事务（项）。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年初预算为40.78万元，支出决算为40.78万元，完成年初预算的100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14、公共安全（类）公安（款）其他公安支出（项）。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年初预算为1万元，支出决算为1万元，完成年初预算的100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15、科学技术（类）科学技术普及（款）科普活动（项）。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年初预算为17.2万元，支出决算为17.2万元，完成年初预算的10</w:t>
      </w:r>
      <w:r>
        <w:rPr>
          <w:rFonts w:ascii="宋体" w:hAnsi="宋体" w:eastAsia="宋体"/>
          <w:sz w:val="32"/>
          <w:szCs w:val="32"/>
        </w:rPr>
        <w:t>0%</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6、文化旅游体育与传媒（类）文化和旅游（款）其他文化和旅游支出（项）。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年初预算为4万元，支出决算为4万元，完成年初预算的100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7、文化旅游体育与传媒（类）其他文化旅游体育与传媒（款）其他文化旅游体育与传媒支出（项）。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年初预算为15.58万元，支出决算为15.58万元，完成年初预算的100</w:t>
      </w:r>
      <w:r>
        <w:rPr>
          <w:rFonts w:ascii="宋体" w:hAnsi="宋体" w:eastAsia="宋体"/>
          <w:sz w:val="32"/>
          <w:szCs w:val="32"/>
        </w:rPr>
        <w:t>%</w:t>
      </w:r>
      <w:r>
        <w:rPr>
          <w:rFonts w:hint="eastAsia" w:ascii="宋体" w:hAnsi="宋体" w:eastAsia="宋体"/>
          <w:sz w:val="32"/>
          <w:szCs w:val="32"/>
        </w:rPr>
        <w:t>。</w:t>
      </w:r>
    </w:p>
    <w:p>
      <w:pPr>
        <w:pStyle w:val="12"/>
        <w:rPr>
          <w:rFonts w:ascii="宋体" w:hAnsi="宋体" w:eastAsia="宋体"/>
          <w:sz w:val="32"/>
          <w:szCs w:val="32"/>
        </w:rPr>
      </w:pPr>
      <w:r>
        <w:rPr>
          <w:rFonts w:hint="eastAsia" w:ascii="宋体" w:hAnsi="宋体" w:eastAsia="宋体"/>
          <w:sz w:val="32"/>
          <w:szCs w:val="32"/>
        </w:rPr>
        <w:t>　　18、社会保障和就业（类）民政管理事务（款）其他民政管理事务（项）。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年初预算为20.4万元，支出决算为20.4万元，完成年初预算的100</w:t>
      </w:r>
      <w:r>
        <w:rPr>
          <w:rFonts w:ascii="宋体" w:hAnsi="宋体" w:eastAsia="宋体"/>
          <w:sz w:val="32"/>
          <w:szCs w:val="32"/>
        </w:rPr>
        <w:t>%</w:t>
      </w:r>
      <w:r>
        <w:rPr>
          <w:rFonts w:hint="eastAsia" w:ascii="宋体" w:hAnsi="宋体" w:eastAsia="宋体"/>
          <w:sz w:val="32"/>
          <w:szCs w:val="32"/>
        </w:rPr>
        <w:t>。</w:t>
      </w:r>
    </w:p>
    <w:p>
      <w:pPr>
        <w:pStyle w:val="12"/>
        <w:rPr>
          <w:rFonts w:ascii="宋体" w:hAnsi="宋体" w:eastAsia="宋体"/>
          <w:sz w:val="32"/>
          <w:szCs w:val="32"/>
        </w:rPr>
      </w:pPr>
      <w:r>
        <w:rPr>
          <w:rFonts w:hint="eastAsia" w:ascii="宋体" w:hAnsi="宋体" w:eastAsia="宋体"/>
          <w:sz w:val="32"/>
          <w:szCs w:val="32"/>
        </w:rPr>
        <w:t>　　19、社会保障和就业（类）行政事业单位养老（款）机关事业单位基本养老保险缴费支出（项）。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年初预算为153.8万元，支出决算为153.8万元，完成年初预算的100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20、社会保障和就业（类）抚恤（款）死亡抚恤（项）。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年初预算为22.89万元，支出决算为22.89万元，完成年初预算的100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21、社会保障和就业（类）抚恤（款）其他优抚支出（项）。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年初预算为15万元，支出决算为15万元，完成年初预算的100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p>
    <w:p>
      <w:pPr>
        <w:pStyle w:val="12"/>
        <w:ind w:firstLine="800" w:firstLineChars="250"/>
        <w:rPr>
          <w:rFonts w:ascii="宋体" w:hAnsi="宋体" w:eastAsia="宋体"/>
          <w:sz w:val="32"/>
          <w:szCs w:val="32"/>
        </w:rPr>
      </w:pPr>
      <w:r>
        <w:rPr>
          <w:rFonts w:hint="eastAsia" w:ascii="宋体" w:hAnsi="宋体" w:eastAsia="宋体"/>
          <w:sz w:val="32"/>
          <w:szCs w:val="32"/>
        </w:rPr>
        <w:t>22、社会保障和就业（类）社会福利（款）儿童福利（项）。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年初预算为2万元，支出决算为2万元，完成年初预算的100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23、社会保障和就业（类）临时救助（款）临时救助支出（项）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年初预算为1万元，支出决算为1万元，完成年初预算的100</w:t>
      </w:r>
      <w:r>
        <w:rPr>
          <w:rFonts w:ascii="宋体" w:hAnsi="宋体" w:eastAsia="宋体"/>
          <w:sz w:val="32"/>
          <w:szCs w:val="32"/>
        </w:rPr>
        <w:t>%</w:t>
      </w:r>
      <w:r>
        <w:rPr>
          <w:rFonts w:hint="eastAsia" w:ascii="宋体" w:hAnsi="宋体" w:eastAsia="宋体"/>
          <w:sz w:val="32"/>
          <w:szCs w:val="32"/>
        </w:rPr>
        <w:t>。</w:t>
      </w:r>
    </w:p>
    <w:p>
      <w:pPr>
        <w:pStyle w:val="12"/>
        <w:numPr>
          <w:ilvl w:val="0"/>
          <w:numId w:val="2"/>
        </w:numPr>
        <w:ind w:firstLine="800" w:firstLineChars="250"/>
        <w:rPr>
          <w:rFonts w:ascii="宋体" w:hAnsi="宋体" w:eastAsia="宋体"/>
          <w:sz w:val="32"/>
          <w:szCs w:val="32"/>
        </w:rPr>
      </w:pPr>
      <w:r>
        <w:rPr>
          <w:rFonts w:hint="eastAsia" w:ascii="宋体" w:hAnsi="宋体" w:eastAsia="宋体"/>
          <w:sz w:val="32"/>
          <w:szCs w:val="32"/>
        </w:rPr>
        <w:t>社会保障和就业（类）特困人员救助供养（款）城市特困人员救助供养支出（项）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年初预算为4.5万元，支出决算为4.5万元，完成年初预算的100</w:t>
      </w:r>
      <w:r>
        <w:rPr>
          <w:rFonts w:ascii="宋体" w:hAnsi="宋体" w:eastAsia="宋体"/>
          <w:sz w:val="32"/>
          <w:szCs w:val="32"/>
        </w:rPr>
        <w:t>%</w:t>
      </w:r>
      <w:r>
        <w:rPr>
          <w:rFonts w:hint="eastAsia" w:ascii="宋体" w:hAnsi="宋体" w:eastAsia="宋体"/>
          <w:sz w:val="32"/>
          <w:szCs w:val="32"/>
        </w:rPr>
        <w:t>。</w:t>
      </w:r>
    </w:p>
    <w:p>
      <w:pPr>
        <w:pStyle w:val="12"/>
        <w:numPr>
          <w:ilvl w:val="0"/>
          <w:numId w:val="2"/>
        </w:numPr>
        <w:ind w:firstLine="800" w:firstLineChars="250"/>
        <w:rPr>
          <w:rFonts w:ascii="宋体" w:hAnsi="宋体" w:eastAsia="宋体"/>
          <w:sz w:val="32"/>
          <w:szCs w:val="32"/>
        </w:rPr>
      </w:pPr>
      <w:r>
        <w:rPr>
          <w:rFonts w:hint="eastAsia" w:ascii="宋体" w:hAnsi="宋体" w:eastAsia="宋体"/>
          <w:sz w:val="32"/>
          <w:szCs w:val="32"/>
        </w:rPr>
        <w:t>社会保障和就业（类）特困人员救助供养（款）农村特困人员救助供养支出（项）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年初预算为2.32万元，支出决算为2.32万元，完成年初预算的100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26、社会保障和就业（类）财政对基本养老保险基金的补助（款）财政对其他基本养老保险基金的补助（项）。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年初预算为4.29万元，支出决算为4.29万元，完成年初预算的100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27、社会保障和就业（类）退役军人事务管理（款）其他退役军人事务管理支出（项）。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年初预算为12.14万元，支出决算为12.14万元，完成年初预算的100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28、卫生健康（类）公共卫生（款）精神卫生机构（项）。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年初预算为10.42元，支出决算为10.42万元，完成年初预算的100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29、卫生健康（类）公共卫生（款）基本公共卫生服务（项）。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年初预算为14.5万元，支出决算为14.5万元，完成年初预算的100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640" w:firstLineChars="200"/>
        <w:rPr>
          <w:rFonts w:ascii="宋体" w:hAnsi="宋体" w:eastAsia="宋体"/>
          <w:sz w:val="32"/>
          <w:szCs w:val="32"/>
        </w:rPr>
      </w:pPr>
      <w:r>
        <w:rPr>
          <w:rFonts w:hint="eastAsia" w:ascii="宋体" w:hAnsi="宋体" w:eastAsia="宋体"/>
          <w:sz w:val="32"/>
          <w:szCs w:val="32"/>
        </w:rPr>
        <w:t>　30、卫生健康（类）公共卫生（款）突发公共卫生事件应急处理（项）。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年初预算为10万元，支出决算为10万元，完成年初预算的100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31、卫生健康（类）计划生育事务（款）计划生育机构（项）。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年初预算为168.39万元，支出决算为168.39万元，完成年初预算的100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32、卫生健康（类）计划生育事务（款）计划生育服务（项）。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年初预算为23.76万元，支出决算为23.76万元，完成年初预算的100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33、卫生健康（类）计划生育事务（款）其他计划生育事务支出（项）。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年初预算为157.74万元，支出决算为157.74万元，完成年初预算的100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34、卫生健康（类）行政事业单位医疗（款）行政单位医疗（项）。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年初预算为85.71万元，支出决算为85.71万元，完成年初预算的100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35、卫生健康（类）医疗救助（款）城乡医疗救助（项）。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年初预算为2万元，支出决算为2万元，完成年初预算的100</w:t>
      </w:r>
      <w:r>
        <w:rPr>
          <w:rFonts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36、卫生健康（类）医疗救助（款）其他医疗救助支出（项）。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年初预算为1万元，支出决算为1万元，完成年初预算的100</w:t>
      </w:r>
      <w:r>
        <w:rPr>
          <w:rFonts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37、城乡社区（类）城乡社区管理事务（款）行政运行（项）。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年初预算为4万元，支出决算为4万元，完成年初预算的100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38、城乡社区（类）城乡社区管理事务（款）一般行政管理事务（项）。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年初预算为2万元，支出决算为2万元，完成年初预算的100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39、城乡社区（类）城乡社区管理事务（款）其他城乡社区管理事务（项）。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年初预算为28.7万元，支出决算为28.7万元，完成年初预算的100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40、城乡社区（类）城乡社区公共设施（款）小城镇基础设施建设（项）。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年初预算为82万元，支出决算为82万元，完成年初预算的100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41、城乡社区（类）城乡社区环境卫生（款）城乡社区环境卫生（项）。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年初预算为60.79万元，支出决算为60.79万元，完成年初预算的100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42、城乡社区（类）其他城乡社区（款）其他城乡社区支出（项）。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年初预算为5万元，支出决算为5万元，完成年初预算的100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43、农林水（类）农业农村（款）农村合作经济（项）。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年初预算为1万元，支出决算为1万元，完成年初预算的100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44、农林水（类）农业农村（款）农村社会事业（项）。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年初预算为12.66万元，支出决算为12.66万元，完成年初预算的100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45、农林水（类）农业农村（款）农村道路建设（项）。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年初预算为3万元，支出决算为3万元，完成年初预算的100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46、农林水（类）农业农村（款）其他农业农村支出（项）。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年初预算为100.43万元，支出决算为100.43万元，完成年初预算的10</w:t>
      </w:r>
      <w:r>
        <w:rPr>
          <w:rFonts w:ascii="宋体" w:hAnsi="宋体" w:eastAsia="宋体"/>
          <w:sz w:val="32"/>
          <w:szCs w:val="32"/>
        </w:rPr>
        <w:t>0%</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47、农林水（类）林业和草原（款）行政运行（项）。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年初预算为116.87万元，支出决算为116.87万元，完成年初预算的100</w:t>
      </w:r>
      <w:r>
        <w:rPr>
          <w:rFonts w:ascii="宋体" w:hAnsi="宋体" w:eastAsia="宋体"/>
          <w:sz w:val="32"/>
          <w:szCs w:val="32"/>
        </w:rPr>
        <w:t>%</w:t>
      </w:r>
      <w:r>
        <w:rPr>
          <w:rFonts w:hint="eastAsia" w:ascii="宋体" w:hAnsi="宋体" w:eastAsia="宋体"/>
          <w:sz w:val="32"/>
          <w:szCs w:val="32"/>
        </w:rPr>
        <w:t>。</w:t>
      </w:r>
    </w:p>
    <w:p>
      <w:pPr>
        <w:pStyle w:val="12"/>
        <w:rPr>
          <w:rFonts w:ascii="宋体" w:hAnsi="宋体" w:eastAsia="宋体"/>
          <w:sz w:val="32"/>
          <w:szCs w:val="32"/>
        </w:rPr>
      </w:pPr>
      <w:r>
        <w:rPr>
          <w:rFonts w:hint="eastAsia" w:ascii="宋体" w:hAnsi="宋体" w:eastAsia="宋体"/>
          <w:sz w:val="32"/>
          <w:szCs w:val="32"/>
        </w:rPr>
        <w:t>　　48、农林水（类）水利（款）水利工程建设（项）。</w:t>
      </w:r>
    </w:p>
    <w:p>
      <w:pPr>
        <w:pStyle w:val="12"/>
        <w:rPr>
          <w:rFonts w:ascii="宋体" w:hAnsi="宋体" w:eastAsia="宋体"/>
          <w:sz w:val="32"/>
          <w:szCs w:val="32"/>
        </w:rPr>
      </w:pPr>
      <w:r>
        <w:rPr>
          <w:rFonts w:hint="eastAsia" w:ascii="宋体" w:hAnsi="宋体" w:eastAsia="宋体"/>
          <w:sz w:val="32"/>
          <w:szCs w:val="32"/>
        </w:rPr>
        <w:t>　　年初预算为1万元，支出决算为1万元，完成年初预算的100</w:t>
      </w:r>
      <w:r>
        <w:rPr>
          <w:rFonts w:ascii="宋体" w:hAnsi="宋体" w:eastAsia="宋体"/>
          <w:sz w:val="32"/>
          <w:szCs w:val="32"/>
        </w:rPr>
        <w:t>%</w:t>
      </w:r>
      <w:r>
        <w:rPr>
          <w:rFonts w:hint="eastAsia" w:ascii="宋体" w:hAnsi="宋体" w:eastAsia="宋体"/>
          <w:sz w:val="32"/>
          <w:szCs w:val="32"/>
        </w:rPr>
        <w:t>。</w:t>
      </w:r>
    </w:p>
    <w:p>
      <w:pPr>
        <w:pStyle w:val="12"/>
        <w:rPr>
          <w:rFonts w:ascii="宋体" w:hAnsi="宋体" w:eastAsia="宋体"/>
          <w:sz w:val="32"/>
          <w:szCs w:val="32"/>
        </w:rPr>
      </w:pPr>
      <w:r>
        <w:rPr>
          <w:rFonts w:hint="eastAsia" w:ascii="宋体" w:hAnsi="宋体" w:eastAsia="宋体"/>
          <w:sz w:val="32"/>
          <w:szCs w:val="32"/>
        </w:rPr>
        <w:t>　　49、农林水（类）水利（款）水利工程运行与维护（项）。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年初预算为4万元，支出决算为4万元，完成年初预算的100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50、农林水（类）水利（款）防汛（项）。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年初预算为1万元，支出决算为1万元，完成年初预算的100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51、农林水（类）水利（款）大中型水库移民后期扶持专项支出（项）。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年初预算为10万元，支出决算为10万元，完成年初预算的10</w:t>
      </w:r>
      <w:r>
        <w:rPr>
          <w:rFonts w:ascii="宋体" w:hAnsi="宋体" w:eastAsia="宋体"/>
          <w:sz w:val="32"/>
          <w:szCs w:val="32"/>
        </w:rPr>
        <w:t>0%</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52、农林水（类）扶贫（款）行政运行（项）。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年初预算为1万元，支出决算为1万元，完成年初预算的100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53、农林水（类）扶贫（款）农村基础设施建设（项）。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年初预算为485.16万元，支出决算为485.16万元，完成年初预算的100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54、农林水（类）扶贫（款）生产发展（项）。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年初预算为97.6万元，支出决算为97.6万元，完成年初预算的100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55、农林水（类）扶贫（款）其他扶贫支出（项）。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年初预算为157.43万元，支出决算为157.43万元，完成年初预算的100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56、农林水（类）农村综合改革（款）对村民委员会和村党支部的补助（项）。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年初预算为1239.53万元，支出决算为1239.53万元，完成年初预算的100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57、农林水（类）其他农林水支出（款）其他农林水支出（项）。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年初预算为4万元，支出决算为4万元，完成年初预算的100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58、交通运输（类）其他交通运输（款）其他交通运输支出（项）。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年初预算为4万元，支出决算为4万元，完成年初预算的100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59、自然资源海洋气象（类）自然资源事务（款）其他自然资源事务支出（项）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年初预算为67.36万元，支出决算为67.36万元，完成年初预算的100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60、住房保障（类）住房改革（款）住房公积金（项）。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年初预算为70.69万元，支出决算为 70.69万元，完成年初预算的100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61、灾害防治及应急管理（类）应急管理事务（款）其他应急管理支出（项）。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年初预算为39.88万元，支出决算为39.88万元，完成年初预算的100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62、灾害防治及应急管理（类）自然灾害防治（款）地质灾害防治（项）。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年初预算为8.28万元，支出决算为8.28万元，完成年初预算的100</w:t>
      </w:r>
      <w:r>
        <w:rPr>
          <w:rFonts w:ascii="宋体" w:hAnsi="宋体" w:eastAsia="宋体"/>
          <w:sz w:val="32"/>
          <w:szCs w:val="32"/>
        </w:rPr>
        <w:t>%</w:t>
      </w:r>
      <w:r>
        <w:rPr>
          <w:rFonts w:hint="eastAsia" w:ascii="宋体" w:hAnsi="宋体" w:eastAsia="宋体"/>
          <w:sz w:val="32"/>
          <w:szCs w:val="32"/>
        </w:rPr>
        <w:t>。</w:t>
      </w:r>
    </w:p>
    <w:p>
      <w:pPr>
        <w:pStyle w:val="12"/>
        <w:ind w:firstLine="800" w:firstLineChars="250"/>
        <w:rPr>
          <w:rFonts w:ascii="宋体" w:hAnsi="宋体" w:eastAsia="宋体"/>
          <w:sz w:val="32"/>
          <w:szCs w:val="32"/>
        </w:rPr>
      </w:pPr>
      <w:r>
        <w:rPr>
          <w:rFonts w:hint="eastAsia" w:ascii="宋体" w:hAnsi="宋体" w:eastAsia="宋体"/>
          <w:sz w:val="32"/>
          <w:szCs w:val="32"/>
        </w:rPr>
        <w:t>63、灾害防治及应急管理（类）自然灾害救灾及恢复重建支出（款）自然灾害救灾补助（项）。</w:t>
      </w:r>
    </w:p>
    <w:p>
      <w:pPr>
        <w:pStyle w:val="12"/>
        <w:ind w:firstLine="800" w:firstLineChars="250"/>
        <w:rPr>
          <w:rFonts w:ascii="宋体" w:hAnsi="宋体" w:eastAsia="宋体"/>
          <w:sz w:val="32"/>
          <w:szCs w:val="32"/>
        </w:rPr>
      </w:pPr>
      <w:r>
        <w:rPr>
          <w:rFonts w:hint="eastAsia" w:ascii="宋体" w:hAnsi="宋体" w:eastAsia="宋体"/>
          <w:sz w:val="32"/>
          <w:szCs w:val="32"/>
        </w:rPr>
        <w:t>年初预算为8万元，支出决算为8万元，完成年初预算的100</w:t>
      </w:r>
      <w:r>
        <w:rPr>
          <w:rFonts w:ascii="宋体" w:hAnsi="宋体" w:eastAsia="宋体"/>
          <w:sz w:val="32"/>
          <w:szCs w:val="32"/>
        </w:rPr>
        <w:t>%</w:t>
      </w:r>
      <w:r>
        <w:rPr>
          <w:rFonts w:hint="eastAsia" w:ascii="宋体" w:hAnsi="宋体" w:eastAsia="宋体"/>
          <w:sz w:val="32"/>
          <w:szCs w:val="32"/>
        </w:rPr>
        <w:t>。</w:t>
      </w:r>
    </w:p>
    <w:p>
      <w:pPr>
        <w:pStyle w:val="12"/>
        <w:rPr>
          <w:rFonts w:hAnsi="黑体"/>
          <w:b/>
          <w:sz w:val="32"/>
          <w:szCs w:val="32"/>
        </w:rPr>
      </w:pPr>
      <w:r>
        <w:rPr>
          <w:rFonts w:hint="eastAsia" w:hAnsi="黑体"/>
          <w:b/>
          <w:sz w:val="32"/>
          <w:szCs w:val="32"/>
        </w:rPr>
        <w:t>　　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3703.57万元，其中：人员经费2551.23万元，占基本支出的68.89%,主要包括基本工资、津贴补贴、奖金、伙食补助费、机关事业单位基本养老保险缴费、职工基本医疗保险缴费、其他社会保障缴费、住房公积金、其他工资福利支出、遗属生活补助、救济费、奖励金、其他对个人和家庭的补助；公用经费1152.34万元，占基本支出的31.11%，主要包括办公费、印刷费、水电费、邮电费、取暖费、差旅费、维修费、租赁费、会议费、培训费、公务接待费、专用材料费、劳务费、委托业务费、福利费、公务用车运行维护费、其他交通费用、其他商品和服务支出。</w:t>
      </w:r>
    </w:p>
    <w:p>
      <w:pPr>
        <w:pStyle w:val="12"/>
        <w:rPr>
          <w:rFonts w:hAnsi="黑体"/>
          <w:b/>
          <w:sz w:val="32"/>
          <w:szCs w:val="32"/>
        </w:rPr>
      </w:pPr>
      <w:r>
        <w:rPr>
          <w:rFonts w:hint="eastAsia" w:hAnsi="黑体"/>
          <w:b/>
          <w:sz w:val="32"/>
          <w:szCs w:val="32"/>
        </w:rPr>
        <w:t>　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　（一）“三公”经费财政拨款支出决算总体情况说明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“三公”经费财政拨款支出预算为11.3万元，支出决算为7.44万元，完成预算的65.84%，其中：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因公出国（境）费支出预算为0万元，支出决算为0万元，完成预算的0%，与上年相比无变动，主要原因是没有人员因公出国。</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6.4万元，支出决算为4.9万元，完成预算的76.56%，决算数小于预算数的主要原因是我单位严格按照县厉行节约办的指标控制支出，与上年相比增加4.85万元，增幅970%,增加的主要原因是我单位2021年公务活动增加所致。</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公务用车购置费支出预算为0万元，支出决算为0万元，完成预算的0%，与上年相比无变动。</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4.9万元，支出决算为2.54万元，完成预算的51.84%，决算数小于预算数的主要原因是我单位严格按照县厉行节约办的指标控制支出，与上年相比增加1.04万元，增幅69%,增加的主要原因是我单位2021年公务活动增加所致。</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　（二）“三公”经费财政拨款支出决算具体情况说明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2021年度“三公”经费财政拨款支出决算中，公务接待费支出决算4.9万元，占65.86%,因公出国（境）费支出决算0万元，占0%,公务用车购置费及运行维护费支出决算2.54万元，占34.14%。其中：</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1、因公出国（境）费支出决算为0万元，全年安排因公出国（境）团组0个，累计0人次,开支内容包括：无。</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2、公务接待费支出决算为4.9万元，全年共接待来访团组59个、来宾612人次，主要是</w:t>
      </w:r>
      <w:r>
        <w:rPr>
          <w:rFonts w:hint="eastAsia" w:ascii="宋体" w:hAnsi="宋体" w:eastAsia="宋体"/>
          <w:sz w:val="32"/>
          <w:szCs w:val="32"/>
        </w:rPr>
        <w:t>日常公务</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w:t>
      </w:r>
      <w:bookmarkStart w:id="0" w:name="_GoBack"/>
      <w:bookmarkEnd w:id="0"/>
      <w:r>
        <w:rPr>
          <w:rFonts w:hint="eastAsia" w:asciiTheme="minorEastAsia" w:hAnsiTheme="minorEastAsia"/>
          <w:sz w:val="32"/>
          <w:szCs w:val="32"/>
        </w:rPr>
        <w:t>维护费支出决算为2.54万元，其中：公务用车购置费0万元，（单位本级或某二级机构）更新公务用车0辆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公务用车运行维护费2.54万元，</w:t>
      </w:r>
      <w:r>
        <w:rPr>
          <w:rFonts w:hint="eastAsia" w:ascii="宋体" w:hAnsi="宋体"/>
          <w:sz w:val="32"/>
          <w:szCs w:val="32"/>
        </w:rPr>
        <w:t>主要是日常加油和维修支出</w:t>
      </w:r>
      <w:r>
        <w:rPr>
          <w:rFonts w:hint="eastAsia" w:asciiTheme="minorEastAsia" w:hAnsiTheme="minorEastAsia"/>
          <w:sz w:val="32"/>
          <w:szCs w:val="32"/>
        </w:rPr>
        <w:t>，截止2021年12月31日，我单位开支财政拨款的公务用车保有量为1辆。</w:t>
      </w:r>
    </w:p>
    <w:p>
      <w:pPr>
        <w:pStyle w:val="12"/>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2021年度政府性基金预算财政拨款收入38万元；年初结转和结余0万元；支出38万元，其中基本支出11万元，项目支出27万元；年末结转和结余0万元。</w:t>
      </w:r>
    </w:p>
    <w:p>
      <w:pPr>
        <w:pStyle w:val="12"/>
        <w:rPr>
          <w:rFonts w:hAnsi="黑体"/>
          <w:b/>
          <w:sz w:val="32"/>
          <w:szCs w:val="32"/>
        </w:rPr>
      </w:pPr>
      <w:r>
        <w:rPr>
          <w:rFonts w:hint="eastAsia" w:hAnsi="黑体"/>
          <w:b/>
          <w:sz w:val="32"/>
          <w:szCs w:val="32"/>
        </w:rPr>
        <w:t>九、关于机关运行经费支出说明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本部门2021年度机关运行经费支出1152.34万元，与年初预算数一致。</w:t>
      </w:r>
    </w:p>
    <w:p>
      <w:pPr>
        <w:pStyle w:val="12"/>
        <w:rPr>
          <w:rFonts w:hAnsi="黑体"/>
          <w:b/>
          <w:sz w:val="32"/>
          <w:szCs w:val="32"/>
        </w:rPr>
      </w:pPr>
      <w:r>
        <w:rPr>
          <w:rFonts w:hint="eastAsia" w:hAnsi="黑体"/>
          <w:b/>
          <w:sz w:val="32"/>
          <w:szCs w:val="32"/>
        </w:rPr>
        <w:t>十、一般性支出情况</w:t>
      </w:r>
    </w:p>
    <w:p>
      <w:pPr>
        <w:ind w:firstLine="640" w:firstLineChars="200"/>
        <w:rPr>
          <w:rFonts w:asciiTheme="minorEastAsia" w:hAnsiTheme="minorEastAsia"/>
          <w:sz w:val="32"/>
          <w:szCs w:val="32"/>
        </w:rPr>
      </w:pPr>
      <w:r>
        <w:rPr>
          <w:rFonts w:hint="eastAsia" w:asciiTheme="minorEastAsia" w:hAnsiTheme="minorEastAsia"/>
          <w:sz w:val="32"/>
          <w:szCs w:val="32"/>
        </w:rPr>
        <w:t>2021年本部门开支会议费5.52万元，用于召开乡村振兴、疫情防控应急管理、日常工作会议，人数3725人，内容为乡村振兴、疫情防控应急管理及日常工作安排；开支培训费0.15万元，用于开展就业培训、业务培训，人数112人，内容为</w:t>
      </w:r>
      <w:r>
        <w:rPr>
          <w:rFonts w:hint="eastAsia" w:ascii="宋体" w:hAnsi="宋体" w:cs="黑体"/>
          <w:color w:val="000000"/>
          <w:kern w:val="0"/>
          <w:sz w:val="32"/>
          <w:szCs w:val="32"/>
        </w:rPr>
        <w:t>就业及业务培训</w:t>
      </w:r>
      <w:r>
        <w:rPr>
          <w:rFonts w:hint="eastAsia" w:asciiTheme="minorEastAsia" w:hAnsiTheme="minorEastAsia"/>
          <w:sz w:val="32"/>
          <w:szCs w:val="32"/>
        </w:rPr>
        <w:t>。</w:t>
      </w:r>
    </w:p>
    <w:p>
      <w:pPr>
        <w:pStyle w:val="12"/>
        <w:rPr>
          <w:rFonts w:hAnsi="黑体"/>
          <w:b/>
          <w:sz w:val="32"/>
          <w:szCs w:val="32"/>
        </w:rPr>
      </w:pPr>
      <w:r>
        <w:rPr>
          <w:rFonts w:hint="eastAsia" w:hAnsi="黑体"/>
          <w:b/>
          <w:sz w:val="32"/>
          <w:szCs w:val="32"/>
        </w:rPr>
        <w:t>　十一、关于政府采购支出说明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 万元、政府采购服务支出0万元。授予中小企业合同金额0万元，占政府采购支出总额的0%，其中：授予小微企业合同金额0万元，占政府采购支出总额的0%。</w:t>
      </w:r>
    </w:p>
    <w:p>
      <w:pPr>
        <w:pStyle w:val="12"/>
        <w:rPr>
          <w:rFonts w:hAnsi="黑体"/>
          <w:b/>
          <w:sz w:val="32"/>
          <w:szCs w:val="32"/>
        </w:rPr>
      </w:pPr>
      <w:r>
        <w:rPr>
          <w:rFonts w:hint="eastAsia" w:hAnsi="黑体"/>
          <w:b/>
          <w:sz w:val="32"/>
          <w:szCs w:val="32"/>
        </w:rPr>
        <w:t>十二、关于国有资产占用情况说明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1辆，其中，主要领导干部用车0辆，机要通信用车0辆、应急保障用车0辆、执法执勤用车0辆、特种专业技术用车0辆、其他用车1辆，其他用车主要是开展政府各项工作用车；单位价值50万元以上通用设备0台（套）；单位价值100万元以上专用设备0台（套）。</w:t>
      </w:r>
    </w:p>
    <w:p>
      <w:pPr>
        <w:pStyle w:val="12"/>
        <w:rPr>
          <w:rFonts w:hAnsi="黑体"/>
          <w:b/>
          <w:sz w:val="32"/>
          <w:szCs w:val="32"/>
        </w:rPr>
      </w:pPr>
      <w:r>
        <w:rPr>
          <w:rFonts w:hint="eastAsia" w:hAnsi="黑体"/>
          <w:b/>
          <w:sz w:val="32"/>
          <w:szCs w:val="32"/>
        </w:rPr>
        <w:t>十三、关于2021年度预算绩效情况的说明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本单位开展整体支出绩效评价，涉及一般公共预算支出5103.00万元，政府性基金预算支出38.00万元。从评价情况来看，本单位完成了以下工作：筑牢意识形态，用心用情抓基层党建，着力推进党风廉政建设，扎实推进乡村振兴工作，扎实落实“五个到户”工作，常态化疫情防控扎实有效。各部门工作完成情况良好。</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pStyle w:val="12"/>
        <w:rPr>
          <w:rFonts w:hAnsi="黑体"/>
          <w:b/>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rPr>
          <w:rFonts w:ascii="宋体" w:cs="黑体"/>
          <w:color w:val="000000"/>
          <w:kern w:val="0"/>
          <w:sz w:val="32"/>
          <w:szCs w:val="32"/>
        </w:rPr>
      </w:pPr>
      <w:r>
        <w:rPr>
          <w:rFonts w:hint="eastAsia" w:ascii="宋体" w:hAnsi="宋体" w:cs="黑体"/>
          <w:color w:val="000000"/>
          <w:kern w:val="0"/>
          <w:sz w:val="32"/>
          <w:szCs w:val="32"/>
        </w:rPr>
        <w:t>（一）财政拨款收入：本年度从本级财政部门取得的财政拨款，包括一般公共预算财政拨款和政府性基金预算财政拨款。</w:t>
      </w:r>
    </w:p>
    <w:p>
      <w:pPr>
        <w:ind w:firstLine="640" w:firstLineChars="200"/>
        <w:rPr>
          <w:rFonts w:ascii="宋体" w:cs="黑体"/>
          <w:color w:val="000000"/>
          <w:kern w:val="0"/>
          <w:sz w:val="32"/>
          <w:szCs w:val="32"/>
        </w:rPr>
      </w:pPr>
      <w:r>
        <w:rPr>
          <w:rFonts w:hint="eastAsia" w:ascii="宋体" w:hAnsi="宋体" w:cs="黑体"/>
          <w:color w:val="000000"/>
          <w:kern w:val="0"/>
          <w:sz w:val="32"/>
          <w:szCs w:val="32"/>
        </w:rPr>
        <w:t>（二）其他收入：指除上述“财政拨款收入”、“事业收入”、“经营收入”等以外的收入。</w:t>
      </w:r>
    </w:p>
    <w:p>
      <w:pPr>
        <w:ind w:firstLine="640" w:firstLineChars="200"/>
        <w:rPr>
          <w:rFonts w:ascii="宋体" w:cs="黑体"/>
          <w:color w:val="000000"/>
          <w:kern w:val="0"/>
          <w:sz w:val="32"/>
          <w:szCs w:val="32"/>
        </w:rPr>
      </w:pPr>
      <w:r>
        <w:rPr>
          <w:rFonts w:hint="eastAsia" w:ascii="宋体" w:hAnsi="宋体" w:cs="黑体"/>
          <w:color w:val="000000"/>
          <w:kern w:val="0"/>
          <w:sz w:val="32"/>
          <w:szCs w:val="32"/>
        </w:rPr>
        <w:t>（三）基本支出：填列单位为保障机构正常运转、完成日常工作任务而发生的各项支出。</w:t>
      </w:r>
    </w:p>
    <w:p>
      <w:pPr>
        <w:ind w:firstLine="640" w:firstLineChars="200"/>
        <w:rPr>
          <w:rFonts w:ascii="宋体" w:cs="黑体"/>
          <w:color w:val="000000"/>
          <w:kern w:val="0"/>
          <w:sz w:val="32"/>
          <w:szCs w:val="32"/>
        </w:rPr>
      </w:pPr>
      <w:r>
        <w:rPr>
          <w:rFonts w:hint="eastAsia" w:ascii="宋体" w:hAnsi="宋体" w:cs="黑体"/>
          <w:color w:val="000000"/>
          <w:kern w:val="0"/>
          <w:sz w:val="32"/>
          <w:szCs w:val="32"/>
        </w:rPr>
        <w:t>（四）“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ascii="宋体" w:cs="黑体"/>
          <w:color w:val="000000"/>
          <w:kern w:val="0"/>
          <w:sz w:val="32"/>
          <w:szCs w:val="32"/>
        </w:rPr>
      </w:pPr>
      <w:r>
        <w:rPr>
          <w:rFonts w:ascii="宋体" w:cs="黑体"/>
          <w:color w:val="000000"/>
          <w:kern w:val="0"/>
          <w:sz w:val="32"/>
          <w:szCs w:val="32"/>
        </w:rPr>
        <w:t> </w:t>
      </w:r>
      <w:r>
        <w:rPr>
          <w:rFonts w:hint="eastAsia" w:ascii="宋体" w:hAnsi="宋体" w:cs="黑体"/>
          <w:color w:val="000000"/>
          <w:kern w:val="0"/>
          <w:sz w:val="32"/>
          <w:szCs w:val="32"/>
        </w:rPr>
        <w:t>（五）其他交通费用：填列单位除公务用车运行维护费以外的其他交通费用。如飞机、船舶等的燃料费、维修费、过桥过路费、保险费、出租车费用、公务交通补贴等。</w:t>
      </w:r>
    </w:p>
    <w:p>
      <w:pPr>
        <w:ind w:firstLine="640" w:firstLineChars="200"/>
        <w:rPr>
          <w:rFonts w:ascii="宋体" w:hAnsi="宋体" w:cs="黑体"/>
          <w:color w:val="000000"/>
          <w:kern w:val="0"/>
          <w:sz w:val="32"/>
          <w:szCs w:val="32"/>
        </w:rPr>
      </w:pPr>
      <w:r>
        <w:rPr>
          <w:rFonts w:hint="eastAsia" w:ascii="宋体" w:hAnsi="宋体" w:cs="黑体"/>
          <w:color w:val="000000"/>
          <w:kern w:val="0"/>
          <w:sz w:val="32"/>
          <w:szCs w:val="32"/>
        </w:rPr>
        <w:t>（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2"/>
        <w:jc w:val="center"/>
        <w:rPr>
          <w:sz w:val="72"/>
          <w:szCs w:val="72"/>
        </w:rPr>
      </w:pPr>
    </w:p>
    <w:p>
      <w:pPr>
        <w:pStyle w:val="12"/>
        <w:rPr>
          <w:rFonts w:hAnsi="黑体"/>
          <w:b/>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r>
        <w:rPr>
          <w:rFonts w:hint="eastAsia"/>
          <w:sz w:val="72"/>
          <w:szCs w:val="72"/>
        </w:rPr>
        <w:t>　　　　　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宋体" w:hAnsi="宋体"/>
          <w:b/>
          <w:sz w:val="44"/>
          <w:szCs w:val="44"/>
        </w:rPr>
      </w:pPr>
      <w:r>
        <w:rPr>
          <w:rFonts w:hint="eastAsia" w:ascii="黑体" w:eastAsia="黑体" w:cs="黑体"/>
          <w:color w:val="000000"/>
          <w:kern w:val="0"/>
          <w:sz w:val="70"/>
          <w:szCs w:val="70"/>
        </w:rPr>
        <w:tab/>
      </w:r>
      <w:r>
        <w:rPr>
          <w:rFonts w:hint="eastAsia" w:ascii="宋体" w:hAnsi="宋体"/>
          <w:b/>
          <w:sz w:val="44"/>
          <w:szCs w:val="44"/>
        </w:rPr>
        <w:t>卢峰镇人民政府2021年部门整体支出</w:t>
      </w:r>
    </w:p>
    <w:p>
      <w:pPr>
        <w:jc w:val="center"/>
        <w:rPr>
          <w:rFonts w:ascii="宋体" w:hAnsi="宋体"/>
          <w:b/>
          <w:sz w:val="44"/>
          <w:szCs w:val="44"/>
        </w:rPr>
      </w:pPr>
      <w:r>
        <w:rPr>
          <w:rFonts w:hint="eastAsia" w:ascii="宋体" w:hAnsi="宋体"/>
          <w:b/>
          <w:sz w:val="44"/>
          <w:szCs w:val="44"/>
        </w:rPr>
        <w:t>绩效自评报告</w:t>
      </w:r>
    </w:p>
    <w:p>
      <w:pPr>
        <w:rPr>
          <w:rFonts w:ascii="仿宋" w:hAnsi="仿宋" w:eastAsia="仿宋"/>
          <w:sz w:val="32"/>
          <w:szCs w:val="32"/>
        </w:rPr>
      </w:pPr>
    </w:p>
    <w:p>
      <w:pPr>
        <w:ind w:firstLine="627" w:firstLineChars="196"/>
        <w:rPr>
          <w:rFonts w:ascii="宋体" w:hAnsi="宋体"/>
          <w:b/>
          <w:sz w:val="32"/>
          <w:szCs w:val="32"/>
        </w:rPr>
      </w:pPr>
      <w:r>
        <w:rPr>
          <w:rFonts w:hint="eastAsia" w:ascii="宋体" w:hAnsi="宋体"/>
          <w:b/>
          <w:sz w:val="32"/>
          <w:szCs w:val="32"/>
        </w:rPr>
        <w:t>一、部门概况</w:t>
      </w:r>
    </w:p>
    <w:p>
      <w:pPr>
        <w:ind w:firstLine="476" w:firstLineChars="149"/>
        <w:rPr>
          <w:rFonts w:ascii="仿宋" w:hAnsi="仿宋" w:eastAsia="仿宋"/>
          <w:b/>
          <w:sz w:val="32"/>
          <w:szCs w:val="32"/>
        </w:rPr>
      </w:pPr>
      <w:r>
        <w:rPr>
          <w:rFonts w:hint="eastAsia" w:ascii="仿宋" w:hAnsi="仿宋" w:eastAsia="仿宋"/>
          <w:b/>
          <w:sz w:val="32"/>
          <w:szCs w:val="32"/>
        </w:rPr>
        <w:t>（一）部门基本情况</w:t>
      </w:r>
    </w:p>
    <w:p>
      <w:pPr>
        <w:ind w:firstLine="640" w:firstLineChars="200"/>
        <w:rPr>
          <w:sz w:val="32"/>
          <w:szCs w:val="32"/>
        </w:rPr>
      </w:pPr>
      <w:r>
        <w:rPr>
          <w:rFonts w:hint="eastAsia"/>
          <w:sz w:val="32"/>
          <w:szCs w:val="32"/>
        </w:rPr>
        <w:t>卢峰镇人民政府隶属溆浦县人民政府，行政单位，全额拨款单位。编制数139人，年末在职人员164人。主要职能是</w:t>
      </w:r>
      <w:r>
        <w:rPr>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ind w:firstLine="476" w:firstLineChars="149"/>
        <w:rPr>
          <w:rFonts w:ascii="仿宋" w:hAnsi="仿宋" w:eastAsia="仿宋"/>
          <w:b/>
          <w:sz w:val="32"/>
          <w:szCs w:val="32"/>
        </w:rPr>
      </w:pPr>
      <w:r>
        <w:rPr>
          <w:rFonts w:hint="eastAsia" w:ascii="仿宋" w:hAnsi="仿宋" w:eastAsia="仿宋"/>
          <w:b/>
          <w:sz w:val="32"/>
          <w:szCs w:val="32"/>
        </w:rPr>
        <w:t>（二）收支情况</w:t>
      </w:r>
    </w:p>
    <w:p>
      <w:pPr>
        <w:ind w:firstLine="640" w:firstLineChars="200"/>
        <w:rPr>
          <w:sz w:val="32"/>
          <w:szCs w:val="32"/>
        </w:rPr>
      </w:pPr>
      <w:r>
        <w:rPr>
          <w:rFonts w:hint="eastAsia"/>
          <w:sz w:val="32"/>
          <w:szCs w:val="32"/>
        </w:rPr>
        <w:t>2021年本年收入 5141.00万元，本年支出 5141.00 万元，收支基本平衡。</w:t>
      </w:r>
    </w:p>
    <w:p>
      <w:pPr>
        <w:ind w:firstLine="627" w:firstLineChars="196"/>
        <w:rPr>
          <w:rFonts w:ascii="宋体" w:hAnsi="宋体"/>
          <w:b/>
          <w:sz w:val="32"/>
          <w:szCs w:val="32"/>
        </w:rPr>
      </w:pPr>
      <w:r>
        <w:rPr>
          <w:rFonts w:hint="eastAsia" w:ascii="宋体" w:hAnsi="宋体"/>
          <w:b/>
          <w:sz w:val="32"/>
          <w:szCs w:val="32"/>
        </w:rPr>
        <w:t>二、资金使用及管理情况</w:t>
      </w:r>
    </w:p>
    <w:p>
      <w:pPr>
        <w:ind w:firstLine="640" w:firstLineChars="200"/>
        <w:rPr>
          <w:rFonts w:ascii="仿宋" w:hAnsi="仿宋" w:eastAsia="仿宋"/>
          <w:b/>
          <w:sz w:val="32"/>
          <w:szCs w:val="32"/>
        </w:rPr>
      </w:pPr>
      <w:r>
        <w:rPr>
          <w:rFonts w:hint="eastAsia" w:ascii="仿宋" w:hAnsi="仿宋" w:eastAsia="仿宋"/>
          <w:b/>
          <w:sz w:val="32"/>
          <w:szCs w:val="32"/>
        </w:rPr>
        <w:t>（一）基本支出</w:t>
      </w:r>
    </w:p>
    <w:p>
      <w:pPr>
        <w:ind w:firstLine="640" w:firstLineChars="200"/>
        <w:rPr>
          <w:sz w:val="32"/>
          <w:szCs w:val="32"/>
        </w:rPr>
      </w:pPr>
      <w:r>
        <w:rPr>
          <w:rFonts w:hint="eastAsia"/>
          <w:sz w:val="32"/>
          <w:szCs w:val="32"/>
        </w:rPr>
        <w:t>支出决算情况：2021年基本支出3714.57万元</w:t>
      </w:r>
      <w:r>
        <w:rPr>
          <w:rFonts w:hint="eastAsia" w:ascii="仿宋" w:hAnsi="仿宋" w:eastAsia="仿宋"/>
          <w:sz w:val="32"/>
          <w:szCs w:val="32"/>
        </w:rPr>
        <w:t>。</w:t>
      </w:r>
      <w:r>
        <w:rPr>
          <w:rFonts w:hint="eastAsia"/>
          <w:sz w:val="32"/>
          <w:szCs w:val="32"/>
        </w:rPr>
        <w:t>支出按功能分类情况如下：一般公共服务支出1477.78万元、公共安全支出3万元、文化体育旅游与传媒支出4万、社会保障和就业支出238.33万元、卫生健康支出473.52万元、城乡社区支出48.84万元、农林水支出1388.41万元、住房保障支出70.69万元、灾害防治及应急管理支出5万元、其他支出5万元；支出按经济分类情况如下：人员经费2551.23万元（工资福利支出2256.52万元、对个人和家庭的补助294.71万元）、日常公用经费1152.34万元(2021年“三公”经费支出7.44万元，其中公务接待费4.9万元、公车运行费2.54万元)。</w:t>
      </w:r>
    </w:p>
    <w:p>
      <w:pPr>
        <w:ind w:firstLine="640" w:firstLineChars="200"/>
        <w:rPr>
          <w:rFonts w:ascii="仿宋" w:hAnsi="仿宋" w:eastAsia="仿宋"/>
          <w:b/>
          <w:sz w:val="32"/>
          <w:szCs w:val="32"/>
        </w:rPr>
      </w:pPr>
      <w:r>
        <w:rPr>
          <w:rFonts w:hint="eastAsia" w:ascii="仿宋" w:hAnsi="仿宋" w:eastAsia="仿宋"/>
          <w:b/>
          <w:sz w:val="32"/>
          <w:szCs w:val="32"/>
        </w:rPr>
        <w:t>（二）项目支出</w:t>
      </w:r>
    </w:p>
    <w:p>
      <w:pPr>
        <w:pStyle w:val="2"/>
        <w:rPr>
          <w:sz w:val="32"/>
          <w:szCs w:val="32"/>
        </w:rPr>
      </w:pPr>
      <w:r>
        <w:rPr>
          <w:rFonts w:hint="eastAsia"/>
          <w:sz w:val="32"/>
          <w:szCs w:val="32"/>
        </w:rPr>
        <w:t xml:space="preserve">    2021年项目支出1426.43万元。其中基本建设类支出619.16万元。</w:t>
      </w:r>
    </w:p>
    <w:p>
      <w:pPr>
        <w:ind w:firstLine="640" w:firstLineChars="200"/>
        <w:rPr>
          <w:rFonts w:ascii="仿宋" w:hAnsi="仿宋" w:eastAsia="仿宋"/>
          <w:b/>
          <w:sz w:val="32"/>
          <w:szCs w:val="32"/>
        </w:rPr>
      </w:pPr>
      <w:r>
        <w:rPr>
          <w:rFonts w:hint="eastAsia" w:ascii="仿宋" w:hAnsi="仿宋" w:eastAsia="仿宋"/>
          <w:b/>
          <w:sz w:val="32"/>
          <w:szCs w:val="32"/>
        </w:rPr>
        <w:t>（三）资金管理情况</w:t>
      </w:r>
    </w:p>
    <w:p>
      <w:pPr>
        <w:ind w:firstLine="787" w:firstLineChars="246"/>
        <w:rPr>
          <w:sz w:val="32"/>
          <w:szCs w:val="32"/>
        </w:rPr>
      </w:pPr>
      <w:r>
        <w:rPr>
          <w:rFonts w:hint="eastAsia"/>
          <w:sz w:val="32"/>
          <w:szCs w:val="32"/>
        </w:rPr>
        <w:t>在日常开支中我镇坚决执行厉行节约原则，所有支出实行镇长审核、分管财贸领导审批后进行报账，有效控制了我镇其他非刚性支出，实现了收支基本平衡，严禁举债消费，举债搞项目建设，采取多种途径筹措资金消化债务，全年未发生新增债务情况。在项目资金管理方面，我镇坚决落实《乡村项目资金管理制度》，建立项目库，严把项目立项关、质量验收关、工程结算关、资金拨付关。在项目建设的每一个环节把住关卡，确保财政项目资金落到实处，充分发挥绩效。</w:t>
      </w:r>
    </w:p>
    <w:p>
      <w:pPr>
        <w:ind w:firstLine="640" w:firstLineChars="200"/>
        <w:rPr>
          <w:rFonts w:ascii="宋体" w:hAnsi="宋体"/>
          <w:b/>
          <w:sz w:val="32"/>
          <w:szCs w:val="32"/>
        </w:rPr>
      </w:pPr>
      <w:r>
        <w:rPr>
          <w:rFonts w:hint="eastAsia" w:ascii="宋体" w:hAnsi="宋体"/>
          <w:b/>
          <w:sz w:val="32"/>
          <w:szCs w:val="32"/>
        </w:rPr>
        <w:t>三、整体支出绩效情况</w:t>
      </w:r>
    </w:p>
    <w:p>
      <w:pPr>
        <w:ind w:firstLine="640"/>
        <w:rPr>
          <w:sz w:val="32"/>
          <w:szCs w:val="32"/>
        </w:rPr>
      </w:pPr>
      <w:r>
        <w:rPr>
          <w:rFonts w:hint="eastAsia"/>
          <w:sz w:val="32"/>
          <w:szCs w:val="32"/>
        </w:rPr>
        <w:t>2021年来，我镇各项工作取得了一些成效。具体如下：</w:t>
      </w:r>
    </w:p>
    <w:p>
      <w:pPr>
        <w:spacing w:line="600" w:lineRule="exact"/>
        <w:ind w:firstLine="640" w:firstLineChars="200"/>
        <w:rPr>
          <w:sz w:val="32"/>
          <w:szCs w:val="32"/>
        </w:rPr>
      </w:pPr>
      <w:r>
        <w:rPr>
          <w:rFonts w:hint="eastAsia" w:ascii="楷体" w:hAnsi="楷体" w:eastAsia="楷体" w:cs="楷体"/>
          <w:b/>
          <w:kern w:val="0"/>
          <w:sz w:val="32"/>
          <w:szCs w:val="32"/>
          <w:shd w:val="clear" w:color="auto" w:fill="FFFFFF"/>
        </w:rPr>
        <w:t>（一）筑牢意识形态。</w:t>
      </w:r>
      <w:r>
        <w:rPr>
          <w:rFonts w:hint="eastAsia"/>
          <w:sz w:val="32"/>
          <w:szCs w:val="32"/>
        </w:rPr>
        <w:t>深入学习贯彻习近平新时代中国特色社会主义思想和党的十九届五中、六中全会精神，理解和把握开展党史学习教育的重大意义，切实把思想和行动统一到习近平总书记关于学党史、用党史的重要论述上来，提高政治站位，将其作为一项重要政治任务抓紧抓好。镇党委理论学习中心组开展集体学习</w:t>
      </w:r>
      <w:r>
        <w:rPr>
          <w:sz w:val="32"/>
          <w:szCs w:val="32"/>
        </w:rPr>
        <w:t>8</w:t>
      </w:r>
      <w:r>
        <w:rPr>
          <w:rFonts w:hint="eastAsia"/>
          <w:sz w:val="32"/>
          <w:szCs w:val="32"/>
        </w:rPr>
        <w:t>次。镇属96个党支部运用“三会一课”组织党员集中学党史，把学习党史教育推动为民服务工作相结合，开展为民办实事活动。并动员广大党员干部通过“掌上怀化”APP学习党史，积极参与“百年党史”线上知识竞赛活动。</w:t>
      </w:r>
    </w:p>
    <w:p>
      <w:pPr>
        <w:spacing w:line="560" w:lineRule="exact"/>
        <w:ind w:firstLine="640" w:firstLineChars="200"/>
        <w:rPr>
          <w:sz w:val="32"/>
          <w:szCs w:val="32"/>
        </w:rPr>
      </w:pPr>
      <w:r>
        <w:rPr>
          <w:rFonts w:hint="eastAsia" w:ascii="楷体" w:hAnsi="楷体" w:eastAsia="楷体" w:cs="楷体"/>
          <w:b/>
          <w:kern w:val="0"/>
          <w:sz w:val="32"/>
          <w:szCs w:val="32"/>
          <w:shd w:val="clear" w:color="auto" w:fill="FFFFFF"/>
        </w:rPr>
        <w:t>（二）用心用情抓基层</w:t>
      </w:r>
      <w:r>
        <w:rPr>
          <w:rFonts w:ascii="楷体" w:hAnsi="楷体" w:eastAsia="楷体" w:cs="楷体"/>
          <w:b/>
          <w:kern w:val="0"/>
          <w:sz w:val="32"/>
          <w:szCs w:val="32"/>
          <w:shd w:val="clear" w:color="auto" w:fill="FFFFFF"/>
        </w:rPr>
        <w:t>党建</w:t>
      </w:r>
      <w:r>
        <w:rPr>
          <w:rFonts w:hint="eastAsia" w:ascii="楷体" w:hAnsi="楷体" w:eastAsia="楷体" w:cs="楷体"/>
          <w:b/>
          <w:kern w:val="0"/>
          <w:sz w:val="32"/>
          <w:szCs w:val="32"/>
          <w:shd w:val="clear" w:color="auto" w:fill="FFFFFF"/>
        </w:rPr>
        <w:t>。</w:t>
      </w:r>
      <w:r>
        <w:rPr>
          <w:rFonts w:hint="eastAsia"/>
          <w:sz w:val="32"/>
          <w:szCs w:val="32"/>
        </w:rPr>
        <w:t>开展了七一表彰大会，表彰优秀共产党员96名，优秀党务工作者27名，先进基层党组织12个，为520余名50年以上党龄老党员颁发“光荣在党50年”纪念章；扎实开展七一慰问走访，走访困难党员3名，困难群众1名，老党员107名，共发放慰问金68200 元。各党支部扎实开展党史学习教育，把党史学习教育作为一项重大任务来抓，开展了“党旗在一线高高飘扬”主题党日、党史学习教育专题组织生活会及党课开讲啦活动，回顾党的光荣历史、优良传统。培训入党积极分子54人，发展预备党员37人。圆满</w:t>
      </w:r>
      <w:r>
        <w:rPr>
          <w:sz w:val="32"/>
          <w:szCs w:val="32"/>
        </w:rPr>
        <w:t>完成怀化市离退休干部党务工作在屈原</w:t>
      </w:r>
      <w:r>
        <w:rPr>
          <w:rFonts w:hint="eastAsia"/>
          <w:sz w:val="32"/>
          <w:szCs w:val="32"/>
        </w:rPr>
        <w:t>社区</w:t>
      </w:r>
      <w:r>
        <w:rPr>
          <w:sz w:val="32"/>
          <w:szCs w:val="32"/>
        </w:rPr>
        <w:t>、迎宾</w:t>
      </w:r>
      <w:r>
        <w:rPr>
          <w:rFonts w:hint="eastAsia"/>
          <w:sz w:val="32"/>
          <w:szCs w:val="32"/>
        </w:rPr>
        <w:t>社区</w:t>
      </w:r>
      <w:r>
        <w:rPr>
          <w:sz w:val="32"/>
          <w:szCs w:val="32"/>
        </w:rPr>
        <w:t>的现场</w:t>
      </w:r>
      <w:r>
        <w:rPr>
          <w:rFonts w:hint="eastAsia"/>
          <w:sz w:val="32"/>
          <w:szCs w:val="32"/>
        </w:rPr>
        <w:t>会议</w:t>
      </w:r>
      <w:r>
        <w:rPr>
          <w:sz w:val="32"/>
          <w:szCs w:val="32"/>
        </w:rPr>
        <w:t>。</w:t>
      </w:r>
    </w:p>
    <w:p>
      <w:pPr>
        <w:spacing w:line="600" w:lineRule="exact"/>
        <w:ind w:firstLine="640" w:firstLineChars="200"/>
        <w:rPr>
          <w:rFonts w:ascii="仿宋_GB2312" w:hAnsi="仿宋_GB2312" w:eastAsia="仿宋_GB2312" w:cs="仿宋_GB2312"/>
          <w:bCs/>
          <w:sz w:val="32"/>
          <w:szCs w:val="32"/>
        </w:rPr>
      </w:pPr>
      <w:r>
        <w:rPr>
          <w:rFonts w:hint="eastAsia" w:ascii="楷体" w:hAnsi="楷体" w:eastAsia="楷体" w:cs="楷体"/>
          <w:b/>
          <w:kern w:val="0"/>
          <w:sz w:val="32"/>
          <w:szCs w:val="32"/>
          <w:shd w:val="clear" w:color="auto" w:fill="FFFFFF"/>
        </w:rPr>
        <w:t>（三）着力推进党风廉政建设。</w:t>
      </w:r>
      <w:r>
        <w:rPr>
          <w:rFonts w:hint="eastAsia"/>
          <w:sz w:val="32"/>
          <w:szCs w:val="32"/>
        </w:rPr>
        <w:t>广泛开展廉政谈话，筑牢党员干部廉洁自律防线。镇党委进一步压紧压实党风廉政建设主体责任，纪委监督责任和分管领导党风廉政“一岗双责”。今年全镇共约谈</w:t>
      </w:r>
      <w:r>
        <w:rPr>
          <w:sz w:val="32"/>
          <w:szCs w:val="32"/>
        </w:rPr>
        <w:t> </w:t>
      </w:r>
      <w:r>
        <w:rPr>
          <w:rFonts w:hint="eastAsia"/>
          <w:sz w:val="32"/>
          <w:szCs w:val="32"/>
        </w:rPr>
        <w:t>210人次，提醒谈话</w:t>
      </w:r>
      <w:r>
        <w:rPr>
          <w:sz w:val="32"/>
          <w:szCs w:val="32"/>
        </w:rPr>
        <w:t> </w:t>
      </w:r>
      <w:r>
        <w:rPr>
          <w:rFonts w:hint="eastAsia"/>
          <w:sz w:val="32"/>
          <w:szCs w:val="32"/>
        </w:rPr>
        <w:t>21人次，诫勉谈话</w:t>
      </w:r>
      <w:r>
        <w:rPr>
          <w:sz w:val="32"/>
          <w:szCs w:val="32"/>
        </w:rPr>
        <w:t>  </w:t>
      </w:r>
      <w:r>
        <w:rPr>
          <w:rFonts w:hint="eastAsia"/>
          <w:sz w:val="32"/>
          <w:szCs w:val="32"/>
        </w:rPr>
        <w:t>5人，全年党纪政务处分38人，县纪委立案审查调查5人，镇纪委立案</w:t>
      </w:r>
      <w:r>
        <w:rPr>
          <w:sz w:val="32"/>
          <w:szCs w:val="32"/>
        </w:rPr>
        <w:t> </w:t>
      </w:r>
      <w:r>
        <w:rPr>
          <w:rFonts w:hint="eastAsia"/>
          <w:sz w:val="32"/>
          <w:szCs w:val="32"/>
        </w:rPr>
        <w:t>审查33人，其中行政警告1人，党内警告</w:t>
      </w:r>
      <w:r>
        <w:rPr>
          <w:sz w:val="32"/>
          <w:szCs w:val="32"/>
        </w:rPr>
        <w:t>  </w:t>
      </w:r>
      <w:r>
        <w:rPr>
          <w:rFonts w:hint="eastAsia"/>
          <w:sz w:val="32"/>
          <w:szCs w:val="32"/>
        </w:rPr>
        <w:t>26人，党内严重警告</w:t>
      </w:r>
      <w:r>
        <w:rPr>
          <w:sz w:val="32"/>
          <w:szCs w:val="32"/>
        </w:rPr>
        <w:t> </w:t>
      </w:r>
      <w:r>
        <w:rPr>
          <w:rFonts w:hint="eastAsia"/>
          <w:sz w:val="32"/>
          <w:szCs w:val="32"/>
        </w:rPr>
        <w:t>6 人，留党察看</w:t>
      </w:r>
      <w:r>
        <w:rPr>
          <w:sz w:val="32"/>
          <w:szCs w:val="32"/>
        </w:rPr>
        <w:t> </w:t>
      </w:r>
      <w:r>
        <w:rPr>
          <w:rFonts w:hint="eastAsia"/>
          <w:sz w:val="32"/>
          <w:szCs w:val="32"/>
        </w:rPr>
        <w:t>1</w:t>
      </w:r>
      <w:r>
        <w:rPr>
          <w:sz w:val="32"/>
          <w:szCs w:val="32"/>
        </w:rPr>
        <w:t> </w:t>
      </w:r>
      <w:r>
        <w:rPr>
          <w:rFonts w:hint="eastAsia"/>
          <w:sz w:val="32"/>
          <w:szCs w:val="32"/>
        </w:rPr>
        <w:t>人，开除党籍</w:t>
      </w:r>
      <w:r>
        <w:rPr>
          <w:sz w:val="32"/>
          <w:szCs w:val="32"/>
        </w:rPr>
        <w:t>  </w:t>
      </w:r>
      <w:r>
        <w:rPr>
          <w:rFonts w:hint="eastAsia"/>
          <w:sz w:val="32"/>
          <w:szCs w:val="32"/>
        </w:rPr>
        <w:t>4 人。</w:t>
      </w:r>
    </w:p>
    <w:p>
      <w:pPr>
        <w:spacing w:line="600" w:lineRule="exact"/>
        <w:ind w:firstLine="640" w:firstLineChars="200"/>
        <w:rPr>
          <w:sz w:val="32"/>
          <w:szCs w:val="32"/>
        </w:rPr>
      </w:pPr>
      <w:r>
        <w:rPr>
          <w:rFonts w:hint="eastAsia" w:ascii="楷体" w:hAnsi="楷体" w:eastAsia="楷体" w:cs="楷体"/>
          <w:b/>
          <w:kern w:val="0"/>
          <w:sz w:val="32"/>
          <w:szCs w:val="32"/>
          <w:shd w:val="clear" w:color="auto" w:fill="FFFFFF"/>
        </w:rPr>
        <w:t>（四）扎实推进乡村振兴工作。</w:t>
      </w:r>
      <w:r>
        <w:rPr>
          <w:rFonts w:hint="eastAsia"/>
          <w:sz w:val="32"/>
          <w:szCs w:val="32"/>
        </w:rPr>
        <w:t>一是持续深入开展农村环境整治。以“一拆二改三清四化”为抓手，突出 “五治”重点，落实“六无一全”标准，通过组织集中清扫带动村民自主管理，实现常态化保洁。二是巩固提升扶贫成效。坚决守住致贫返贫底线，对易返贫致贫人口进行动态监测，全镇共178风险监测户，通过有能力的干部帮扶，共138户消除风险；没有劳动能力的，做好兜底保障，共794户兜底保障。同时加强易地搬迁群众的后续帮扶，对易地搬迁的216户实行易地搬迁后续帮扶</w:t>
      </w:r>
      <w:r>
        <w:rPr>
          <w:sz w:val="32"/>
          <w:szCs w:val="32"/>
        </w:rPr>
        <w:t> </w:t>
      </w:r>
      <w:r>
        <w:rPr>
          <w:rFonts w:hint="eastAsia"/>
          <w:sz w:val="32"/>
          <w:szCs w:val="32"/>
        </w:rPr>
        <w:t>，确保他们能稳得住、有就业，逐步能致富。三是营造良好氛围。用好村规民约和幸福基金，加强宣传引导，引导村民参与乡村治理，实现自我管理、自我教育、自我服务、自我发展，为乡村振兴营造良好的群众环境。</w:t>
      </w:r>
    </w:p>
    <w:p>
      <w:pPr>
        <w:ind w:firstLine="640" w:firstLineChars="200"/>
        <w:rPr>
          <w:rFonts w:ascii="仿宋" w:hAnsi="仿宋" w:eastAsia="仿宋" w:cs="仿宋"/>
          <w:sz w:val="32"/>
          <w:szCs w:val="32"/>
        </w:rPr>
      </w:pPr>
      <w:r>
        <w:rPr>
          <w:rFonts w:hint="eastAsia" w:ascii="楷体" w:hAnsi="楷体" w:eastAsia="楷体" w:cs="楷体"/>
          <w:b/>
          <w:kern w:val="0"/>
          <w:sz w:val="32"/>
          <w:szCs w:val="32"/>
          <w:shd w:val="clear" w:color="auto" w:fill="FFFFFF"/>
        </w:rPr>
        <w:t>(五）扎实落实“五个到户”工作。</w:t>
      </w:r>
      <w:r>
        <w:rPr>
          <w:rFonts w:hint="eastAsia"/>
          <w:sz w:val="32"/>
          <w:szCs w:val="32"/>
        </w:rPr>
        <w:t>全镇31个村农户</w:t>
      </w:r>
      <w:r>
        <w:rPr>
          <w:sz w:val="32"/>
          <w:szCs w:val="32"/>
        </w:rPr>
        <w:t>28013</w:t>
      </w:r>
      <w:r>
        <w:rPr>
          <w:rFonts w:hint="eastAsia"/>
          <w:sz w:val="32"/>
          <w:szCs w:val="32"/>
        </w:rPr>
        <w:t>户，总体按照有能力的党员、组织全镇村两级干部、驻村工作队员、农村党员（入党积极分子）等联系农户，全镇139名干部、43名工作队、165名村干部、1564名普通党员、456名组长及后盾单位  名共计2367名党员干部参与联系群众。制定了卢峰镇党员干部联系服务群众五个到户工作提示、五个到户相关要求，明确了走访任务、走访目的及相关要求；召开了</w:t>
      </w:r>
      <w:r>
        <w:rPr>
          <w:sz w:val="32"/>
          <w:szCs w:val="32"/>
        </w:rPr>
        <w:t>4</w:t>
      </w:r>
      <w:r>
        <w:rPr>
          <w:rFonts w:hint="eastAsia"/>
          <w:sz w:val="32"/>
          <w:szCs w:val="32"/>
        </w:rPr>
        <w:t>次党委会研究部署五个到户工作；召开</w:t>
      </w:r>
      <w:r>
        <w:rPr>
          <w:sz w:val="32"/>
          <w:szCs w:val="32"/>
        </w:rPr>
        <w:t>5</w:t>
      </w:r>
      <w:r>
        <w:rPr>
          <w:rFonts w:hint="eastAsia"/>
          <w:sz w:val="32"/>
          <w:szCs w:val="32"/>
        </w:rPr>
        <w:t>次镇村干部会，培训五个到户相关内容；31个村召开培训会，累计培训党员干部2740余人。组织集中走访2次，发放了“五个到户”便民联系卡27828张、民情记事本2055本、政策明白册27934份。通过走访，广泛听取群众意见建议、收集解决问题，共收集问题</w:t>
      </w:r>
      <w:r>
        <w:rPr>
          <w:sz w:val="32"/>
          <w:szCs w:val="32"/>
        </w:rPr>
        <w:t>406</w:t>
      </w:r>
      <w:r>
        <w:rPr>
          <w:rFonts w:hint="eastAsia"/>
          <w:sz w:val="32"/>
          <w:szCs w:val="32"/>
        </w:rPr>
        <w:t>条，其中现场化解矛盾纠纷145条，召开村级民情平碰头会化解问题203条、镇党委对村级党组织无法解决的</w:t>
      </w:r>
      <w:r>
        <w:rPr>
          <w:sz w:val="32"/>
          <w:szCs w:val="32"/>
        </w:rPr>
        <w:t>58</w:t>
      </w:r>
      <w:r>
        <w:rPr>
          <w:rFonts w:hint="eastAsia"/>
          <w:sz w:val="32"/>
          <w:szCs w:val="32"/>
        </w:rPr>
        <w:t>个问题召开了民情会，进行了分析研讨。</w:t>
      </w:r>
    </w:p>
    <w:p>
      <w:pPr>
        <w:spacing w:line="600" w:lineRule="exact"/>
        <w:ind w:firstLine="640" w:firstLineChars="200"/>
        <w:rPr>
          <w:sz w:val="32"/>
          <w:szCs w:val="32"/>
        </w:rPr>
      </w:pPr>
      <w:r>
        <w:rPr>
          <w:rFonts w:hint="eastAsia" w:ascii="楷体" w:hAnsi="楷体" w:eastAsia="楷体" w:cs="楷体"/>
          <w:b/>
          <w:sz w:val="32"/>
          <w:szCs w:val="32"/>
        </w:rPr>
        <w:t>（六）常态化疫情防控扎实有效。</w:t>
      </w:r>
      <w:r>
        <w:rPr>
          <w:rFonts w:hint="eastAsia"/>
          <w:sz w:val="32"/>
          <w:szCs w:val="32"/>
        </w:rPr>
        <w:t>通过“数据化+网格化”核实信息反馈3058条，核实属于我镇中高返溆人员共850人，开展镇级应急演练3次。交通站管日排查查验1680余人。在城区小区设立了50个临时党支部，每天工作14个小时，排查接种情况、外出返溆人员，共动员接种118918余人，排查外出返溆1012余人；对进出入车辆和人员进行严格的“一测三查”，即测体温，查戴口罩、查健康码、查行程码，并对小区每天消毒，向居民进行防疫宣传。安排城区108个单位党员干部下沉到10个社区和2个城中村1068个微网格，开展了10天集中排查攻坚行动，共排查31335户82014人，排查未接种人员3505人，动员率100%。安排城区108个单位党员干部下沉到10个社区和2个城中村1068个微网格，开展了10天集中排查攻坚行动，共排查31335户82014人，排查未接种人员3505人，动员率100%。</w:t>
      </w:r>
    </w:p>
    <w:p>
      <w:pPr>
        <w:rPr>
          <w:sz w:val="32"/>
          <w:szCs w:val="32"/>
        </w:rPr>
      </w:pPr>
      <w:r>
        <w:rPr>
          <w:rFonts w:hint="eastAsia" w:ascii="楷体_GB2312" w:hAnsi="楷体_GB2312" w:eastAsia="楷体_GB2312" w:cs="楷体_GB2312"/>
          <w:b/>
          <w:sz w:val="32"/>
          <w:szCs w:val="32"/>
        </w:rPr>
        <w:t xml:space="preserve">   （七）</w:t>
      </w:r>
      <w:r>
        <w:rPr>
          <w:rFonts w:hint="eastAsia" w:ascii="楷体" w:hAnsi="楷体" w:eastAsia="楷体" w:cs="楷体"/>
          <w:b/>
          <w:sz w:val="32"/>
          <w:szCs w:val="32"/>
        </w:rPr>
        <w:t>其他需要报告的情况和工作。</w:t>
      </w:r>
      <w:r>
        <w:rPr>
          <w:rFonts w:hint="eastAsia"/>
          <w:sz w:val="32"/>
          <w:szCs w:val="32"/>
        </w:rPr>
        <w:t>1.全力助推县城建设。配合完成</w:t>
      </w:r>
      <w:r>
        <w:rPr>
          <w:sz w:val="32"/>
          <w:szCs w:val="32"/>
        </w:rPr>
        <w:t>县纪委对面</w:t>
      </w:r>
      <w:r>
        <w:rPr>
          <w:rFonts w:hint="eastAsia"/>
          <w:sz w:val="32"/>
          <w:szCs w:val="32"/>
        </w:rPr>
        <w:t>、灵翠山公园</w:t>
      </w:r>
      <w:r>
        <w:rPr>
          <w:sz w:val="32"/>
          <w:szCs w:val="32"/>
        </w:rPr>
        <w:t>南大门</w:t>
      </w:r>
      <w:r>
        <w:rPr>
          <w:rFonts w:hint="eastAsia"/>
          <w:sz w:val="32"/>
          <w:szCs w:val="32"/>
        </w:rPr>
        <w:t>等征地拆迁工作，重点项目建设顺利进行。2.完善农村建设。实施农村改厕</w:t>
      </w:r>
      <w:r>
        <w:rPr>
          <w:sz w:val="32"/>
          <w:szCs w:val="32"/>
        </w:rPr>
        <w:t>605</w:t>
      </w:r>
      <w:r>
        <w:rPr>
          <w:rFonts w:hint="eastAsia"/>
          <w:sz w:val="32"/>
          <w:szCs w:val="32"/>
        </w:rPr>
        <w:t>座。坚决落实河长制，镇级河段巡查</w:t>
      </w:r>
      <w:r>
        <w:rPr>
          <w:sz w:val="32"/>
          <w:szCs w:val="32"/>
        </w:rPr>
        <w:t>358</w:t>
      </w:r>
      <w:r>
        <w:rPr>
          <w:rFonts w:hint="eastAsia"/>
          <w:sz w:val="32"/>
          <w:szCs w:val="32"/>
        </w:rPr>
        <w:t>次，设立镇级河长公式牌</w:t>
      </w:r>
      <w:r>
        <w:rPr>
          <w:sz w:val="32"/>
          <w:szCs w:val="32"/>
        </w:rPr>
        <w:t>13</w:t>
      </w:r>
      <w:r>
        <w:rPr>
          <w:rFonts w:hint="eastAsia"/>
          <w:sz w:val="32"/>
          <w:szCs w:val="32"/>
        </w:rPr>
        <w:t>块，村级河长公示牌</w:t>
      </w:r>
      <w:r>
        <w:rPr>
          <w:sz w:val="32"/>
          <w:szCs w:val="32"/>
        </w:rPr>
        <w:t>20</w:t>
      </w:r>
      <w:r>
        <w:rPr>
          <w:rFonts w:hint="eastAsia"/>
          <w:sz w:val="32"/>
          <w:szCs w:val="32"/>
        </w:rPr>
        <w:t>块；充分利用村村响、横幅、公示牌、微信等方式，对全面推进河长制工作进行宣传教育和舆论引导，增强公众参与河流保护的责任意识；多次开展河道保洁专项行动整治工作，累计出动</w:t>
      </w:r>
      <w:r>
        <w:rPr>
          <w:sz w:val="32"/>
          <w:szCs w:val="32"/>
        </w:rPr>
        <w:t>800</w:t>
      </w:r>
      <w:r>
        <w:rPr>
          <w:rFonts w:hint="eastAsia"/>
          <w:sz w:val="32"/>
          <w:szCs w:val="32"/>
        </w:rPr>
        <w:t>人次，</w:t>
      </w:r>
      <w:r>
        <w:rPr>
          <w:sz w:val="32"/>
          <w:szCs w:val="32"/>
        </w:rPr>
        <w:t>6</w:t>
      </w:r>
      <w:r>
        <w:rPr>
          <w:rFonts w:hint="eastAsia"/>
          <w:sz w:val="32"/>
          <w:szCs w:val="32"/>
        </w:rPr>
        <w:t>台大型车辆对水面垃圾、漂浮物等进行集中处理，河湖环境明显改善。加大对县城集中式饮用水源保护区综合治理力度，通过加大污染源排查力度，修建隔离栅栏、组织专门队伍开展常态化巡查，制定入户宣传资料和警示牌，对水源保护区进行封闭式管理等方式，确保饮水安全。3.狠抓民生保障。2021年度城乡居民养老保险参保人数为</w:t>
      </w:r>
      <w:r>
        <w:rPr>
          <w:sz w:val="32"/>
          <w:szCs w:val="32"/>
        </w:rPr>
        <w:t>  </w:t>
      </w:r>
      <w:r>
        <w:rPr>
          <w:rFonts w:hint="eastAsia"/>
          <w:sz w:val="32"/>
          <w:szCs w:val="32"/>
        </w:rPr>
        <w:t>32443 人；为921人办理了就业失业登记证，为 323人办理“灵活就业社保补贴”；30人完成创业技能培训、“两后生”技能培训</w:t>
      </w:r>
      <w:r>
        <w:rPr>
          <w:sz w:val="32"/>
          <w:szCs w:val="32"/>
        </w:rPr>
        <w:t>  </w:t>
      </w:r>
      <w:r>
        <w:rPr>
          <w:rFonts w:hint="eastAsia"/>
          <w:sz w:val="32"/>
          <w:szCs w:val="32"/>
        </w:rPr>
        <w:t>2 人。制定《卢峰镇养老保险待遇核查“回头看”工作方案》，交办各村居基金专项整治整改工作交办件，养老保险待遇核查“回头看”核查243245人，并进行了系统录入工作。全镇违规领待稽核追款384人，共计金额53.89万元。全镇老卡（老农保卡）更换新卡（国家社保卡）任务273张。积极落实救助制度，临时救济</w:t>
      </w:r>
      <w:r>
        <w:rPr>
          <w:sz w:val="32"/>
          <w:szCs w:val="32"/>
        </w:rPr>
        <w:t> </w:t>
      </w:r>
      <w:r>
        <w:rPr>
          <w:rFonts w:hint="eastAsia"/>
          <w:sz w:val="32"/>
          <w:szCs w:val="32"/>
        </w:rPr>
        <w:t>1067</w:t>
      </w:r>
      <w:r>
        <w:rPr>
          <w:sz w:val="32"/>
          <w:szCs w:val="32"/>
        </w:rPr>
        <w:t> </w:t>
      </w:r>
      <w:r>
        <w:rPr>
          <w:rFonts w:hint="eastAsia"/>
          <w:sz w:val="32"/>
          <w:szCs w:val="32"/>
        </w:rPr>
        <w:t>人，发放临时救助款</w:t>
      </w:r>
      <w:r>
        <w:rPr>
          <w:sz w:val="32"/>
          <w:szCs w:val="32"/>
        </w:rPr>
        <w:t> </w:t>
      </w:r>
      <w:r>
        <w:rPr>
          <w:rFonts w:hint="eastAsia"/>
          <w:sz w:val="32"/>
          <w:szCs w:val="32"/>
        </w:rPr>
        <w:t>110.69 余万元。今年全镇</w:t>
      </w:r>
      <w:r>
        <w:rPr>
          <w:sz w:val="32"/>
          <w:szCs w:val="32"/>
        </w:rPr>
        <w:t>粮食总播种面积</w:t>
      </w:r>
      <w:r>
        <w:rPr>
          <w:rFonts w:hint="eastAsia"/>
          <w:sz w:val="32"/>
          <w:szCs w:val="32"/>
        </w:rPr>
        <w:t>7.81万亩</w:t>
      </w:r>
      <w:r>
        <w:rPr>
          <w:sz w:val="32"/>
          <w:szCs w:val="32"/>
        </w:rPr>
        <w:t>，</w:t>
      </w:r>
      <w:r>
        <w:rPr>
          <w:rFonts w:hint="eastAsia"/>
          <w:sz w:val="32"/>
          <w:szCs w:val="32"/>
        </w:rPr>
        <w:t>水稻播</w:t>
      </w:r>
      <w:r>
        <w:rPr>
          <w:sz w:val="32"/>
          <w:szCs w:val="32"/>
        </w:rPr>
        <w:t>种面积</w:t>
      </w:r>
      <w:r>
        <w:rPr>
          <w:rFonts w:hint="eastAsia"/>
          <w:sz w:val="32"/>
          <w:szCs w:val="32"/>
        </w:rPr>
        <w:t>6.2万亩</w:t>
      </w:r>
      <w:r>
        <w:rPr>
          <w:sz w:val="32"/>
          <w:szCs w:val="32"/>
        </w:rPr>
        <w:t>，其中优质水稻5.4</w:t>
      </w:r>
      <w:r>
        <w:rPr>
          <w:rFonts w:hint="eastAsia"/>
          <w:sz w:val="32"/>
          <w:szCs w:val="32"/>
        </w:rPr>
        <w:t>万</w:t>
      </w:r>
      <w:r>
        <w:rPr>
          <w:sz w:val="32"/>
          <w:szCs w:val="32"/>
        </w:rPr>
        <w:t>亩，油菜</w:t>
      </w:r>
      <w:r>
        <w:rPr>
          <w:rFonts w:hint="eastAsia"/>
          <w:sz w:val="32"/>
          <w:szCs w:val="32"/>
        </w:rPr>
        <w:t>种植3.81万</w:t>
      </w:r>
      <w:r>
        <w:rPr>
          <w:sz w:val="32"/>
          <w:szCs w:val="32"/>
        </w:rPr>
        <w:t>亩，蔬菜</w:t>
      </w:r>
      <w:r>
        <w:rPr>
          <w:rFonts w:hint="eastAsia"/>
          <w:sz w:val="32"/>
          <w:szCs w:val="32"/>
        </w:rPr>
        <w:t>1.15万</w:t>
      </w:r>
      <w:r>
        <w:rPr>
          <w:sz w:val="32"/>
          <w:szCs w:val="32"/>
        </w:rPr>
        <w:t>亩，经济作物</w:t>
      </w:r>
      <w:r>
        <w:rPr>
          <w:rFonts w:hint="eastAsia"/>
          <w:sz w:val="32"/>
          <w:szCs w:val="32"/>
        </w:rPr>
        <w:t>5</w:t>
      </w:r>
      <w:r>
        <w:rPr>
          <w:sz w:val="32"/>
          <w:szCs w:val="32"/>
        </w:rPr>
        <w:t>.</w:t>
      </w:r>
      <w:r>
        <w:rPr>
          <w:rFonts w:hint="eastAsia"/>
          <w:sz w:val="32"/>
          <w:szCs w:val="32"/>
        </w:rPr>
        <w:t>36万</w:t>
      </w:r>
      <w:r>
        <w:rPr>
          <w:sz w:val="32"/>
          <w:szCs w:val="32"/>
        </w:rPr>
        <w:t>亩；严格执行各项惠农补贴政策，一年来共发放农机购置补贴</w:t>
      </w:r>
      <w:r>
        <w:rPr>
          <w:rFonts w:hint="eastAsia"/>
          <w:sz w:val="32"/>
          <w:szCs w:val="32"/>
        </w:rPr>
        <w:t>110.52</w:t>
      </w:r>
      <w:r>
        <w:rPr>
          <w:sz w:val="32"/>
          <w:szCs w:val="32"/>
        </w:rPr>
        <w:t>万元，适度规模经营补贴资金</w:t>
      </w:r>
      <w:r>
        <w:rPr>
          <w:rFonts w:hint="eastAsia"/>
          <w:sz w:val="32"/>
          <w:szCs w:val="32"/>
        </w:rPr>
        <w:t>56.94</w:t>
      </w:r>
      <w:r>
        <w:rPr>
          <w:sz w:val="32"/>
          <w:szCs w:val="32"/>
        </w:rPr>
        <w:t>万余元。</w:t>
      </w:r>
      <w:r>
        <w:rPr>
          <w:rFonts w:hint="eastAsia"/>
          <w:sz w:val="32"/>
          <w:szCs w:val="32"/>
        </w:rPr>
        <w:t>4.狠抓安全稳定。严格落实安全生产责任制。今年我镇通过召开会议、督促检查、入户走访等形式，加大安全生产宣传和监督检查力度。开展了道路交通专项整治行动，对全镇机动车辆进行了全面的摸排，打击各种车辆违法行为151起，对辖区内的酒店、超市、学校、人员密集区等重点区域开展消防隐患整改工作，共整改消防隐患</w:t>
      </w:r>
      <w:r>
        <w:rPr>
          <w:sz w:val="32"/>
          <w:szCs w:val="32"/>
        </w:rPr>
        <w:t> </w:t>
      </w:r>
      <w:r>
        <w:rPr>
          <w:rFonts w:hint="eastAsia"/>
          <w:sz w:val="32"/>
          <w:szCs w:val="32"/>
        </w:rPr>
        <w:t>289处；在6.18全国安全生产宣传月活动中，组织人员在警予广场开展安全宣传活动，共发放宣传单1000余份，并通过标语、横幅、展板等方式全方位宣传安全法律、法规、安全常识及案例教训，活动期间制做标语100多张，制作固定宣传栏41个。至今没有发生安全生产事故，没有因安全事故引发的群体闹事和上访事件。抓实信访维稳，在庆祝中国共产党成立100周年期间，共化解矛盾问题25起，3户信访户签订息访协。</w:t>
      </w:r>
    </w:p>
    <w:p>
      <w:pPr>
        <w:pStyle w:val="5"/>
        <w:spacing w:before="0" w:beforeAutospacing="0" w:after="0" w:afterAutospacing="0" w:line="520" w:lineRule="atLeast"/>
        <w:ind w:firstLine="720"/>
        <w:jc w:val="both"/>
        <w:rPr>
          <w:rFonts w:ascii="Times New Roman" w:hAnsi="Times New Roman" w:cs="Times New Roman"/>
          <w:kern w:val="2"/>
          <w:sz w:val="32"/>
          <w:szCs w:val="32"/>
        </w:rPr>
      </w:pPr>
      <w:r>
        <w:rPr>
          <w:rFonts w:hint="eastAsia" w:ascii="Times New Roman" w:hAnsi="Times New Roman" w:cs="Times New Roman"/>
          <w:kern w:val="2"/>
          <w:sz w:val="32"/>
          <w:szCs w:val="32"/>
        </w:rPr>
        <w:t>2021年，我镇积极履职，强化管理，较好的完成了年度工作目标。通过加强预算收支管理，不断建立健全内部管理制度，梳理内部管理流程，整体支出管理水平得到提升；各项绩效指标均达到了预期效果。</w:t>
      </w:r>
    </w:p>
    <w:p>
      <w:pPr>
        <w:ind w:firstLine="640" w:firstLineChars="200"/>
        <w:rPr>
          <w:rFonts w:ascii="仿宋" w:hAnsi="仿宋" w:eastAsia="仿宋"/>
          <w:b/>
          <w:color w:val="000000"/>
          <w:sz w:val="32"/>
          <w:szCs w:val="32"/>
        </w:rPr>
      </w:pPr>
      <w:r>
        <w:rPr>
          <w:rFonts w:hint="eastAsia" w:ascii="仿宋" w:hAnsi="仿宋" w:eastAsia="仿宋"/>
          <w:b/>
          <w:color w:val="000000"/>
          <w:sz w:val="32"/>
          <w:szCs w:val="32"/>
        </w:rPr>
        <w:t>四、</w:t>
      </w:r>
      <w:r>
        <w:rPr>
          <w:rFonts w:hint="eastAsia" w:ascii="楷体" w:hAnsi="楷体" w:eastAsia="楷体" w:cs="楷体"/>
          <w:b/>
          <w:sz w:val="32"/>
          <w:szCs w:val="32"/>
        </w:rPr>
        <w:t>存在的主要问题</w:t>
      </w:r>
    </w:p>
    <w:p>
      <w:pPr>
        <w:ind w:firstLine="640" w:firstLineChars="200"/>
        <w:textAlignment w:val="baseline"/>
        <w:rPr>
          <w:rFonts w:ascii="仿宋" w:hAnsi="仿宋" w:eastAsia="仿宋" w:cs="仿宋"/>
          <w:color w:val="000000"/>
          <w:sz w:val="32"/>
          <w:szCs w:val="32"/>
        </w:rPr>
      </w:pPr>
      <w:r>
        <w:rPr>
          <w:rFonts w:hint="eastAsia"/>
          <w:sz w:val="32"/>
          <w:szCs w:val="32"/>
        </w:rPr>
        <w:t>存在一些突出问题：一是产业发展实力不足。发展投入相对不足，重点产业培植难度大，农业产业化程度不高，规模经营化水平低，农民增收渠道仍然不宽。二是社会管理难度很大。城镇秩序、社会治安、安全生产、计划生育、环境保护、土地市场秩序等工作压力很大、征地拆迁、历史旧欠等遗留问题较多，落实处理存在较大难度，容易诱发矛盾而造成不稳定；群众观念跟不上经济发展的节拍，增加了社会管理的难度和成本。四是干部作风有待加强。个别干部为民服务意识比较淡薄，工作作风不够扎实，执行力不够强，工作落实不到位。五是收支矛盾比较突出。镇村两级财源严重缺乏，财政赤字据高不下，运转困难，对经济社会建设投入相对不足。</w:t>
      </w:r>
    </w:p>
    <w:p>
      <w:pPr>
        <w:ind w:firstLine="640" w:firstLineChars="200"/>
        <w:textAlignment w:val="baseline"/>
        <w:rPr>
          <w:rFonts w:ascii="楷体" w:hAnsi="楷体" w:eastAsia="楷体" w:cs="楷体"/>
          <w:b/>
          <w:sz w:val="32"/>
          <w:szCs w:val="32"/>
        </w:rPr>
      </w:pPr>
      <w:r>
        <w:rPr>
          <w:rFonts w:hint="eastAsia" w:ascii="仿宋" w:hAnsi="仿宋" w:eastAsia="仿宋" w:cs="仿宋"/>
          <w:b/>
          <w:color w:val="000000"/>
          <w:sz w:val="32"/>
          <w:szCs w:val="32"/>
        </w:rPr>
        <w:t>五、</w:t>
      </w:r>
      <w:r>
        <w:rPr>
          <w:rFonts w:hint="eastAsia" w:ascii="楷体" w:hAnsi="楷体" w:eastAsia="楷体" w:cs="楷体"/>
          <w:b/>
          <w:sz w:val="32"/>
          <w:szCs w:val="32"/>
        </w:rPr>
        <w:t>建议</w:t>
      </w:r>
    </w:p>
    <w:p>
      <w:pPr>
        <w:ind w:firstLine="640" w:firstLineChars="200"/>
        <w:textAlignment w:val="baseline"/>
        <w:rPr>
          <w:sz w:val="32"/>
          <w:szCs w:val="32"/>
        </w:rPr>
      </w:pPr>
      <w:r>
        <w:rPr>
          <w:rFonts w:hint="eastAsia"/>
          <w:sz w:val="32"/>
          <w:szCs w:val="32"/>
        </w:rPr>
        <w:t>1、加大对乡镇的项目投入力度，以解决乡镇设施相对滞后和产业发展无力等问题。</w:t>
      </w:r>
    </w:p>
    <w:p>
      <w:pPr>
        <w:ind w:firstLine="640" w:firstLineChars="200"/>
        <w:textAlignment w:val="baseline"/>
        <w:rPr>
          <w:sz w:val="32"/>
          <w:szCs w:val="32"/>
        </w:rPr>
      </w:pPr>
      <w:r>
        <w:rPr>
          <w:rFonts w:hint="eastAsia"/>
          <w:sz w:val="32"/>
          <w:szCs w:val="32"/>
        </w:rPr>
        <w:t>2、在安排运转经费时，加大对乡村两级的扶持力度，特别是村一级，目前的运转经费无法满足村级运转和发展的需要。</w:t>
      </w:r>
    </w:p>
    <w:p>
      <w:pPr>
        <w:pStyle w:val="2"/>
        <w:spacing w:line="360" w:lineRule="auto"/>
        <w:ind w:firstLine="320" w:firstLineChars="100"/>
        <w:jc w:val="both"/>
        <w:rPr>
          <w:sz w:val="32"/>
          <w:szCs w:val="32"/>
        </w:rPr>
      </w:pPr>
      <w:r>
        <w:rPr>
          <w:rFonts w:hint="eastAsia"/>
          <w:sz w:val="32"/>
          <w:szCs w:val="32"/>
        </w:rPr>
        <w:t xml:space="preserve">  3、积极推动乡村振兴。认真贯彻落实党中央关于乡村振兴工作的要求和部署，按照产业兴旺、生态宜居、乡风文明、治理有效、生活富裕的总要求，进一步理清思路、细化措施、狠抓落实，完善设施，以更高的投入、更多的精力、更大的决心加大农村人居环境整治力度，大力推进农村改厕工作，重点解决垃圾与污水处理、粪便无害化处理、饮用水源保护等问题，努力打造整洁、文明的宜居生态家园，为乡村振兴布新局。</w:t>
      </w:r>
    </w:p>
    <w:p>
      <w:pPr>
        <w:ind w:firstLine="640" w:firstLineChars="200"/>
        <w:textAlignment w:val="baseline"/>
        <w:rPr>
          <w:rFonts w:ascii="仿宋" w:hAnsi="仿宋" w:eastAsia="仿宋" w:cs="仿宋"/>
          <w:color w:val="000000"/>
          <w:sz w:val="32"/>
          <w:szCs w:val="32"/>
        </w:rPr>
      </w:pPr>
    </w:p>
    <w:p>
      <w:pPr>
        <w:ind w:firstLine="640" w:firstLineChars="200"/>
        <w:textAlignment w:val="baseline"/>
        <w:rPr>
          <w:rFonts w:ascii="仿宋" w:hAnsi="仿宋" w:eastAsia="仿宋" w:cs="仿宋"/>
          <w:color w:val="00000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E1798"/>
    <w:multiLevelType w:val="singleLevel"/>
    <w:tmpl w:val="32CE1798"/>
    <w:lvl w:ilvl="0" w:tentative="0">
      <w:start w:val="6"/>
      <w:numFmt w:val="decimal"/>
      <w:suff w:val="nothing"/>
      <w:lvlText w:val="%1、"/>
      <w:lvlJc w:val="left"/>
    </w:lvl>
  </w:abstractNum>
  <w:abstractNum w:abstractNumId="1">
    <w:nsid w:val="6241C2A6"/>
    <w:multiLevelType w:val="singleLevel"/>
    <w:tmpl w:val="6241C2A6"/>
    <w:lvl w:ilvl="0" w:tentative="0">
      <w:start w:val="2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MmQ0MTc5MDQ5ZDk2NjU3YjUxOTg0MGZhM2M3ZGQifQ=="/>
  </w:docVars>
  <w:rsids>
    <w:rsidRoot w:val="004506F9"/>
    <w:rsid w:val="0002229B"/>
    <w:rsid w:val="000273BD"/>
    <w:rsid w:val="000415B7"/>
    <w:rsid w:val="00041E3F"/>
    <w:rsid w:val="00047AAF"/>
    <w:rsid w:val="00055DAA"/>
    <w:rsid w:val="00061F7B"/>
    <w:rsid w:val="000658A3"/>
    <w:rsid w:val="00074155"/>
    <w:rsid w:val="000873EF"/>
    <w:rsid w:val="000952E8"/>
    <w:rsid w:val="000A3F69"/>
    <w:rsid w:val="00103957"/>
    <w:rsid w:val="00106784"/>
    <w:rsid w:val="00124A1F"/>
    <w:rsid w:val="00152C6D"/>
    <w:rsid w:val="001579E9"/>
    <w:rsid w:val="00162D39"/>
    <w:rsid w:val="001678BD"/>
    <w:rsid w:val="00182373"/>
    <w:rsid w:val="001A67DB"/>
    <w:rsid w:val="001C3C29"/>
    <w:rsid w:val="001D51E5"/>
    <w:rsid w:val="001E080D"/>
    <w:rsid w:val="001E53D0"/>
    <w:rsid w:val="001F0C3B"/>
    <w:rsid w:val="00202C14"/>
    <w:rsid w:val="00202C82"/>
    <w:rsid w:val="002133DB"/>
    <w:rsid w:val="00214427"/>
    <w:rsid w:val="00226CB7"/>
    <w:rsid w:val="00264552"/>
    <w:rsid w:val="00264EF9"/>
    <w:rsid w:val="00265724"/>
    <w:rsid w:val="0027426B"/>
    <w:rsid w:val="0027590A"/>
    <w:rsid w:val="002E0A30"/>
    <w:rsid w:val="002E0EAB"/>
    <w:rsid w:val="003130C4"/>
    <w:rsid w:val="00316C4B"/>
    <w:rsid w:val="0032192B"/>
    <w:rsid w:val="003479BD"/>
    <w:rsid w:val="0037197D"/>
    <w:rsid w:val="003768D5"/>
    <w:rsid w:val="003C4197"/>
    <w:rsid w:val="003C47E6"/>
    <w:rsid w:val="003C4FC2"/>
    <w:rsid w:val="003E2331"/>
    <w:rsid w:val="004119AD"/>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C3F1C"/>
    <w:rsid w:val="006D7730"/>
    <w:rsid w:val="006E5284"/>
    <w:rsid w:val="006F3EB5"/>
    <w:rsid w:val="00702E34"/>
    <w:rsid w:val="00704395"/>
    <w:rsid w:val="007076BF"/>
    <w:rsid w:val="00710FE7"/>
    <w:rsid w:val="00717621"/>
    <w:rsid w:val="00720FF1"/>
    <w:rsid w:val="00727A53"/>
    <w:rsid w:val="00787B42"/>
    <w:rsid w:val="007C4539"/>
    <w:rsid w:val="007F3657"/>
    <w:rsid w:val="00812ED5"/>
    <w:rsid w:val="008277D9"/>
    <w:rsid w:val="0084478C"/>
    <w:rsid w:val="00852A6C"/>
    <w:rsid w:val="0086638C"/>
    <w:rsid w:val="008A3E8D"/>
    <w:rsid w:val="009237C4"/>
    <w:rsid w:val="00944C48"/>
    <w:rsid w:val="00950252"/>
    <w:rsid w:val="00967F5D"/>
    <w:rsid w:val="009A0F95"/>
    <w:rsid w:val="009B3ADF"/>
    <w:rsid w:val="009C3B52"/>
    <w:rsid w:val="009E43EC"/>
    <w:rsid w:val="009E6817"/>
    <w:rsid w:val="009E6E9A"/>
    <w:rsid w:val="00A01D2B"/>
    <w:rsid w:val="00A42218"/>
    <w:rsid w:val="00A70249"/>
    <w:rsid w:val="00A70B02"/>
    <w:rsid w:val="00A71D9F"/>
    <w:rsid w:val="00A92E9F"/>
    <w:rsid w:val="00AE3830"/>
    <w:rsid w:val="00B33BEA"/>
    <w:rsid w:val="00B57C9F"/>
    <w:rsid w:val="00B63572"/>
    <w:rsid w:val="00B845B3"/>
    <w:rsid w:val="00B85D8B"/>
    <w:rsid w:val="00BB4A40"/>
    <w:rsid w:val="00BD6C3E"/>
    <w:rsid w:val="00BE3674"/>
    <w:rsid w:val="00C10681"/>
    <w:rsid w:val="00C26668"/>
    <w:rsid w:val="00C3049A"/>
    <w:rsid w:val="00C31B1E"/>
    <w:rsid w:val="00C77645"/>
    <w:rsid w:val="00CE04C3"/>
    <w:rsid w:val="00CE76A0"/>
    <w:rsid w:val="00D04E01"/>
    <w:rsid w:val="00D148C6"/>
    <w:rsid w:val="00D17A8A"/>
    <w:rsid w:val="00D415BA"/>
    <w:rsid w:val="00D63780"/>
    <w:rsid w:val="00D644EE"/>
    <w:rsid w:val="00D75489"/>
    <w:rsid w:val="00DB090D"/>
    <w:rsid w:val="00DC3FAD"/>
    <w:rsid w:val="00DD06FF"/>
    <w:rsid w:val="00DD5FE9"/>
    <w:rsid w:val="00E00C7A"/>
    <w:rsid w:val="00E209CF"/>
    <w:rsid w:val="00E23C86"/>
    <w:rsid w:val="00E37D6C"/>
    <w:rsid w:val="00E55B68"/>
    <w:rsid w:val="00E67BE6"/>
    <w:rsid w:val="00E8683C"/>
    <w:rsid w:val="00EA2B72"/>
    <w:rsid w:val="00EB755E"/>
    <w:rsid w:val="00F74360"/>
    <w:rsid w:val="00FB462F"/>
    <w:rsid w:val="00FE16FA"/>
    <w:rsid w:val="00FE328A"/>
    <w:rsid w:val="00FE6269"/>
    <w:rsid w:val="00FF3F2E"/>
    <w:rsid w:val="00FF5CD6"/>
    <w:rsid w:val="01B14C06"/>
    <w:rsid w:val="07142626"/>
    <w:rsid w:val="2BE75544"/>
    <w:rsid w:val="3748158D"/>
    <w:rsid w:val="3A2615A5"/>
    <w:rsid w:val="48092BD0"/>
    <w:rsid w:val="4B49722A"/>
    <w:rsid w:val="4C486B77"/>
    <w:rsid w:val="4F0A3B66"/>
    <w:rsid w:val="504E67A1"/>
    <w:rsid w:val="56A65531"/>
    <w:rsid w:val="574948A2"/>
    <w:rsid w:val="5D4B4DE3"/>
    <w:rsid w:val="5FD74386"/>
    <w:rsid w:val="63474E41"/>
    <w:rsid w:val="667558EB"/>
    <w:rsid w:val="66EA2297"/>
    <w:rsid w:val="68A5422F"/>
    <w:rsid w:val="6CE148A6"/>
    <w:rsid w:val="72E43211"/>
    <w:rsid w:val="7B113D3E"/>
    <w:rsid w:val="7B666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alloon Text"/>
    <w:basedOn w:val="1"/>
    <w:link w:val="14"/>
    <w:semiHidden/>
    <w:unhideWhenUsed/>
    <w:qFormat/>
    <w:uiPriority w:val="99"/>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2"/>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sz w:val="18"/>
      <w:szCs w:val="18"/>
    </w:rPr>
  </w:style>
  <w:style w:type="paragraph" w:customStyle="1" w:styleId="15">
    <w:name w:val="xl65"/>
    <w:basedOn w:val="1"/>
    <w:qFormat/>
    <w:uiPriority w:val="0"/>
    <w:pPr>
      <w:widowControl/>
      <w:shd w:val="clear" w:color="000000" w:fill="FFFFFF"/>
      <w:spacing w:before="100" w:beforeAutospacing="1" w:after="100" w:afterAutospacing="1"/>
      <w:jc w:val="center"/>
    </w:pPr>
    <w:rPr>
      <w:rFonts w:ascii="宋体" w:hAnsi="宋体" w:eastAsia="宋体" w:cs="宋体"/>
      <w:kern w:val="0"/>
      <w:sz w:val="30"/>
      <w:szCs w:val="30"/>
    </w:rPr>
  </w:style>
  <w:style w:type="paragraph" w:customStyle="1" w:styleId="16">
    <w:name w:val="xl66"/>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7">
    <w:name w:val="xl67"/>
    <w:basedOn w:val="1"/>
    <w:qFormat/>
    <w:uiPriority w:val="0"/>
    <w:pPr>
      <w:widowControl/>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18">
    <w:name w:val="xl68"/>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9">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2"/>
    </w:rPr>
  </w:style>
  <w:style w:type="paragraph" w:customStyle="1" w:styleId="20">
    <w:name w:val="xl70"/>
    <w:basedOn w:val="1"/>
    <w:qFormat/>
    <w:uiPriority w:val="0"/>
    <w:pPr>
      <w:widowControl/>
      <w:pBdr>
        <w:top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2"/>
    </w:rPr>
  </w:style>
  <w:style w:type="paragraph" w:customStyle="1" w:styleId="21">
    <w:name w:val="xl7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eastAsia="宋体" w:cs="宋体"/>
      <w:kern w:val="0"/>
      <w:sz w:val="22"/>
    </w:rPr>
  </w:style>
  <w:style w:type="paragraph" w:customStyle="1" w:styleId="22">
    <w:name w:val="xl72"/>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eastAsia="宋体" w:cs="宋体"/>
      <w:kern w:val="0"/>
      <w:sz w:val="22"/>
    </w:rPr>
  </w:style>
  <w:style w:type="paragraph" w:customStyle="1" w:styleId="23">
    <w:name w:val="xl73"/>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24">
    <w:name w:val="xl74"/>
    <w:basedOn w:val="1"/>
    <w:qFormat/>
    <w:uiPriority w:val="0"/>
    <w:pPr>
      <w:widowControl/>
      <w:pBdr>
        <w:top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2"/>
    </w:rPr>
  </w:style>
  <w:style w:type="paragraph" w:customStyle="1" w:styleId="25">
    <w:name w:val="xl75"/>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2"/>
    </w:rPr>
  </w:style>
  <w:style w:type="paragraph" w:customStyle="1" w:styleId="26">
    <w:name w:val="xl76"/>
    <w:basedOn w:val="1"/>
    <w:qFormat/>
    <w:uiPriority w:val="0"/>
    <w:pPr>
      <w:widowControl/>
      <w:pBdr>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2"/>
    </w:rPr>
  </w:style>
  <w:style w:type="paragraph" w:customStyle="1" w:styleId="27">
    <w:name w:val="xl77"/>
    <w:basedOn w:val="1"/>
    <w:qFormat/>
    <w:uiPriority w:val="0"/>
    <w:pPr>
      <w:widowControl/>
      <w:pBdr>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2"/>
    </w:rPr>
  </w:style>
  <w:style w:type="paragraph" w:customStyle="1" w:styleId="28">
    <w:name w:val="xl78"/>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2"/>
    </w:rPr>
  </w:style>
  <w:style w:type="paragraph" w:customStyle="1" w:styleId="29">
    <w:name w:val="xl79"/>
    <w:basedOn w:val="1"/>
    <w:qFormat/>
    <w:uiPriority w:val="0"/>
    <w:pPr>
      <w:widowControl/>
      <w:pBdr>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2"/>
    </w:rPr>
  </w:style>
  <w:style w:type="paragraph" w:customStyle="1" w:styleId="30">
    <w:name w:val="xl80"/>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eastAsia="宋体" w:cs="宋体"/>
      <w:b/>
      <w:bCs/>
      <w:kern w:val="0"/>
      <w:sz w:val="22"/>
    </w:rPr>
  </w:style>
  <w:style w:type="paragraph" w:customStyle="1" w:styleId="31">
    <w:name w:val="xl8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eastAsia="宋体" w:cs="宋体"/>
      <w:b/>
      <w:bCs/>
      <w:kern w:val="0"/>
      <w:sz w:val="22"/>
    </w:rPr>
  </w:style>
  <w:style w:type="paragraph" w:customStyle="1" w:styleId="32">
    <w:name w:val="xl82"/>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33">
    <w:name w:val="xl83"/>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73ED-DDC0-4FB3-A2DC-592463C700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19313</Words>
  <Characters>26698</Characters>
  <Lines>240</Lines>
  <Paragraphs>67</Paragraphs>
  <TotalTime>0</TotalTime>
  <ScaleCrop>false</ScaleCrop>
  <LinksUpToDate>false</LinksUpToDate>
  <CharactersWithSpaces>28930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2022-08-26T07:43:00Z</cp:lastPrinted>
  <dcterms:modified xsi:type="dcterms:W3CDTF">2022-09-03T06:32:29Z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C6B34BA94A954D338DEEEB820414EC03</vt:lpwstr>
  </property>
</Properties>
</file>