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2020年度</w:t>
      </w:r>
    </w:p>
    <w:p>
      <w:pPr>
        <w:pStyle w:val="12"/>
        <w:jc w:val="center"/>
        <w:rPr>
          <w:sz w:val="84"/>
          <w:szCs w:val="84"/>
        </w:rPr>
      </w:pPr>
      <w:r>
        <w:rPr>
          <w:rFonts w:hint="eastAsia"/>
          <w:sz w:val="84"/>
          <w:szCs w:val="84"/>
        </w:rPr>
        <w:t>溆浦县卢峰镇人民政府</w:t>
      </w:r>
    </w:p>
    <w:p>
      <w:pPr>
        <w:pStyle w:val="12"/>
        <w:jc w:val="center"/>
        <w:rPr>
          <w:sz w:val="84"/>
          <w:szCs w:val="84"/>
        </w:rPr>
      </w:pPr>
      <w:r>
        <w:rPr>
          <w:rFonts w:hint="eastAsia"/>
          <w:sz w:val="84"/>
          <w:szCs w:val="84"/>
        </w:rPr>
        <w:t>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spacing w:line="500" w:lineRule="exact"/>
        <w:jc w:val="center"/>
        <w:rPr>
          <w:sz w:val="56"/>
          <w:szCs w:val="56"/>
        </w:rPr>
      </w:pPr>
    </w:p>
    <w:p>
      <w:pPr>
        <w:pStyle w:val="12"/>
        <w:spacing w:line="500" w:lineRule="exact"/>
        <w:jc w:val="center"/>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ascii="仿宋_GB2312" w:hAnsi="仿宋_GB2312" w:cs="仿宋_GB2312"/>
          <w:b/>
          <w:sz w:val="28"/>
          <w:szCs w:val="28"/>
        </w:rPr>
      </w:pPr>
      <w:r>
        <w:rPr>
          <w:rFonts w:hint="eastAsia"/>
          <w:b/>
          <w:sz w:val="28"/>
          <w:szCs w:val="28"/>
        </w:rPr>
        <w:t>第一部分XX单位概况</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hint="eastAsia" w:ascii="黑体" w:hAnsi="黑体" w:eastAsia="黑体" w:cs="黑体"/>
          <w:b/>
          <w:color w:val="000000"/>
          <w:kern w:val="0"/>
          <w:sz w:val="28"/>
          <w:szCs w:val="28"/>
        </w:rPr>
      </w:pPr>
      <w:r>
        <w:rPr>
          <w:rFonts w:hint="eastAsia" w:ascii="黑体" w:hAnsi="黑体" w:eastAsia="黑体" w:cs="黑体"/>
          <w:b/>
          <w:color w:val="000000"/>
          <w:kern w:val="0"/>
          <w:sz w:val="28"/>
          <w:szCs w:val="28"/>
        </w:rPr>
        <w:t>第五部分附件</w:t>
      </w:r>
    </w:p>
    <w:p>
      <w:pPr>
        <w:autoSpaceDE w:val="0"/>
        <w:autoSpaceDN w:val="0"/>
        <w:adjustRightInd w:val="0"/>
        <w:spacing w:line="500" w:lineRule="exact"/>
        <w:jc w:val="left"/>
        <w:rPr>
          <w:rFonts w:hint="eastAsia" w:ascii="黑体" w:hAnsi="黑体" w:eastAsia="黑体" w:cs="黑体"/>
          <w:b/>
          <w:color w:val="000000"/>
          <w:kern w:val="0"/>
          <w:sz w:val="28"/>
          <w:szCs w:val="28"/>
        </w:rPr>
      </w:pPr>
    </w:p>
    <w:p>
      <w:pPr>
        <w:autoSpaceDE w:val="0"/>
        <w:autoSpaceDN w:val="0"/>
        <w:adjustRightInd w:val="0"/>
        <w:spacing w:line="500" w:lineRule="exact"/>
        <w:jc w:val="left"/>
        <w:rPr>
          <w:rFonts w:hint="eastAsia" w:ascii="黑体" w:hAnsi="黑体" w:eastAsia="黑体" w:cs="黑体"/>
          <w:b/>
          <w:color w:val="000000"/>
          <w:kern w:val="0"/>
          <w:sz w:val="28"/>
          <w:szCs w:val="28"/>
        </w:rPr>
      </w:pPr>
    </w:p>
    <w:p>
      <w:pPr>
        <w:autoSpaceDE w:val="0"/>
        <w:autoSpaceDN w:val="0"/>
        <w:adjustRightInd w:val="0"/>
        <w:spacing w:line="500" w:lineRule="exact"/>
        <w:jc w:val="left"/>
        <w:rPr>
          <w:rFonts w:hint="eastAsia" w:ascii="黑体" w:hAnsi="黑体" w:eastAsia="黑体" w:cs="黑体"/>
          <w:b/>
          <w:color w:val="000000"/>
          <w:kern w:val="0"/>
          <w:sz w:val="28"/>
          <w:szCs w:val="28"/>
        </w:rPr>
      </w:pPr>
    </w:p>
    <w:p>
      <w:pPr>
        <w:autoSpaceDE w:val="0"/>
        <w:autoSpaceDN w:val="0"/>
        <w:adjustRightInd w:val="0"/>
        <w:spacing w:line="500" w:lineRule="exact"/>
        <w:jc w:val="left"/>
        <w:rPr>
          <w:rFonts w:hint="eastAsia" w:ascii="黑体" w:hAnsi="黑体" w:eastAsia="黑体" w:cs="黑体"/>
          <w:b/>
          <w:color w:val="000000"/>
          <w:kern w:val="0"/>
          <w:sz w:val="28"/>
          <w:szCs w:val="28"/>
        </w:rPr>
      </w:pPr>
    </w:p>
    <w:p>
      <w:pPr>
        <w:autoSpaceDE w:val="0"/>
        <w:autoSpaceDN w:val="0"/>
        <w:adjustRightInd w:val="0"/>
        <w:spacing w:line="500" w:lineRule="exact"/>
        <w:jc w:val="left"/>
        <w:rPr>
          <w:rFonts w:hint="eastAsia" w:ascii="黑体" w:hAnsi="黑体" w:eastAsia="黑体" w:cs="黑体"/>
          <w:b/>
          <w:color w:val="000000"/>
          <w:kern w:val="0"/>
          <w:sz w:val="28"/>
          <w:szCs w:val="28"/>
        </w:rPr>
      </w:pPr>
    </w:p>
    <w:p>
      <w:pPr>
        <w:pStyle w:val="12"/>
        <w:jc w:val="center"/>
        <w:rPr>
          <w:sz w:val="84"/>
          <w:szCs w:val="84"/>
        </w:rPr>
      </w:pPr>
      <w:r>
        <w:rPr>
          <w:rFonts w:hint="eastAsia"/>
          <w:sz w:val="84"/>
          <w:szCs w:val="84"/>
        </w:rPr>
        <w:t>第一部分</w:t>
      </w:r>
    </w:p>
    <w:p>
      <w:pPr>
        <w:pStyle w:val="12"/>
        <w:jc w:val="center"/>
        <w:rPr>
          <w:sz w:val="84"/>
          <w:szCs w:val="84"/>
        </w:rPr>
      </w:pPr>
    </w:p>
    <w:p>
      <w:pPr>
        <w:pStyle w:val="12"/>
        <w:jc w:val="center"/>
        <w:rPr>
          <w:sz w:val="84"/>
          <w:szCs w:val="84"/>
        </w:rPr>
      </w:pPr>
      <w:r>
        <w:rPr>
          <w:rFonts w:hint="eastAsia"/>
          <w:sz w:val="84"/>
          <w:szCs w:val="84"/>
        </w:rPr>
        <w:t>溆浦县卢峰镇人民政府单位概况</w:t>
      </w:r>
    </w:p>
    <w:p>
      <w:pPr>
        <w:pStyle w:val="12"/>
        <w:jc w:val="center"/>
        <w:rPr>
          <w:sz w:val="32"/>
          <w:szCs w:val="32"/>
        </w:rPr>
      </w:pPr>
    </w:p>
    <w:p>
      <w:pPr>
        <w:pStyle w:val="12"/>
        <w:jc w:val="both"/>
        <w:rPr>
          <w:rFonts w:hint="eastAsia" w:ascii="宋体" w:hAnsi="宋体"/>
          <w:sz w:val="32"/>
          <w:szCs w:val="32"/>
        </w:rPr>
      </w:pPr>
      <w:r>
        <w:rPr>
          <w:rFonts w:hint="eastAsia" w:ascii="宋体" w:hAnsi="宋体"/>
          <w:sz w:val="32"/>
          <w:szCs w:val="32"/>
        </w:rPr>
        <w:t xml:space="preserve">   </w:t>
      </w:r>
    </w:p>
    <w:p>
      <w:pPr>
        <w:pStyle w:val="12"/>
        <w:jc w:val="both"/>
        <w:rPr>
          <w:rFonts w:hint="eastAsia" w:ascii="宋体" w:hAnsi="宋体"/>
          <w:sz w:val="32"/>
          <w:szCs w:val="32"/>
        </w:rPr>
      </w:pPr>
    </w:p>
    <w:p>
      <w:pPr>
        <w:pStyle w:val="12"/>
        <w:jc w:val="both"/>
        <w:rPr>
          <w:rFonts w:hint="eastAsia" w:ascii="宋体" w:hAnsi="宋体"/>
          <w:sz w:val="32"/>
          <w:szCs w:val="32"/>
        </w:rPr>
      </w:pPr>
    </w:p>
    <w:p>
      <w:pPr>
        <w:pStyle w:val="12"/>
        <w:jc w:val="both"/>
        <w:rPr>
          <w:rFonts w:hint="eastAsia" w:ascii="宋体" w:hAnsi="宋体"/>
          <w:sz w:val="32"/>
          <w:szCs w:val="32"/>
        </w:rPr>
      </w:pPr>
    </w:p>
    <w:p>
      <w:pPr>
        <w:pStyle w:val="12"/>
        <w:jc w:val="both"/>
        <w:rPr>
          <w:rFonts w:hint="eastAsia" w:ascii="宋体" w:hAnsi="宋体"/>
          <w:sz w:val="32"/>
          <w:szCs w:val="32"/>
        </w:rPr>
      </w:pPr>
    </w:p>
    <w:p>
      <w:pPr>
        <w:pStyle w:val="12"/>
        <w:jc w:val="both"/>
        <w:rPr>
          <w:rFonts w:hint="eastAsia" w:ascii="宋体" w:hAnsi="宋体"/>
          <w:sz w:val="32"/>
          <w:szCs w:val="32"/>
        </w:rPr>
      </w:pPr>
    </w:p>
    <w:p>
      <w:pPr>
        <w:pStyle w:val="12"/>
        <w:jc w:val="both"/>
        <w:rPr>
          <w:rFonts w:hint="eastAsia" w:ascii="宋体" w:hAnsi="宋体"/>
          <w:sz w:val="32"/>
          <w:szCs w:val="32"/>
        </w:rPr>
      </w:pPr>
    </w:p>
    <w:p>
      <w:pPr>
        <w:pStyle w:val="12"/>
        <w:jc w:val="both"/>
        <w:rPr>
          <w:rFonts w:hint="eastAsia" w:ascii="宋体" w:hAnsi="宋体"/>
          <w:sz w:val="32"/>
          <w:szCs w:val="32"/>
        </w:rPr>
      </w:pPr>
    </w:p>
    <w:p>
      <w:pPr>
        <w:pStyle w:val="12"/>
        <w:jc w:val="both"/>
        <w:rPr>
          <w:rFonts w:hint="eastAsia" w:ascii="宋体" w:hAnsi="宋体"/>
          <w:sz w:val="32"/>
          <w:szCs w:val="32"/>
        </w:rPr>
      </w:pPr>
    </w:p>
    <w:p>
      <w:pPr>
        <w:pStyle w:val="12"/>
        <w:jc w:val="both"/>
        <w:rPr>
          <w:rFonts w:hint="eastAsia" w:ascii="宋体" w:hAnsi="宋体"/>
          <w:sz w:val="32"/>
          <w:szCs w:val="32"/>
        </w:rPr>
      </w:pPr>
    </w:p>
    <w:p>
      <w:pPr>
        <w:pStyle w:val="12"/>
        <w:jc w:val="both"/>
        <w:rPr>
          <w:rFonts w:hint="eastAsia" w:ascii="宋体" w:hAnsi="宋体"/>
          <w:sz w:val="32"/>
          <w:szCs w:val="32"/>
        </w:rPr>
      </w:pPr>
    </w:p>
    <w:p>
      <w:pPr>
        <w:pStyle w:val="12"/>
        <w:jc w:val="both"/>
        <w:rPr>
          <w:rFonts w:hint="eastAsia" w:ascii="宋体" w:hAnsi="宋体"/>
          <w:sz w:val="32"/>
          <w:szCs w:val="32"/>
        </w:rPr>
      </w:pPr>
    </w:p>
    <w:p>
      <w:pPr>
        <w:pStyle w:val="12"/>
        <w:jc w:val="both"/>
        <w:rPr>
          <w:rFonts w:hint="eastAsia" w:ascii="宋体" w:hAnsi="宋体"/>
          <w:sz w:val="32"/>
          <w:szCs w:val="32"/>
        </w:rPr>
      </w:pPr>
    </w:p>
    <w:p>
      <w:pPr>
        <w:pStyle w:val="12"/>
        <w:jc w:val="both"/>
        <w:rPr>
          <w:rFonts w:hint="eastAsia" w:ascii="宋体" w:hAnsi="宋体"/>
          <w:sz w:val="32"/>
          <w:szCs w:val="32"/>
        </w:rPr>
      </w:pPr>
    </w:p>
    <w:p>
      <w:pPr>
        <w:pStyle w:val="12"/>
        <w:jc w:val="both"/>
        <w:rPr>
          <w:rFonts w:hint="eastAsia" w:ascii="宋体" w:hAnsi="宋体"/>
          <w:sz w:val="32"/>
          <w:szCs w:val="32"/>
        </w:rPr>
      </w:pPr>
    </w:p>
    <w:p>
      <w:pPr>
        <w:pStyle w:val="12"/>
        <w:jc w:val="both"/>
        <w:rPr>
          <w:rFonts w:hint="eastAsia" w:ascii="宋体" w:hAnsi="宋体"/>
          <w:sz w:val="32"/>
          <w:szCs w:val="32"/>
        </w:rPr>
      </w:pPr>
    </w:p>
    <w:p>
      <w:pPr>
        <w:pStyle w:val="12"/>
        <w:jc w:val="both"/>
        <w:rPr>
          <w:rFonts w:hint="eastAsia" w:asciiTheme="minorEastAsia" w:hAnsiTheme="minorEastAsia" w:eastAsiaTheme="minorEastAsia"/>
          <w:bCs/>
          <w:kern w:val="0"/>
          <w:sz w:val="32"/>
          <w:szCs w:val="32"/>
          <w:lang w:eastAsia="zh-CN"/>
        </w:rPr>
      </w:pPr>
      <w:r>
        <w:rPr>
          <w:rFonts w:hint="eastAsia" w:asciiTheme="minorEastAsia" w:hAnsiTheme="minorEastAsia" w:eastAsiaTheme="minorEastAsia" w:cstheme="minorBidi"/>
          <w:bCs/>
          <w:color w:val="auto"/>
          <w:sz w:val="32"/>
          <w:szCs w:val="32"/>
        </w:rPr>
        <w:t xml:space="preserve"> 溆浦县卢峰镇下辖31个行政村、10个居委会，全镇年末总人口为21.05万人，其中城镇人口13.7万人，农业总人口7.35万人，耕地面积7.83万亩，其中水田6.92万亩、旱土0.91万亩，林地总面积13.31万亩，盛产柑桔、葡萄、梨等</w:t>
      </w:r>
      <w:r>
        <w:rPr>
          <w:rFonts w:hint="eastAsia" w:asciiTheme="minorEastAsia" w:hAnsiTheme="minorEastAsia" w:eastAsiaTheme="minorEastAsia" w:cstheme="minorBidi"/>
          <w:bCs/>
          <w:color w:val="auto"/>
          <w:sz w:val="32"/>
          <w:szCs w:val="32"/>
          <w:lang w:eastAsia="zh-CN"/>
        </w:rPr>
        <w:t>。</w:t>
      </w:r>
    </w:p>
    <w:p>
      <w:pPr>
        <w:jc w:val="left"/>
        <w:rPr>
          <w:rFonts w:asciiTheme="minorEastAsia" w:hAnsiTheme="minorEastAsia"/>
          <w:bCs/>
          <w:kern w:val="0"/>
          <w:sz w:val="32"/>
          <w:szCs w:val="32"/>
        </w:rPr>
      </w:pPr>
    </w:p>
    <w:p>
      <w:pPr>
        <w:pStyle w:val="13"/>
        <w:numPr>
          <w:ilvl w:val="0"/>
          <w:numId w:val="1"/>
        </w:numPr>
        <w:ind w:firstLineChars="0"/>
        <w:jc w:val="left"/>
        <w:rPr>
          <w:rFonts w:ascii="黑体" w:hAnsi="黑体" w:eastAsia="黑体"/>
          <w:b/>
          <w:bCs/>
          <w:kern w:val="0"/>
          <w:sz w:val="32"/>
          <w:szCs w:val="32"/>
        </w:rPr>
      </w:pPr>
      <w:r>
        <w:rPr>
          <w:rFonts w:ascii="黑体" w:hAnsi="黑体" w:eastAsia="黑体"/>
          <w:b/>
          <w:bCs/>
          <w:kern w:val="0"/>
          <w:sz w:val="32"/>
          <w:szCs w:val="32"/>
        </w:rPr>
        <w:t>部门职责</w:t>
      </w:r>
    </w:p>
    <w:p>
      <w:pPr>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主要职能是：(1)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内设机构设置。溆浦县卢峰镇人民政府内设机构包括：卢峰镇下辖31个行政村、10个居委会，独立核算机构共2个，其中：（1）行政机构1个，包括卢峰镇政府和一办三中心，行政编制45人，年末实有人数45人。（2）事业机构1个，包括政府所属各站所及计生办和财政所，事业编制人数126人，年末实有人数171人。</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 xml:space="preserve">   （二）决算单位构成。溆浦县卢峰镇人民政府</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20年部门决算汇总公开单位构成包括：卢峰镇人民政府本级及财政所。</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部门：溆浦县卢峰镇人民政府</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5596.20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2033.47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35.00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0.80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27.56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2.00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126.15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319.81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130.60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2,769.88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68.10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5631.20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5631.20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5631.20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ascii="宋体" w:hAnsi="宋体" w:eastAsia="宋体" w:cs="宋体"/>
                <w:b/>
                <w:bCs/>
                <w:kern w:val="0"/>
                <w:sz w:val="22"/>
              </w:rPr>
              <w:t>　5631.20</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8"/>
        <w:tblW w:w="14480" w:type="dxa"/>
        <w:tblInd w:w="0" w:type="dxa"/>
        <w:tblLayout w:type="autofit"/>
        <w:tblCellMar>
          <w:top w:w="0" w:type="dxa"/>
          <w:left w:w="0" w:type="dxa"/>
          <w:bottom w:w="0" w:type="dxa"/>
          <w:right w:w="0" w:type="dxa"/>
        </w:tblCellMar>
      </w:tblPr>
      <w:tblGrid>
        <w:gridCol w:w="37"/>
        <w:gridCol w:w="984"/>
        <w:gridCol w:w="3752"/>
        <w:gridCol w:w="1028"/>
        <w:gridCol w:w="1028"/>
        <w:gridCol w:w="577"/>
        <w:gridCol w:w="2619"/>
        <w:gridCol w:w="2619"/>
        <w:gridCol w:w="577"/>
        <w:gridCol w:w="1259"/>
      </w:tblGrid>
      <w:tr>
        <w:tblPrEx>
          <w:tblCellMar>
            <w:top w:w="0" w:type="dxa"/>
            <w:left w:w="0" w:type="dxa"/>
            <w:bottom w:w="0" w:type="dxa"/>
            <w:right w:w="0" w:type="dxa"/>
          </w:tblCellMar>
        </w:tblPrEx>
        <w:trPr>
          <w:trHeight w:val="435" w:hRule="atLeast"/>
        </w:trPr>
        <w:tc>
          <w:tcPr>
            <w:tcW w:w="14480"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4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6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98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617" w:type="dxa"/>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rPr>
              <w:t>溆浦县卢峰镇人民政府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460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07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07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64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25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25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64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3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98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61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98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617"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5631.20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5631.20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0.00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0.00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tcPr>
          <w:p>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0.00　</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2,033.47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2,033.47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382"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政府办公厅（室）及相关机构事务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1,849.15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1,849.15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1,009.40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1,009.40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2010302</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2010308</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信访事务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其他政府办公厅（室）及相关机构事务支出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747.99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747.99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20105</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统计信息事务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2010507</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专项普查活动</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财政事务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173.32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173.32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164.49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164.49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2010602</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8.83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8.83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20107</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税收事务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2010701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20136</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其他共产党事务支出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2013602</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2019999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203</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国防支出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20306</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国防动员</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2030601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兵役征集</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公共安全支出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公安</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2040202</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其他公安支出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17.96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17.96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科学技术支出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其他科学技术支出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2069999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其他科学技术支出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文化旅游体育与传媒支出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文化和旅游</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2070107</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艺术表演团体</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126.15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126.15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20802</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民政管理事务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2080299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其他民政管理事务支出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死亡抚恤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113.44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20810</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社会福利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2081001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儿童福利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20823</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小型水库移民扶助基金安排的支出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2082302</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基础设施建设和经济发展</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20826</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财政对基本养老保险基金的补助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0.11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0.11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2082699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财政对其他基本养老保险基金的补助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0.11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0.11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20828</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退役军人管理事务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2082899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其他退役军人事务管理支出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319.81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319.81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公共卫生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11.25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2100404</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精神卫生机构</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2100408</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基本公共卫生服务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2100410</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突发公共卫生事件应急处理</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21007</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计划生育事务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308.55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308.55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2100716</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计划生育机构</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249.94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249.94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2100799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其他计划生育事务支出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节能环保支出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21104</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自然生态保护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2110402</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农村环境保护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130.60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130.60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2120101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2120102</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2120199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其他城乡社区管理事务支出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21203</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城乡社区公共设施</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2120303</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小城镇基础设施建设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21205</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城乡社区环境卫生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2120501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城乡社区环境卫生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国有土地使用权出让收入安排的支出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2120804</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农村基础设施建设支出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其他城乡社区支出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2129901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其他城乡社区支出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2,769.88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2,769.88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农业农村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2130108</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病虫害控制</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2130119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防灾救灾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2130142</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农村道路建设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其他农业农村支出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21302</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林业和草原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2130209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森林生态效益补偿</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水利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98.10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98.10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2130306</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水利工程运行与维护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2130314</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防汛</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2130316</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农村水利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87.10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87.10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其他水利支出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扶贫</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1,530.93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1,530.93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2130504</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农村基础设施建设</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687.92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687.92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2130505</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生产发展</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804.91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804.91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其他扶贫支出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农村综合改革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1,053.17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1,053.17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对村级一事一议的补助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2130705</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对村民委员会和村党支部的补助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922.17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922.17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2130706</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对村集体经济组织的补助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2130707</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农村综合改革示范试点补助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214</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交通运输支出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21499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其他交通运输支出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2149999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其他交通运输支出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灾害防治及应急管理支出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应急管理事务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2240199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其他应急管理支出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22404</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煤矿安全</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2240499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其他煤矿安全支出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22406</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自然灾害防治</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2240601</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地质灾害防治</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自然灾害救灾及恢复重建支出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2240704</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自然灾害灾后重建补助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2240799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其他自然灾害救灾及恢复重建支出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彩票公益金安排的支出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2296002</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用于社会福利的彩票公益金支出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trPr>
        <w:tc>
          <w:tcPr>
            <w:tcW w:w="98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2296003</w:t>
            </w:r>
          </w:p>
        </w:tc>
        <w:tc>
          <w:tcPr>
            <w:tcW w:w="36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用于体育事业的彩票公益金支出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5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615" w:hRule="atLeast"/>
        </w:trPr>
        <w:tc>
          <w:tcPr>
            <w:tcW w:w="1448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8"/>
        <w:tblW w:w="14605" w:type="dxa"/>
        <w:tblInd w:w="93" w:type="dxa"/>
        <w:tblLayout w:type="fixed"/>
        <w:tblCellMar>
          <w:top w:w="0" w:type="dxa"/>
          <w:left w:w="108" w:type="dxa"/>
          <w:bottom w:w="0" w:type="dxa"/>
          <w:right w:w="108" w:type="dxa"/>
        </w:tblCellMar>
      </w:tblPr>
      <w:tblGrid>
        <w:gridCol w:w="1042"/>
        <w:gridCol w:w="240"/>
        <w:gridCol w:w="4623"/>
        <w:gridCol w:w="1782"/>
        <w:gridCol w:w="1256"/>
        <w:gridCol w:w="1387"/>
        <w:gridCol w:w="1182"/>
        <w:gridCol w:w="1237"/>
        <w:gridCol w:w="1856"/>
      </w:tblGrid>
      <w:tr>
        <w:tblPrEx>
          <w:tblCellMar>
            <w:top w:w="0" w:type="dxa"/>
            <w:left w:w="108" w:type="dxa"/>
            <w:bottom w:w="0" w:type="dxa"/>
            <w:right w:w="108" w:type="dxa"/>
          </w:tblCellMar>
        </w:tblPrEx>
        <w:trPr>
          <w:trHeight w:val="435" w:hRule="atLeast"/>
        </w:trPr>
        <w:tc>
          <w:tcPr>
            <w:tcW w:w="14605"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62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05" w:type="dxa"/>
            <w:gridSpan w:val="2"/>
            <w:tcBorders>
              <w:top w:val="nil"/>
              <w:left w:val="nil"/>
              <w:bottom w:val="nil"/>
              <w:right w:val="nil"/>
            </w:tcBorders>
            <w:shd w:val="clear" w:color="000000" w:fill="FFFFFF"/>
            <w:noWrap/>
          </w:tcPr>
          <w:p>
            <w:pPr>
              <w:widowControl/>
              <w:jc w:val="left"/>
              <w:rPr>
                <w:rFonts w:ascii="宋体" w:hAnsi="宋体" w:eastAsia="宋体" w:cs="宋体"/>
                <w:kern w:val="0"/>
                <w:sz w:val="24"/>
                <w:szCs w:val="24"/>
              </w:rPr>
            </w:pPr>
            <w:r>
              <w:rPr>
                <w:rFonts w:hint="eastAsia" w:ascii="宋体" w:hAnsi="宋体" w:eastAsia="宋体" w:cs="宋体"/>
                <w:kern w:val="0"/>
                <w:sz w:val="24"/>
                <w:szCs w:val="24"/>
              </w:rPr>
              <w:t>溆浦县卢峰镇人民政府　</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5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7"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8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590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8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5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3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18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5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8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62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590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8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8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8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3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5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590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5631.20　</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3503.15　</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2128.05　</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0.00　</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0.00　</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0.00　</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一般公共服务支出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2,033.47</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1,947.28</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86.19</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政府办公厅（室）及相关机构事务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1,849.15</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1,773.79</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75.36</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1,009.40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1,009.40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2010302</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75.36</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75.36</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2010308</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信访事务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其他政府办公厅（室）及相关机构事务支出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747.99</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747.99</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20105</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统计信息事务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2010507</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专项普查活动</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财政事务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173.32</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164.49</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8.83</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164.49</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164.49</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2010602</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8.83</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8.83</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20107</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税收事务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2010701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20136</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其他共产党事务支出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2013602</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其他一般公共服务支出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2019999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其他一般公共服务支出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203</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国防支出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20306</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国防动员</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2030601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兵役征集</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公共安全支出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27.56</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17.96</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公安</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27.56</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17.96</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2040202</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其他公安支出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17.96</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17.96</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科学技术支出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其他科学技术支出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2069999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其他科学技术支出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文化旅游体育与传媒支出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文化和旅游</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2070107</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艺术表演团体</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126.15</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122.15</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20802</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民政管理事务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2080299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其他民政管理事务支出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抚恤</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113.44</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113.44</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死亡抚恤</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113.44</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113.44</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20810</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社会福利</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2081001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儿童福利</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20823</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小型水库移民扶助基金安排的支出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2082302</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基础设施建设和经济发展</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20826</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财政对基本养老保险基金的补助</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0.11</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0.11</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2082699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财政对其他基本养老保险基金的补助</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0.11</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0.11</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20828</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退役军人管理事务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2082899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其他退役军人事务管理支出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319.81</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319.81</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公共卫生</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11.25</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11.25</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2100404</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精神卫生机构</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4.78</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4.78</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2100408</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基本公共卫生服务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1.62</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1.62</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2100410</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突发公共卫生事件应急处理</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4.85</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4.85</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21007</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计划生育事务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308.55</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308.55</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2100716</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计划生育机构</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249.94</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249.94</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2100799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其他计划生育事务支出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58.62</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58.62</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节能环保支出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21104</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自然生态保护</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2110402</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农村环境保护</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130.60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96.60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城乡社区管理事务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2120101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2120102</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2120199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其他城乡社区管理事务支出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21203</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城乡社区公共设施</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24.80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24.80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2120303</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小城镇基础设施建设</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24.80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24.80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21205</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城乡社区环境卫生</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64.80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64.80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2120501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城乡社区环境卫生</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64.80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64.80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国有土地使用权出让收入安排的支出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2120804</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农村基础设施建设支出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其他城乡社区支出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2129901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其他城乡社区支出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农林水支出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2,769.88</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984.84</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1,785.03</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农业农村</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2130108</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病虫害控制</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2130119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防灾救灾</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2130142</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农村道路建设</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其他农业农村支出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21302</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林业和草原</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14.67</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14.67</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2130209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森林生态效益补偿</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14.67</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14.67</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水利</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98.10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98.10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2130306</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水利工程运行与维护</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2130314</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防汛</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2130316</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农村水利</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87.10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87.10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其他水利支出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扶贫</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1,530.93</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1,518.93</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2130504</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农村基础设施建设</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687.92</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687.92</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2130505</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生产发展</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804.91</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804.91</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其他扶贫支出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38.10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26.10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农村综合改革</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1,053.17</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922.17</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131.00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对村级一事一议的补助</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2130705</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对村民委员会和村党支部的补助</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922.17</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922.17</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2130706</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对村集体经济组织的补助</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2130707</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农村综合改革示范试点补助</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214</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交通运输支出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21499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其他交通运输支出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2149999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其他交通运输支出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灾害防治及应急管理支出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68.10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13.10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55.00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应急管理事务</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2240199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其他应急管理支出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22404</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煤矿安全</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2240499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其他煤矿安全支出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22406</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自然灾害防治</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2240601</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地质灾害防治</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自然灾害救灾及恢复重建支出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2240704</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自然灾害灾后重建补助</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2240799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其他自然灾害救灾及恢复重建支出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彩票公益金安排的支出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2296002</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用于社会福利的彩票公益金支出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2296003</w:t>
            </w:r>
          </w:p>
        </w:tc>
        <w:tc>
          <w:tcPr>
            <w:tcW w:w="462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用于体育事业的彩票公益金支出</w:t>
            </w:r>
          </w:p>
        </w:tc>
        <w:tc>
          <w:tcPr>
            <w:tcW w:w="17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8.00</w:t>
            </w:r>
          </w:p>
        </w:tc>
        <w:tc>
          <w:tcPr>
            <w:tcW w:w="12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8.00</w:t>
            </w:r>
          </w:p>
        </w:tc>
        <w:tc>
          <w:tcPr>
            <w:tcW w:w="138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8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3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5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630" w:hRule="atLeast"/>
        </w:trPr>
        <w:tc>
          <w:tcPr>
            <w:tcW w:w="14605"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3411"/>
        <w:gridCol w:w="632"/>
        <w:gridCol w:w="435"/>
        <w:gridCol w:w="1573"/>
        <w:gridCol w:w="1394"/>
        <w:gridCol w:w="1394"/>
        <w:gridCol w:w="1573"/>
      </w:tblGrid>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部门：溆浦县卢峰镇人民政府</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271"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5596.20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2033.47</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2033.47</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35.00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196"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27.56</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27.56</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37</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177"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39</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126.15</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122.15</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41</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319.81</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319.81</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42</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43</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130.60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124.60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44</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2,769.88</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2,769.88</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45</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46</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47</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48</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49</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51</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52</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53</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54</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68.10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68.10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55</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56</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57</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58</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5631.20　</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5631.20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5596.2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35.00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5631.20　</w:t>
            </w:r>
          </w:p>
        </w:tc>
        <w:tc>
          <w:tcPr>
            <w:tcW w:w="341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64</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5631.20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5596.20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35.00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ind w:firstLine="1050" w:firstLineChars="5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溆浦县卢峰镇人民政府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单位：万元</w:t>
      </w:r>
    </w:p>
    <w:tbl>
      <w:tblPr>
        <w:tblStyle w:val="8"/>
        <w:tblW w:w="13374" w:type="dxa"/>
        <w:jc w:val="center"/>
        <w:tblLayout w:type="autofit"/>
        <w:tblCellMar>
          <w:top w:w="0" w:type="dxa"/>
          <w:left w:w="108" w:type="dxa"/>
          <w:bottom w:w="0" w:type="dxa"/>
          <w:right w:w="108" w:type="dxa"/>
        </w:tblCellMar>
      </w:tblPr>
      <w:tblGrid>
        <w:gridCol w:w="1200"/>
        <w:gridCol w:w="4824"/>
        <w:gridCol w:w="2194"/>
        <w:gridCol w:w="2679"/>
        <w:gridCol w:w="2477"/>
      </w:tblGrid>
      <w:tr>
        <w:tblPrEx>
          <w:tblCellMar>
            <w:top w:w="0" w:type="dxa"/>
            <w:left w:w="108" w:type="dxa"/>
            <w:bottom w:w="0" w:type="dxa"/>
            <w:right w:w="108" w:type="dxa"/>
          </w:tblCellMar>
        </w:tblPrEx>
        <w:trPr>
          <w:trHeight w:val="405" w:hRule="atLeast"/>
          <w:jc w:val="center"/>
        </w:trPr>
        <w:tc>
          <w:tcPr>
            <w:tcW w:w="602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7350"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8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1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6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477"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82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19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7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77"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82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19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7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77"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602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6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477"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602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1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5596.20</w:t>
            </w:r>
            <w:r>
              <w:rPr>
                <w:rFonts w:ascii="Times New Roman" w:hAnsi="Times New Roman" w:eastAsia="仿宋_GB2312" w:cs="Times New Roman"/>
                <w:kern w:val="0"/>
                <w:szCs w:val="21"/>
              </w:rPr>
              <w:t>　</w:t>
            </w:r>
          </w:p>
        </w:tc>
        <w:tc>
          <w:tcPr>
            <w:tcW w:w="267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3478.15</w:t>
            </w:r>
          </w:p>
        </w:tc>
        <w:tc>
          <w:tcPr>
            <w:tcW w:w="2477"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2118.05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w:t>
            </w:r>
          </w:p>
        </w:tc>
        <w:tc>
          <w:tcPr>
            <w:tcW w:w="482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一般公共服务支出</w:t>
            </w:r>
          </w:p>
        </w:tc>
        <w:tc>
          <w:tcPr>
            <w:tcW w:w="219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2,033.47</w:t>
            </w:r>
          </w:p>
        </w:tc>
        <w:tc>
          <w:tcPr>
            <w:tcW w:w="267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1,947.28</w:t>
            </w:r>
          </w:p>
        </w:tc>
        <w:tc>
          <w:tcPr>
            <w:tcW w:w="2477"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86.19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w:t>
            </w:r>
          </w:p>
        </w:tc>
        <w:tc>
          <w:tcPr>
            <w:tcW w:w="482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政府办公厅（室）及相关机构事务</w:t>
            </w:r>
          </w:p>
        </w:tc>
        <w:tc>
          <w:tcPr>
            <w:tcW w:w="219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1,849.15</w:t>
            </w:r>
          </w:p>
        </w:tc>
        <w:tc>
          <w:tcPr>
            <w:tcW w:w="267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1,773.79</w:t>
            </w:r>
          </w:p>
        </w:tc>
        <w:tc>
          <w:tcPr>
            <w:tcW w:w="2477"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2010301</w:t>
            </w:r>
          </w:p>
        </w:tc>
        <w:tc>
          <w:tcPr>
            <w:tcW w:w="482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219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1,009.40</w:t>
            </w:r>
          </w:p>
        </w:tc>
        <w:tc>
          <w:tcPr>
            <w:tcW w:w="267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1,009.40</w:t>
            </w:r>
          </w:p>
        </w:tc>
        <w:tc>
          <w:tcPr>
            <w:tcW w:w="2477"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2010302</w:t>
            </w:r>
          </w:p>
        </w:tc>
        <w:tc>
          <w:tcPr>
            <w:tcW w:w="482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219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75.36</w:t>
            </w:r>
          </w:p>
        </w:tc>
        <w:tc>
          <w:tcPr>
            <w:tcW w:w="267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75.36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2010308</w:t>
            </w:r>
          </w:p>
        </w:tc>
        <w:tc>
          <w:tcPr>
            <w:tcW w:w="482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信访事务</w:t>
            </w:r>
          </w:p>
        </w:tc>
        <w:tc>
          <w:tcPr>
            <w:tcW w:w="219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16.40</w:t>
            </w:r>
          </w:p>
        </w:tc>
        <w:tc>
          <w:tcPr>
            <w:tcW w:w="267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16.40</w:t>
            </w:r>
          </w:p>
        </w:tc>
        <w:tc>
          <w:tcPr>
            <w:tcW w:w="2477"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2010399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其他政府办公厅（室）及相关机构事务支出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747.99</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747.99</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20105</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统计信息事务</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2010507</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专项普查活动</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财政事务</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173.32</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164.49</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8.83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2010601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164.49</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164.49</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2010602</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8.83</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8.83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20107</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税收事务</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2010701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20136</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其他共产党事务支出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2013602</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其他一般公共服务支出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2019999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其他一般公共服务支出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203</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国防支出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20306</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国防动员</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2030601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兵役征集</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公共安全支出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27.56</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17.96</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公安</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27.56</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17.96</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2040202</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2040299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其他公安支出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17.96</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17.96</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科学技术支出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其他科学技术支出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2069999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其他科学技术支出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文化旅游体育与传媒支出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20701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文化和旅游</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2070107</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艺术表演团体</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122.15</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122.15</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20802</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民政管理事务</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2080299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其他民政管理事务支出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抚恤</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113.44</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113.44</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2080801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死亡抚恤</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113.44</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113.44</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20810</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社会福利</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2081001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儿童福利</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20826</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财政对基本养老保险基金的补助</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0.11</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0.11</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2082699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财政对其他基本养老保险基金的补助</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0.11</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0.11</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20828</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退役军人管理事务</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2082899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其他退役军人事务管理支出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319.81</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319.81</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公共卫生</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11.25</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11.25</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2100404</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精神卫生机构</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4.78</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4.78</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2100408</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基本公共卫生服务</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1.62</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1.62</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2100410</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突发公共卫生事件应急处理</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4.85</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4.85</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21007</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计划生育事务</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308.55</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308.55</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2100716</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计划生育机构</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249.94</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249.94</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2100799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其他计划生育事务支出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58.62</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58.62</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节能环保支出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21104</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自然生态保护</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2110402</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农村环境保护</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89.62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124.60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90.60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城乡社区管理事务</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2120101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2120102</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一般行政管理事务</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2120199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其他城乡社区管理事务支出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21203</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城乡社区公共设施</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24.80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2120303</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小城镇基础设施建设</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24.80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21205</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城乡社区环境卫生</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64.80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2120501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城乡社区环境卫生</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64.80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其他城乡社区支出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2129901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其他城乡社区支出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农林水支出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2,769.88</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984.84</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1,785.03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农业农村</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2130108</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病虫害控制</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2130119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防灾救灾</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2130142</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农村道路建设</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其他农业农村支出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21302</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林业和草原</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14.67</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14.67</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2130209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森林生态效益补偿</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14.67</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14.67</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水利</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98.10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98.10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2130306</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水利工程运行与维护</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2130314</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防汛</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2130316</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农村水利</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87.10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87.10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2130399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其他水利支出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扶贫</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1,530.93</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1,518.93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2130504</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农村基础设施建设</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687.92</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687.92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2130505</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生产发展</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804.91</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804.91</w:t>
            </w: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其他扶贫支出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38.10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26.10</w:t>
            </w: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农村综合改革</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1,053.17</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922.17</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131.00</w:t>
            </w:r>
          </w:p>
        </w:tc>
      </w:tr>
      <w:tr>
        <w:tblPrEx>
          <w:tblCellMar>
            <w:top w:w="0" w:type="dxa"/>
            <w:left w:w="108" w:type="dxa"/>
            <w:bottom w:w="0" w:type="dxa"/>
            <w:right w:w="108" w:type="dxa"/>
          </w:tblCellMar>
        </w:tblPrEx>
        <w:trPr>
          <w:trHeight w:val="319"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对村级一事一议的补助</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2130705</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对村民委员会和村党支部的补助</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922.17</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922.17</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1"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2130706</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对村集体经济组织的补助</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100.00</w:t>
            </w:r>
          </w:p>
        </w:tc>
      </w:tr>
      <w:tr>
        <w:tblPrEx>
          <w:tblCellMar>
            <w:top w:w="0" w:type="dxa"/>
            <w:left w:w="108" w:type="dxa"/>
            <w:bottom w:w="0" w:type="dxa"/>
            <w:right w:w="108" w:type="dxa"/>
          </w:tblCellMar>
        </w:tblPrEx>
        <w:trPr>
          <w:trHeight w:val="281"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2130707</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农村综合改革示范试点补助</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21.00</w:t>
            </w:r>
          </w:p>
        </w:tc>
      </w:tr>
      <w:tr>
        <w:tblPrEx>
          <w:tblCellMar>
            <w:top w:w="0" w:type="dxa"/>
            <w:left w:w="108" w:type="dxa"/>
            <w:bottom w:w="0" w:type="dxa"/>
            <w:right w:w="108" w:type="dxa"/>
          </w:tblCellMar>
        </w:tblPrEx>
        <w:trPr>
          <w:trHeight w:val="33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214</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交通运输支出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r>
      <w:tr>
        <w:tblPrEx>
          <w:tblCellMar>
            <w:top w:w="0" w:type="dxa"/>
            <w:left w:w="108" w:type="dxa"/>
            <w:bottom w:w="0" w:type="dxa"/>
            <w:right w:w="108" w:type="dxa"/>
          </w:tblCellMar>
        </w:tblPrEx>
        <w:trPr>
          <w:trHeight w:val="33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21499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其他交通运输支出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r>
      <w:tr>
        <w:tblPrEx>
          <w:tblCellMar>
            <w:top w:w="0" w:type="dxa"/>
            <w:left w:w="108" w:type="dxa"/>
            <w:bottom w:w="0" w:type="dxa"/>
            <w:right w:w="108" w:type="dxa"/>
          </w:tblCellMar>
        </w:tblPrEx>
        <w:trPr>
          <w:trHeight w:val="356"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2149999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其他交通运输支出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r>
      <w:tr>
        <w:tblPrEx>
          <w:tblCellMar>
            <w:top w:w="0" w:type="dxa"/>
            <w:left w:w="108" w:type="dxa"/>
            <w:bottom w:w="0" w:type="dxa"/>
            <w:right w:w="108" w:type="dxa"/>
          </w:tblCellMar>
        </w:tblPrEx>
        <w:trPr>
          <w:trHeight w:val="281"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19"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38"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灾害防治及应急管理支出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68.10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13.10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55.00</w:t>
            </w:r>
          </w:p>
        </w:tc>
      </w:tr>
      <w:tr>
        <w:tblPrEx>
          <w:tblCellMar>
            <w:top w:w="0" w:type="dxa"/>
            <w:left w:w="108" w:type="dxa"/>
            <w:bottom w:w="0" w:type="dxa"/>
            <w:right w:w="108" w:type="dxa"/>
          </w:tblCellMar>
        </w:tblPrEx>
        <w:trPr>
          <w:trHeight w:val="318"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应急管理事务</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3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2240199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其他应急管理支出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19"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22404</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煤矿安全</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18"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2240499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其他煤矿安全支出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18"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22406</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自然灾害防治</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r>
      <w:tr>
        <w:tblPrEx>
          <w:tblCellMar>
            <w:top w:w="0" w:type="dxa"/>
            <w:left w:w="108" w:type="dxa"/>
            <w:bottom w:w="0" w:type="dxa"/>
            <w:right w:w="108" w:type="dxa"/>
          </w:tblCellMar>
        </w:tblPrEx>
        <w:trPr>
          <w:trHeight w:val="319"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2240601</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地质灾害防治</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r>
      <w:tr>
        <w:tblPrEx>
          <w:tblCellMar>
            <w:top w:w="0" w:type="dxa"/>
            <w:left w:w="108" w:type="dxa"/>
            <w:bottom w:w="0" w:type="dxa"/>
            <w:right w:w="108" w:type="dxa"/>
          </w:tblCellMar>
        </w:tblPrEx>
        <w:trPr>
          <w:trHeight w:val="319"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自然灾害救灾及恢复重建支出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43.00</w:t>
            </w:r>
          </w:p>
        </w:tc>
      </w:tr>
      <w:tr>
        <w:tblPrEx>
          <w:tblCellMar>
            <w:top w:w="0" w:type="dxa"/>
            <w:left w:w="108" w:type="dxa"/>
            <w:bottom w:w="0" w:type="dxa"/>
            <w:right w:w="108" w:type="dxa"/>
          </w:tblCellMar>
        </w:tblPrEx>
        <w:trPr>
          <w:trHeight w:val="33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2240704</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自然灾害灾后重建补助</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2240799</w:t>
            </w:r>
          </w:p>
        </w:tc>
        <w:tc>
          <w:tcPr>
            <w:tcW w:w="4824"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其他自然灾害救灾及恢复重建支出</w:t>
            </w:r>
          </w:p>
        </w:tc>
        <w:tc>
          <w:tcPr>
            <w:tcW w:w="2194"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24.00</w:t>
            </w:r>
          </w:p>
        </w:tc>
        <w:tc>
          <w:tcPr>
            <w:tcW w:w="2679"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247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24.00</w:t>
            </w:r>
          </w:p>
        </w:tc>
      </w:tr>
      <w:tr>
        <w:tblPrEx>
          <w:tblCellMar>
            <w:top w:w="0" w:type="dxa"/>
            <w:left w:w="108" w:type="dxa"/>
            <w:bottom w:w="0" w:type="dxa"/>
            <w:right w:w="108" w:type="dxa"/>
          </w:tblCellMar>
        </w:tblPrEx>
        <w:trPr>
          <w:trHeight w:val="645" w:hRule="atLeast"/>
          <w:jc w:val="center"/>
        </w:trPr>
        <w:tc>
          <w:tcPr>
            <w:tcW w:w="13374"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5761" w:type="dxa"/>
        <w:tblInd w:w="0" w:type="dxa"/>
        <w:tblLayout w:type="fixed"/>
        <w:tblCellMar>
          <w:top w:w="0" w:type="dxa"/>
          <w:left w:w="108" w:type="dxa"/>
          <w:bottom w:w="0" w:type="dxa"/>
          <w:right w:w="108" w:type="dxa"/>
        </w:tblCellMar>
      </w:tblPr>
      <w:tblGrid>
        <w:gridCol w:w="1288"/>
        <w:gridCol w:w="3097"/>
        <w:gridCol w:w="1762"/>
        <w:gridCol w:w="1313"/>
        <w:gridCol w:w="1933"/>
        <w:gridCol w:w="864"/>
        <w:gridCol w:w="1515"/>
        <w:gridCol w:w="2832"/>
        <w:gridCol w:w="1157"/>
      </w:tblGrid>
      <w:tr>
        <w:tblPrEx>
          <w:tblCellMar>
            <w:top w:w="0" w:type="dxa"/>
            <w:left w:w="108" w:type="dxa"/>
            <w:bottom w:w="0" w:type="dxa"/>
            <w:right w:w="108" w:type="dxa"/>
          </w:tblCellMar>
        </w:tblPrEx>
        <w:trPr>
          <w:trHeight w:val="1269" w:hRule="atLeast"/>
        </w:trPr>
        <w:tc>
          <w:tcPr>
            <w:tcW w:w="15761"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公开06表</w:t>
            </w:r>
          </w:p>
          <w:p>
            <w:pPr>
              <w:widowControl/>
              <w:rPr>
                <w:rFonts w:ascii="华文中宋" w:hAnsi="华文中宋" w:eastAsia="华文中宋" w:cs="宋体"/>
                <w:color w:val="000000"/>
                <w:kern w:val="0"/>
                <w:szCs w:val="32"/>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溆浦县卢峰镇人民政府                                                                                                                单位：万元</w:t>
            </w:r>
          </w:p>
        </w:tc>
      </w:tr>
      <w:tr>
        <w:tblPrEx>
          <w:tblCellMar>
            <w:top w:w="0" w:type="dxa"/>
            <w:left w:w="108" w:type="dxa"/>
            <w:bottom w:w="0" w:type="dxa"/>
            <w:right w:w="108" w:type="dxa"/>
          </w:tblCellMar>
        </w:tblPrEx>
        <w:trPr>
          <w:trHeight w:val="416" w:hRule="atLeast"/>
        </w:trPr>
        <w:tc>
          <w:tcPr>
            <w:tcW w:w="12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7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3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19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8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1,850.03</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349.00</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775.73</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127.26</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592.11</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52.63</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223.18</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32.80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33.62</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9.72</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7.76</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8.50</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23.09</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35.41</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11.30</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181.47</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1,246.32</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4.54</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0.15</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0.05</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4.85</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268.12</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705.61</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15.30</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11.82</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39.23</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221.69</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25.88</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p>
        </w:tc>
        <w:tc>
          <w:tcPr>
            <w:tcW w:w="115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29.59</w:t>
            </w: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83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5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284" w:hRule="exact"/>
        </w:trPr>
        <w:tc>
          <w:tcPr>
            <w:tcW w:w="12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9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76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p>
        </w:tc>
        <w:tc>
          <w:tcPr>
            <w:tcW w:w="13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193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6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8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5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trHeight w:val="284" w:hRule="exact"/>
        </w:trPr>
        <w:tc>
          <w:tcPr>
            <w:tcW w:w="43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Cs w:val="20"/>
              </w:rPr>
              <w:t>3096.35　33333333333096.35</w:t>
            </w:r>
          </w:p>
        </w:tc>
        <w:tc>
          <w:tcPr>
            <w:tcW w:w="8457"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5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381.80</w:t>
            </w:r>
          </w:p>
        </w:tc>
      </w:tr>
      <w:tr>
        <w:tblPrEx>
          <w:tblCellMar>
            <w:top w:w="0" w:type="dxa"/>
            <w:left w:w="108" w:type="dxa"/>
            <w:bottom w:w="0" w:type="dxa"/>
            <w:right w:w="108" w:type="dxa"/>
          </w:tblCellMar>
        </w:tblPrEx>
        <w:trPr>
          <w:trHeight w:val="284" w:hRule="exact"/>
        </w:trPr>
        <w:tc>
          <w:tcPr>
            <w:tcW w:w="15761"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溆浦县卢峰镇人民政府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19.72</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18.32</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18.32</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1.40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0.05</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firstLine="735" w:firstLineChars="35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溆浦县卢峰镇人民政府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公开08表</w:t>
      </w:r>
    </w:p>
    <w:p>
      <w:pPr>
        <w:widowControl/>
        <w:ind w:firstLine="13545" w:firstLineChars="645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3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9"/>
        <w:gridCol w:w="3938"/>
        <w:gridCol w:w="1406"/>
        <w:gridCol w:w="1144"/>
        <w:gridCol w:w="1443"/>
        <w:gridCol w:w="1744"/>
        <w:gridCol w:w="1686"/>
        <w:gridCol w:w="18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17"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1406"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1144"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4873"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1877"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79"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938"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406" w:type="dxa"/>
            <w:vMerge w:val="continue"/>
            <w:vAlign w:val="center"/>
          </w:tcPr>
          <w:p>
            <w:pPr>
              <w:widowControl/>
              <w:jc w:val="left"/>
              <w:rPr>
                <w:rFonts w:ascii="Times New Roman" w:hAnsi="Times New Roman" w:eastAsia="仿宋_GB2312" w:cs="Times New Roman"/>
                <w:b/>
                <w:kern w:val="0"/>
                <w:szCs w:val="21"/>
              </w:rPr>
            </w:pPr>
          </w:p>
        </w:tc>
        <w:tc>
          <w:tcPr>
            <w:tcW w:w="1144" w:type="dxa"/>
            <w:vMerge w:val="continue"/>
            <w:vAlign w:val="center"/>
          </w:tcPr>
          <w:p>
            <w:pPr>
              <w:widowControl/>
              <w:jc w:val="left"/>
              <w:rPr>
                <w:rFonts w:ascii="Times New Roman" w:hAnsi="Times New Roman" w:eastAsia="仿宋_GB2312" w:cs="Times New Roman"/>
                <w:b/>
                <w:kern w:val="0"/>
                <w:szCs w:val="21"/>
              </w:rPr>
            </w:pPr>
          </w:p>
        </w:tc>
        <w:tc>
          <w:tcPr>
            <w:tcW w:w="1443"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1744"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1686"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1877"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79" w:type="dxa"/>
            <w:vMerge w:val="continue"/>
            <w:vAlign w:val="center"/>
          </w:tcPr>
          <w:p>
            <w:pPr>
              <w:widowControl/>
              <w:jc w:val="left"/>
              <w:rPr>
                <w:rFonts w:ascii="Times New Roman" w:hAnsi="Times New Roman" w:eastAsia="仿宋_GB2312" w:cs="Times New Roman"/>
                <w:kern w:val="0"/>
                <w:szCs w:val="21"/>
              </w:rPr>
            </w:pPr>
          </w:p>
        </w:tc>
        <w:tc>
          <w:tcPr>
            <w:tcW w:w="3938" w:type="dxa"/>
            <w:vMerge w:val="continue"/>
            <w:vAlign w:val="center"/>
          </w:tcPr>
          <w:p>
            <w:pPr>
              <w:widowControl/>
              <w:jc w:val="left"/>
              <w:rPr>
                <w:rFonts w:ascii="Times New Roman" w:hAnsi="Times New Roman" w:eastAsia="仿宋_GB2312" w:cs="Times New Roman"/>
                <w:kern w:val="0"/>
                <w:szCs w:val="21"/>
              </w:rPr>
            </w:pPr>
          </w:p>
        </w:tc>
        <w:tc>
          <w:tcPr>
            <w:tcW w:w="1406" w:type="dxa"/>
            <w:vMerge w:val="continue"/>
            <w:vAlign w:val="center"/>
          </w:tcPr>
          <w:p>
            <w:pPr>
              <w:widowControl/>
              <w:jc w:val="left"/>
              <w:rPr>
                <w:rFonts w:ascii="Times New Roman" w:hAnsi="Times New Roman" w:eastAsia="仿宋_GB2312" w:cs="Times New Roman"/>
                <w:kern w:val="0"/>
                <w:szCs w:val="21"/>
              </w:rPr>
            </w:pPr>
          </w:p>
        </w:tc>
        <w:tc>
          <w:tcPr>
            <w:tcW w:w="1144" w:type="dxa"/>
            <w:vMerge w:val="continue"/>
            <w:vAlign w:val="center"/>
          </w:tcPr>
          <w:p>
            <w:pPr>
              <w:widowControl/>
              <w:jc w:val="left"/>
              <w:rPr>
                <w:rFonts w:ascii="Times New Roman" w:hAnsi="Times New Roman" w:eastAsia="仿宋_GB2312" w:cs="Times New Roman"/>
                <w:kern w:val="0"/>
                <w:szCs w:val="21"/>
              </w:rPr>
            </w:pPr>
          </w:p>
        </w:tc>
        <w:tc>
          <w:tcPr>
            <w:tcW w:w="1443" w:type="dxa"/>
            <w:vMerge w:val="continue"/>
            <w:vAlign w:val="center"/>
          </w:tcPr>
          <w:p>
            <w:pPr>
              <w:widowControl/>
              <w:jc w:val="left"/>
              <w:rPr>
                <w:rFonts w:ascii="Times New Roman" w:hAnsi="Times New Roman" w:eastAsia="仿宋_GB2312" w:cs="Times New Roman"/>
                <w:kern w:val="0"/>
                <w:szCs w:val="21"/>
              </w:rPr>
            </w:pPr>
          </w:p>
        </w:tc>
        <w:tc>
          <w:tcPr>
            <w:tcW w:w="1744" w:type="dxa"/>
            <w:vMerge w:val="continue"/>
            <w:vAlign w:val="center"/>
          </w:tcPr>
          <w:p>
            <w:pPr>
              <w:widowControl/>
              <w:jc w:val="left"/>
              <w:rPr>
                <w:rFonts w:ascii="Times New Roman" w:hAnsi="Times New Roman" w:eastAsia="仿宋_GB2312" w:cs="Times New Roman"/>
                <w:kern w:val="0"/>
                <w:szCs w:val="21"/>
              </w:rPr>
            </w:pPr>
          </w:p>
        </w:tc>
        <w:tc>
          <w:tcPr>
            <w:tcW w:w="1686" w:type="dxa"/>
            <w:vMerge w:val="continue"/>
            <w:vAlign w:val="center"/>
          </w:tcPr>
          <w:p>
            <w:pPr>
              <w:widowControl/>
              <w:jc w:val="left"/>
              <w:rPr>
                <w:rFonts w:ascii="Times New Roman" w:hAnsi="Times New Roman" w:eastAsia="仿宋_GB2312" w:cs="Times New Roman"/>
                <w:kern w:val="0"/>
                <w:szCs w:val="21"/>
              </w:rPr>
            </w:pPr>
          </w:p>
        </w:tc>
        <w:tc>
          <w:tcPr>
            <w:tcW w:w="1877"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79" w:type="dxa"/>
            <w:vMerge w:val="continue"/>
            <w:vAlign w:val="center"/>
          </w:tcPr>
          <w:p>
            <w:pPr>
              <w:widowControl/>
              <w:jc w:val="left"/>
              <w:rPr>
                <w:rFonts w:ascii="Times New Roman" w:hAnsi="Times New Roman" w:eastAsia="仿宋_GB2312" w:cs="Times New Roman"/>
                <w:kern w:val="0"/>
                <w:szCs w:val="21"/>
              </w:rPr>
            </w:pPr>
          </w:p>
        </w:tc>
        <w:tc>
          <w:tcPr>
            <w:tcW w:w="3938" w:type="dxa"/>
            <w:vMerge w:val="continue"/>
            <w:vAlign w:val="center"/>
          </w:tcPr>
          <w:p>
            <w:pPr>
              <w:widowControl/>
              <w:jc w:val="left"/>
              <w:rPr>
                <w:rFonts w:ascii="Times New Roman" w:hAnsi="Times New Roman" w:eastAsia="仿宋_GB2312" w:cs="Times New Roman"/>
                <w:kern w:val="0"/>
                <w:szCs w:val="21"/>
              </w:rPr>
            </w:pPr>
          </w:p>
        </w:tc>
        <w:tc>
          <w:tcPr>
            <w:tcW w:w="1406" w:type="dxa"/>
            <w:vMerge w:val="continue"/>
            <w:vAlign w:val="center"/>
          </w:tcPr>
          <w:p>
            <w:pPr>
              <w:widowControl/>
              <w:jc w:val="left"/>
              <w:rPr>
                <w:rFonts w:ascii="Times New Roman" w:hAnsi="Times New Roman" w:eastAsia="仿宋_GB2312" w:cs="Times New Roman"/>
                <w:kern w:val="0"/>
                <w:szCs w:val="21"/>
              </w:rPr>
            </w:pPr>
          </w:p>
        </w:tc>
        <w:tc>
          <w:tcPr>
            <w:tcW w:w="1144" w:type="dxa"/>
            <w:vMerge w:val="continue"/>
            <w:vAlign w:val="center"/>
          </w:tcPr>
          <w:p>
            <w:pPr>
              <w:widowControl/>
              <w:jc w:val="left"/>
              <w:rPr>
                <w:rFonts w:ascii="Times New Roman" w:hAnsi="Times New Roman" w:eastAsia="仿宋_GB2312" w:cs="Times New Roman"/>
                <w:kern w:val="0"/>
                <w:szCs w:val="21"/>
              </w:rPr>
            </w:pPr>
          </w:p>
        </w:tc>
        <w:tc>
          <w:tcPr>
            <w:tcW w:w="1443" w:type="dxa"/>
            <w:vMerge w:val="continue"/>
            <w:vAlign w:val="center"/>
          </w:tcPr>
          <w:p>
            <w:pPr>
              <w:widowControl/>
              <w:jc w:val="left"/>
              <w:rPr>
                <w:rFonts w:ascii="Times New Roman" w:hAnsi="Times New Roman" w:eastAsia="仿宋_GB2312" w:cs="Times New Roman"/>
                <w:kern w:val="0"/>
                <w:szCs w:val="21"/>
              </w:rPr>
            </w:pPr>
          </w:p>
        </w:tc>
        <w:tc>
          <w:tcPr>
            <w:tcW w:w="1744" w:type="dxa"/>
            <w:vMerge w:val="continue"/>
            <w:vAlign w:val="center"/>
          </w:tcPr>
          <w:p>
            <w:pPr>
              <w:widowControl/>
              <w:jc w:val="left"/>
              <w:rPr>
                <w:rFonts w:ascii="Times New Roman" w:hAnsi="Times New Roman" w:eastAsia="仿宋_GB2312" w:cs="Times New Roman"/>
                <w:kern w:val="0"/>
                <w:szCs w:val="21"/>
              </w:rPr>
            </w:pPr>
          </w:p>
        </w:tc>
        <w:tc>
          <w:tcPr>
            <w:tcW w:w="1686" w:type="dxa"/>
            <w:vMerge w:val="continue"/>
            <w:vAlign w:val="center"/>
          </w:tcPr>
          <w:p>
            <w:pPr>
              <w:widowControl/>
              <w:jc w:val="left"/>
              <w:rPr>
                <w:rFonts w:ascii="Times New Roman" w:hAnsi="Times New Roman" w:eastAsia="仿宋_GB2312" w:cs="Times New Roman"/>
                <w:kern w:val="0"/>
                <w:szCs w:val="21"/>
              </w:rPr>
            </w:pPr>
          </w:p>
        </w:tc>
        <w:tc>
          <w:tcPr>
            <w:tcW w:w="1877"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0" w:hRule="atLeast"/>
          <w:jc w:val="center"/>
        </w:trPr>
        <w:tc>
          <w:tcPr>
            <w:tcW w:w="5017"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06"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14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443"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74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686"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77"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 w:hRule="atLeast"/>
          <w:jc w:val="center"/>
        </w:trPr>
        <w:tc>
          <w:tcPr>
            <w:tcW w:w="5017"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06"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144"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35.00</w:t>
            </w:r>
            <w:r>
              <w:rPr>
                <w:rFonts w:ascii="Times New Roman" w:hAnsi="Times New Roman" w:eastAsia="仿宋_GB2312" w:cs="Times New Roman"/>
                <w:kern w:val="0"/>
                <w:szCs w:val="21"/>
              </w:rPr>
              <w:t>　</w:t>
            </w:r>
          </w:p>
        </w:tc>
        <w:tc>
          <w:tcPr>
            <w:tcW w:w="1443"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35.00</w:t>
            </w:r>
            <w:r>
              <w:rPr>
                <w:rFonts w:ascii="Times New Roman" w:hAnsi="Times New Roman" w:eastAsia="仿宋_GB2312" w:cs="Times New Roman"/>
                <w:kern w:val="0"/>
                <w:szCs w:val="21"/>
              </w:rPr>
              <w:t>　</w:t>
            </w:r>
          </w:p>
        </w:tc>
        <w:tc>
          <w:tcPr>
            <w:tcW w:w="1744"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25.00</w:t>
            </w:r>
            <w:r>
              <w:rPr>
                <w:rFonts w:ascii="Times New Roman" w:hAnsi="Times New Roman" w:eastAsia="仿宋_GB2312" w:cs="Times New Roman"/>
                <w:kern w:val="0"/>
                <w:szCs w:val="21"/>
              </w:rPr>
              <w:t>　</w:t>
            </w:r>
          </w:p>
        </w:tc>
        <w:tc>
          <w:tcPr>
            <w:tcW w:w="1686"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r>
              <w:rPr>
                <w:rFonts w:ascii="Times New Roman" w:hAnsi="Times New Roman" w:eastAsia="仿宋_GB2312" w:cs="Times New Roman"/>
                <w:kern w:val="0"/>
                <w:szCs w:val="21"/>
              </w:rPr>
              <w:t>　</w:t>
            </w:r>
          </w:p>
        </w:tc>
        <w:tc>
          <w:tcPr>
            <w:tcW w:w="1877"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79"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3938"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140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443"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7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8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877"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79"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20823</w:t>
            </w:r>
          </w:p>
        </w:tc>
        <w:tc>
          <w:tcPr>
            <w:tcW w:w="3938"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小型水库移民扶助基金安排的支出</w:t>
            </w:r>
          </w:p>
        </w:tc>
        <w:tc>
          <w:tcPr>
            <w:tcW w:w="140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443"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7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8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877"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79"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2082302</w:t>
            </w:r>
          </w:p>
        </w:tc>
        <w:tc>
          <w:tcPr>
            <w:tcW w:w="3938"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基础设施建设和经济发展</w:t>
            </w:r>
          </w:p>
        </w:tc>
        <w:tc>
          <w:tcPr>
            <w:tcW w:w="140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443"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7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8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4.00</w:t>
            </w:r>
          </w:p>
        </w:tc>
        <w:tc>
          <w:tcPr>
            <w:tcW w:w="1877"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79"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w:t>
            </w:r>
          </w:p>
        </w:tc>
        <w:tc>
          <w:tcPr>
            <w:tcW w:w="3938"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城乡社区支出</w:t>
            </w:r>
          </w:p>
        </w:tc>
        <w:tc>
          <w:tcPr>
            <w:tcW w:w="140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443"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7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8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877"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79"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w:t>
            </w:r>
          </w:p>
        </w:tc>
        <w:tc>
          <w:tcPr>
            <w:tcW w:w="3938"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国有土地使用权出让收入安排的支出</w:t>
            </w:r>
          </w:p>
        </w:tc>
        <w:tc>
          <w:tcPr>
            <w:tcW w:w="140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443"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7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8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877"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79"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2120804</w:t>
            </w:r>
          </w:p>
        </w:tc>
        <w:tc>
          <w:tcPr>
            <w:tcW w:w="3938"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农村基础设施建设支出</w:t>
            </w:r>
          </w:p>
        </w:tc>
        <w:tc>
          <w:tcPr>
            <w:tcW w:w="140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443"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7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8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w:t>
            </w:r>
          </w:p>
        </w:tc>
        <w:tc>
          <w:tcPr>
            <w:tcW w:w="1877"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79"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w:t>
            </w:r>
          </w:p>
        </w:tc>
        <w:tc>
          <w:tcPr>
            <w:tcW w:w="3938"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其他支出</w:t>
            </w:r>
          </w:p>
        </w:tc>
        <w:tc>
          <w:tcPr>
            <w:tcW w:w="140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443"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7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68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77"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79"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w:t>
            </w:r>
          </w:p>
        </w:tc>
        <w:tc>
          <w:tcPr>
            <w:tcW w:w="3938"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彩票公益金安排的支出</w:t>
            </w:r>
          </w:p>
        </w:tc>
        <w:tc>
          <w:tcPr>
            <w:tcW w:w="140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443"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7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68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77"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79"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2296002</w:t>
            </w:r>
          </w:p>
        </w:tc>
        <w:tc>
          <w:tcPr>
            <w:tcW w:w="3938"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用于社会福利的彩票公益金支出</w:t>
            </w:r>
          </w:p>
        </w:tc>
        <w:tc>
          <w:tcPr>
            <w:tcW w:w="140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17.00</w:t>
            </w:r>
          </w:p>
        </w:tc>
        <w:tc>
          <w:tcPr>
            <w:tcW w:w="1443"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17.00</w:t>
            </w:r>
          </w:p>
        </w:tc>
        <w:tc>
          <w:tcPr>
            <w:tcW w:w="17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17.00</w:t>
            </w:r>
          </w:p>
        </w:tc>
        <w:tc>
          <w:tcPr>
            <w:tcW w:w="168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77"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79"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2296003</w:t>
            </w:r>
          </w:p>
        </w:tc>
        <w:tc>
          <w:tcPr>
            <w:tcW w:w="3938" w:type="dxa"/>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用于体育事业的彩票公益金支出</w:t>
            </w:r>
          </w:p>
        </w:tc>
        <w:tc>
          <w:tcPr>
            <w:tcW w:w="140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1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8.00</w:t>
            </w:r>
          </w:p>
        </w:tc>
        <w:tc>
          <w:tcPr>
            <w:tcW w:w="1443"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8.00</w:t>
            </w:r>
          </w:p>
        </w:tc>
        <w:tc>
          <w:tcPr>
            <w:tcW w:w="1744"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8.00</w:t>
            </w:r>
          </w:p>
        </w:tc>
        <w:tc>
          <w:tcPr>
            <w:tcW w:w="1686"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877" w:type="dxa"/>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bl>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8"/>
        <w:tblW w:w="14190" w:type="dxa"/>
        <w:tblInd w:w="93" w:type="dxa"/>
        <w:tblLayout w:type="autofit"/>
        <w:tblCellMar>
          <w:top w:w="0" w:type="dxa"/>
          <w:left w:w="108" w:type="dxa"/>
          <w:bottom w:w="0" w:type="dxa"/>
          <w:right w:w="108" w:type="dxa"/>
        </w:tblCellMar>
      </w:tblPr>
      <w:tblGrid>
        <w:gridCol w:w="1060"/>
        <w:gridCol w:w="164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8"/>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49"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26"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436"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3775" w:type="dxa"/>
            <w:gridSpan w:val="2"/>
            <w:tcBorders>
              <w:top w:val="nil"/>
              <w:left w:val="nil"/>
              <w:bottom w:val="nil"/>
              <w:right w:val="nil"/>
            </w:tcBorders>
            <w:shd w:val="clear" w:color="000000" w:fill="FFFFFF"/>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溆浦县卢峰镇人民政府</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3"/>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3"/>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0.0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2709"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26"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8"/>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2"/>
        <w:rPr>
          <w:sz w:val="72"/>
          <w:szCs w:val="72"/>
        </w:rPr>
        <w:sectPr>
          <w:pgSz w:w="16838" w:h="11906" w:orient="landscape"/>
          <w:pgMar w:top="720" w:right="720" w:bottom="720" w:left="720" w:header="851" w:footer="992" w:gutter="0"/>
          <w:cols w:space="425" w:num="1"/>
          <w:docGrid w:type="lines" w:linePitch="312" w:charSpace="0"/>
        </w:sectPr>
      </w:pPr>
    </w:p>
    <w:p>
      <w:pPr>
        <w:pStyle w:val="12"/>
        <w:rPr>
          <w:sz w:val="72"/>
          <w:szCs w:val="72"/>
        </w:rPr>
      </w:pPr>
    </w:p>
    <w:p>
      <w:pPr>
        <w:pStyle w:val="12"/>
        <w:rPr>
          <w:sz w:val="72"/>
          <w:szCs w:val="72"/>
        </w:rPr>
      </w:pPr>
    </w:p>
    <w:p>
      <w:pPr>
        <w:pStyle w:val="12"/>
        <w:jc w:val="center"/>
        <w:rPr>
          <w:sz w:val="72"/>
          <w:szCs w:val="72"/>
        </w:rPr>
      </w:pPr>
      <w:r>
        <w:rPr>
          <w:rFonts w:hint="eastAsia"/>
          <w:sz w:val="72"/>
          <w:szCs w:val="72"/>
        </w:rPr>
        <w:t>第三部分</w:t>
      </w:r>
    </w:p>
    <w:p>
      <w:pPr>
        <w:pStyle w:val="12"/>
        <w:jc w:val="center"/>
        <w:rPr>
          <w:sz w:val="70"/>
          <w:szCs w:val="70"/>
        </w:rPr>
      </w:pPr>
    </w:p>
    <w:p>
      <w:pPr>
        <w:pStyle w:val="12"/>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hAnsi="黑体"/>
          <w:b/>
          <w:sz w:val="32"/>
          <w:szCs w:val="32"/>
        </w:rPr>
      </w:pPr>
      <w:r>
        <w:rPr>
          <w:rFonts w:hint="eastAsia" w:hAnsi="黑体"/>
          <w:b/>
          <w:sz w:val="32"/>
          <w:szCs w:val="32"/>
        </w:rPr>
        <w:t>一、收入支出决算总体情况说明</w:t>
      </w:r>
    </w:p>
    <w:p>
      <w:pPr>
        <w:widowControl/>
        <w:spacing w:line="800" w:lineRule="exact"/>
        <w:ind w:firstLine="640" w:firstLineChars="200"/>
        <w:rPr>
          <w:rFonts w:ascii="宋体"/>
          <w:kern w:val="0"/>
          <w:sz w:val="32"/>
          <w:szCs w:val="32"/>
        </w:rPr>
      </w:pPr>
      <w:r>
        <w:rPr>
          <w:rFonts w:hint="eastAsia" w:asciiTheme="minorEastAsia" w:hAnsiTheme="minorEastAsia"/>
          <w:sz w:val="32"/>
          <w:szCs w:val="32"/>
        </w:rPr>
        <w:t>2020年度收、支总计5631.20万元。与上年相比，增加1320.05万元，增长30.62%，主要是因为</w:t>
      </w:r>
      <w:r>
        <w:rPr>
          <w:rFonts w:hint="eastAsia" w:ascii="宋体" w:hAnsi="宋体"/>
          <w:kern w:val="0"/>
          <w:sz w:val="32"/>
          <w:szCs w:val="32"/>
        </w:rPr>
        <w:t>增加的主要原因是有以下几个方面：一是人员经费的增加，干部的收入增加，人员开支也就越大；二是脱贫攻坚工作的需要，扶贫类资金比上年度增加了538.44万元，增幅达54.25</w:t>
      </w:r>
      <w:r>
        <w:rPr>
          <w:rFonts w:ascii="宋体" w:hAnsi="宋体"/>
          <w:kern w:val="0"/>
          <w:sz w:val="32"/>
          <w:szCs w:val="32"/>
        </w:rPr>
        <w:t>%</w:t>
      </w:r>
      <w:r>
        <w:rPr>
          <w:rFonts w:hint="eastAsia" w:ascii="宋体" w:hAnsi="宋体"/>
          <w:kern w:val="0"/>
          <w:sz w:val="32"/>
          <w:szCs w:val="32"/>
        </w:rPr>
        <w:t>，三是机构改革工作的需要：林业服务中心并入镇政府一并核算。</w:t>
      </w:r>
    </w:p>
    <w:p>
      <w:pPr>
        <w:pStyle w:val="12"/>
        <w:ind w:firstLine="640" w:firstLineChars="200"/>
        <w:rPr>
          <w:rFonts w:asciiTheme="minorEastAsia" w:hAnsiTheme="minorEastAsia" w:eastAsiaTheme="minorEastAsia"/>
          <w:sz w:val="32"/>
          <w:szCs w:val="32"/>
        </w:rPr>
      </w:pPr>
    </w:p>
    <w:p>
      <w:pPr>
        <w:pStyle w:val="12"/>
        <w:rPr>
          <w:rFonts w:hAnsi="黑体"/>
          <w:b/>
          <w:sz w:val="32"/>
          <w:szCs w:val="32"/>
        </w:rPr>
      </w:pPr>
      <w:r>
        <w:rPr>
          <w:rFonts w:hint="eastAsia" w:hAnsi="黑体"/>
          <w:b/>
          <w:sz w:val="32"/>
          <w:szCs w:val="32"/>
        </w:rPr>
        <w:t>二、收入决算情况说明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5631.20万元，其中：财政拨款收入5596.20万元，占99.38%；上级补助收入0万元，占0%；事业收入0万元，占0%；经营收入0万元，占0%；附属单位上缴收入0万元，占0%；其他收入0万元，占0%；政府性基金预算财政拨款收入35万元，占0.62%。</w:t>
      </w:r>
    </w:p>
    <w:p>
      <w:pPr>
        <w:pStyle w:val="12"/>
        <w:rPr>
          <w:rFonts w:hAnsi="黑体"/>
          <w:b/>
          <w:sz w:val="32"/>
          <w:szCs w:val="32"/>
        </w:rPr>
      </w:pPr>
      <w:r>
        <w:rPr>
          <w:rFonts w:hint="eastAsia" w:hAnsi="黑体"/>
          <w:b/>
          <w:sz w:val="32"/>
          <w:szCs w:val="32"/>
        </w:rPr>
        <w:t>三、支出决算情况说明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本年支出合计5631.20万元，其中：基本支出3503.15万元，占62.21%；项目支出2128.05万元，占37.79%；上缴上级支出0万元，占0%；经营支出0万元，占0%；对附属单位补助支出0万元，占0%。</w:t>
      </w:r>
    </w:p>
    <w:p>
      <w:pPr>
        <w:pStyle w:val="12"/>
        <w:rPr>
          <w:rFonts w:hAnsi="黑体"/>
          <w:b/>
          <w:sz w:val="32"/>
          <w:szCs w:val="32"/>
        </w:rPr>
      </w:pPr>
      <w:r>
        <w:rPr>
          <w:rFonts w:hint="eastAsia" w:hAnsi="黑体"/>
          <w:b/>
          <w:sz w:val="32"/>
          <w:szCs w:val="32"/>
        </w:rPr>
        <w:t>四、财政拨款收入支出决算总体情况说明</w:t>
      </w:r>
    </w:p>
    <w:p>
      <w:pPr>
        <w:pStyle w:val="12"/>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2020年度财政拨款收、支总计5631.20万元，与上年相比，增加1320.05万元,增长30.62%，主要是因为人员增加及标准提高、扶贫类项目资金增加等原因。</w:t>
      </w:r>
    </w:p>
    <w:p>
      <w:pPr>
        <w:pStyle w:val="12"/>
        <w:rPr>
          <w:rFonts w:hAnsi="黑体"/>
          <w:b/>
          <w:sz w:val="32"/>
          <w:szCs w:val="32"/>
        </w:rPr>
      </w:pPr>
      <w:r>
        <w:rPr>
          <w:rFonts w:hint="eastAsia" w:hAnsi="黑体"/>
          <w:b/>
          <w:sz w:val="32"/>
          <w:szCs w:val="32"/>
        </w:rPr>
        <w:t>五、一般公共预算财政拨款支出决算情况说明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2020年度财政拨款支出5596.20万元，占本年支出合计的100%，与上年相比，财政拨款支出增加1340.69万元，增长31.5%，主要是因为人员增加及标准提高、扶贫类项目资金增加等原因。</w:t>
      </w:r>
    </w:p>
    <w:p>
      <w:pPr>
        <w:pStyle w:val="12"/>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5596.20万元，主要用于以下方面：一般公共服务（类）支出2033.47万元，占36.34%；国防（类）支出0.8万元，占0.01%;公共安全（类）支出27.56万元，占0.49%;科学技术（类）支出2万元，占0.04%;文化旅游体育与传媒（类）支出0.8万元，占0.01%;社会保障和就业（类）支出122.15万元，占2.18%;卫生健康（类）支出319.81万元，占5.71%;节能环保（类）支出89.62万元，占1.6%;城乡社区（类）支出124.60万元，占2.23%;农林水（类）支出2769.88万元，占49.5%;交通运输（类）支出2万元，占0.04%;住房保障（类）支出35.41万元，占0.63%;灾害防治及应急管理（类）支出68.1万元，占1.22%。</w:t>
      </w:r>
    </w:p>
    <w:p>
      <w:pPr>
        <w:pStyle w:val="12"/>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2020年度财政拨款支出年初预算数为2994.72万元，支出决算数为5596.20万元，完成年初预算的100%，其中：</w:t>
      </w:r>
    </w:p>
    <w:p>
      <w:pPr>
        <w:pStyle w:val="12"/>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、一般公共服务（类）政府办公厅（室）及相关机构事务（款）行政运行（项）。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年初预算为1009.4万元，支出决算为1009.4万元，完成年初预算的100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2、一般公共服务（类）政府办公厅（室）及相关机构事务（款）一般行政管理事务（项）。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年初预算为75.36万元，支出决算为75.36万元，完成年初预算的100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3、一般公共服务（类）政府办公厅（室）及相关机构事务（款）信访事务（项）。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年初预算为16.4万元，支出决算为16.4万元，完成年初预算的100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4、一般公共服务（类）政府办公厅（室）及相关机构事务（款）其他政府办公厅（室）及相关机构事务支出（项）。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年初预算为747.99万元，支出决算为747.99万元，完成年初预算的100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5、一般公共服务（类）统计信息事务（款）专项普查活动（项）。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年初预算为3万元，支出决算为3万元，完成年初预算的100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6、一般公共服务（类）财政事务（款）行政运行（项）。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年初预算为164.49万元，支出决算为164.49万元，完成年初预算的100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7、一般公共服务（类）财政事务（款）一般行政管理事务（项）。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年初预算为8.83万元，支出决算为8.83万元，完成年初预算的100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8、一般公共服务（类）税收事务（款）行政运行（项）。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年初预算为2万元，支出决算为2万元，完成年初预算的100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9、一般公共服务（类）其他共产党事务（款）一般行政管理事务（项）。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年初预算为2万元，支出决算为2万元，完成年初预算的100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10、一般公共服务（类）其他一般公共服务支出（款）其他一般公共服务支出（项）。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年初预算为4万元，支出决算为4万元，完成年初预算的100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11、国防（类）国防动员（款）兵役征集（项）。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年初预算为0.8万元，支出决算为0.8万元，完成年初预算的100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12、公共安全（类）公安（款）一般行政管理事务（项）。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年初预算为9.6万元，支出决算为9.6万元，完成年初预算的100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13、公共安全（类）公安（款）其他公安支出（项）。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年初预算为17.96万元，支出决算为17.96万元，完成年初预算的100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14、科学技术（类）其他科学技术（款）其他科学技术（项）。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年初预算为2万元，支出决算为2万元，完成年初预算的10</w:t>
      </w:r>
      <w:r>
        <w:rPr>
          <w:rFonts w:ascii="宋体" w:hAnsi="宋体" w:eastAsia="宋体"/>
          <w:sz w:val="32"/>
          <w:szCs w:val="32"/>
        </w:rPr>
        <w:t>0%</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5、文化旅游体育与传媒（类）文化和旅游（款）艺术表演团体（项）。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年初预算为0.8万元，支出决算为0.8万元，完成年初预算的100</w:t>
      </w:r>
      <w:r>
        <w:rPr>
          <w:rFonts w:ascii="宋体" w:hAnsi="宋体" w:eastAsia="宋体"/>
          <w:sz w:val="32"/>
          <w:szCs w:val="32"/>
        </w:rPr>
        <w:t>%</w:t>
      </w:r>
      <w:r>
        <w:rPr>
          <w:rFonts w:hint="eastAsia" w:ascii="宋体" w:hAnsi="宋体" w:eastAsia="宋体"/>
          <w:sz w:val="32"/>
          <w:szCs w:val="32"/>
        </w:rPr>
        <w:t>。</w:t>
      </w:r>
    </w:p>
    <w:p>
      <w:pPr>
        <w:pStyle w:val="12"/>
        <w:numPr>
          <w:ilvl w:val="0"/>
          <w:numId w:val="2"/>
        </w:numPr>
        <w:ind w:firstLine="800" w:firstLineChars="250"/>
        <w:rPr>
          <w:rFonts w:ascii="宋体" w:hAnsi="宋体" w:eastAsia="宋体"/>
          <w:sz w:val="32"/>
          <w:szCs w:val="32"/>
        </w:rPr>
      </w:pPr>
      <w:r>
        <w:rPr>
          <w:rFonts w:hint="eastAsia" w:ascii="宋体" w:hAnsi="宋体" w:eastAsia="宋体"/>
          <w:sz w:val="32"/>
          <w:szCs w:val="32"/>
        </w:rPr>
        <w:t>社会保障和就业（类）民政管理事务（款）其他民政管理事务（项）。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年初预算为2.9万元，支出决算为2.9万元，完成年初预算的100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7、社会保障和就业（类）抚恤（款）死亡抚恤（项）。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年初预算为113.44万元，支出决算为113.44万元，完成年初预算的100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8、社会保障和就业（类）社会福利（款）儿童福利（项）。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年初预算为1万元，支出决算为</w:t>
      </w:r>
      <w:r>
        <w:rPr>
          <w:rFonts w:ascii="宋体" w:hAnsi="宋体" w:eastAsia="宋体"/>
          <w:sz w:val="32"/>
          <w:szCs w:val="32"/>
        </w:rPr>
        <w:t>1</w:t>
      </w:r>
      <w:r>
        <w:rPr>
          <w:rFonts w:hint="eastAsia" w:ascii="宋体" w:hAnsi="宋体" w:eastAsia="宋体"/>
          <w:sz w:val="32"/>
          <w:szCs w:val="32"/>
        </w:rPr>
        <w:t>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19、社会保障和就业（类）财政对基本养老保险基金的补助（款）财政对其他基本养老保险基金的补助（项）。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0</w:t>
      </w:r>
      <w:r>
        <w:rPr>
          <w:rFonts w:hint="eastAsia" w:ascii="宋体" w:hAnsi="宋体" w:eastAsia="宋体"/>
          <w:sz w:val="32"/>
          <w:szCs w:val="32"/>
        </w:rPr>
        <w:t>.11万元，支出决算为0.11万元，完成年初预算的100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20、社会保障和就业（类）退役军人事务管理（款）其他退役军人事务管理（项）。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年初预算为4.7万元，支出决算为4.7万元，完成年初预算的100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21、卫生健康（类）公共卫生（款）精神卫生机构（项）。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年初预算为4.78万元，支出决算为4.78万元，完成年初预算的100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22、卫生健康（类）公共卫生（款）基本公共卫生服务（项）。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年初预算为1.62万元，支出决算为1.62万元，完成年初预算的100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640" w:firstLineChars="200"/>
        <w:rPr>
          <w:rFonts w:ascii="宋体" w:hAnsi="宋体" w:eastAsia="宋体"/>
          <w:sz w:val="32"/>
          <w:szCs w:val="32"/>
        </w:rPr>
      </w:pPr>
      <w:r>
        <w:rPr>
          <w:rFonts w:hint="eastAsia" w:ascii="宋体" w:hAnsi="宋体" w:eastAsia="宋体"/>
          <w:sz w:val="32"/>
          <w:szCs w:val="32"/>
        </w:rPr>
        <w:t xml:space="preserve"> 23、卫生健康（类）公共卫生（款）突发公共卫生事件应急处理（项）。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年初预算为4.85万元，支出决算为4.85万元，完成年初预算的100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24、卫生健康（类）计划生育事务（款）计划生育机构（项）。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年初预算为249.94万元，支出决算为249.94万元，完成年初预算的100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25、卫生健康（类）计划生育事务（款）其他计划生育事务支出（项）。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年初预算为58.62万元，支出决算为58.62万元，完成年初预算的100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26、节能环保（类）自然生态保护（款）农村环境保护（项）。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年初预算为89.62万元，支出决算为89.62万元，完成年初预算的100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27、城乡社区（类）城乡社区管理事务（款）行政运行（项）。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年初预算为14万元，支出决算为14万元，完成年初预算的100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8、城乡社区（类）城乡社区管理事务（款）一般行政管理事务（项）。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年初预算为1万元，支出决算为1万元，完成年初预算的100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29、城乡社区（类）城乡社区管理事务（款）其他城乡社区管理事务（项）。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年初预算为5万元，支出决算为5万元，完成年初预算的100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30、城乡社区（类）城乡社区公共设施（款）小城镇基础设施建设（项）。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年初预算为24.8万元，支出决算为24.8万元，完成年初预算的100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31、城乡社区（类）城乡社区环境卫生（款）城乡社区环境卫生（项）。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年初预算为64.8万元，支出决算为64.8万元，完成年初预算的100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32、城乡社区（类）其他城乡社区（款）其他城乡社区支出（项）。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年初预算为15万元，支出决算为15万元，完成年初预算的100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33、农林水（类）农业农村（款）病虫害控制（项）。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年初预算为2万元，支出决算为2万元，完成年初预算的100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34、农林水（类）农业农村（款）防灾救灾（项）。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年初预算为7万元，支出决算为7万元，完成年初预算的100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35、农林水（类）农业农村（款）农村道路建设（项）。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年初预算为4万元，支出决算为4万元，完成年初预算的100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36、农林水（类）农业农村（款）其他农业农村支出（项）。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年初预算为60万元，支出决算为60万元，完成年初预算的10</w:t>
      </w:r>
      <w:r>
        <w:rPr>
          <w:rFonts w:ascii="宋体" w:hAnsi="宋体" w:eastAsia="宋体"/>
          <w:sz w:val="32"/>
          <w:szCs w:val="32"/>
        </w:rPr>
        <w:t>0%</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37、农林水（类）林业和草原（款）森林生态效益补偿（项）。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年初预算为14.67万元，支出决算为14.67万元，完成年初预算的100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38、农林水（类）水利（款）水利工程运行与维护（项）。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年初预算为2万元，支出决算为2万元，完成年初预算的100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39、农林水（类）水利（款）防汛（项）。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年初预算为6万元，支出决算为6万元，完成年初预算的100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40、农林水（类）水利（款）农村水利（项）。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年初预算为87.1万元，支出决算为87.1万元，完成年初预算的10</w:t>
      </w:r>
      <w:r>
        <w:rPr>
          <w:rFonts w:ascii="宋体" w:hAnsi="宋体" w:eastAsia="宋体"/>
          <w:sz w:val="32"/>
          <w:szCs w:val="32"/>
        </w:rPr>
        <w:t>0%</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41、农林水（类）水利（款）其他水利支出（项）。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年初预算为3万元，支出决算为3万元，完成年初预算的100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42、农林水（类）扶贫（款）农村基础设施建设（项）。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年初预算为687.92万元，支出决算为687.92万元，完成年初预算的100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43、农林水（类）扶贫（款）生产发展（项）。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年初预算为804.91万元，支出决算为804.91万元，完成年初预算的100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44、农林水（类）扶贫（款）其他扶贫支出（项）。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年初预算为38.1万元，支出决算为38.1万元，完成年初预算的100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45、农林水（类）农村综合改革（款）对村级一事一议的补助（项）。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年初预算为10万元，支出决算为10万元，完成年初预算的100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46、农林水（类）农村综合改革（款）对村民委员会和村党支部的补助（项）。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年初预算为922.17万元，支出决算为922.17万元，完成年初预算的100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47、农林水（类）农村综合改革（款）对村集体经济组织的补助（项）。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年初预算为100万元，支出决算为100万元，完成年初预算的100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48、农林水支出（类）农村综合改革（款）农村综合改革示范试点补助（项）。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年初预算为21万元，支出决算为21万元，完成年初预算的100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49、交通运输（类）其他交通运输（款）其他交通运输支出（项）。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年初预算为2万元，支出决算为2万元，完成年初预算的100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50、住房保障（类）住房改革（款）住房公积金（项）。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年初预算为35.41万元，支出决算为 35.41万元，完成年初预算的100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51、灾害防治及应急管理（类）应急管理事务（款）其他应急管理支出（项）。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年初预算为4万元，支出决算为4万元，完成年初预算的100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52、灾害防治及应急管理（类）煤矿安全（款）其他煤矿安全支出（项）。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年初预算为9.1万元，支出决算为9.1万元，完成年初预算的100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53、灾害防治及应急管理（类）自然灾害防治（款）地质灾害防治（项）。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年初预算为12万元，支出决算为12万元，完成年初预算的100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54、灾害防治及应急管理（类）自然灾害救灾及恢复重建支出（款）自然灾害灾后重建补助（项）。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年初预算为19万元，支出决算为19万元，完成年初预算的100</w:t>
      </w:r>
      <w:r>
        <w:rPr>
          <w:rFonts w:ascii="宋体" w:hAnsi="宋体" w:eastAsia="宋体"/>
          <w:sz w:val="32"/>
          <w:szCs w:val="32"/>
        </w:rPr>
        <w:t>%</w:t>
      </w:r>
      <w:r>
        <w:rPr>
          <w:rFonts w:hint="eastAsia" w:ascii="宋体" w:hAnsi="宋体" w:eastAsia="宋体"/>
          <w:sz w:val="32"/>
          <w:szCs w:val="32"/>
        </w:rPr>
        <w:t>。</w:t>
      </w:r>
    </w:p>
    <w:p>
      <w:pPr>
        <w:pStyle w:val="12"/>
        <w:ind w:firstLine="800" w:firstLineChars="250"/>
        <w:rPr>
          <w:rFonts w:ascii="宋体" w:hAnsi="宋体" w:eastAsia="宋体"/>
          <w:sz w:val="32"/>
          <w:szCs w:val="32"/>
        </w:rPr>
      </w:pPr>
      <w:r>
        <w:rPr>
          <w:rFonts w:hint="eastAsia" w:ascii="宋体" w:hAnsi="宋体" w:eastAsia="宋体"/>
          <w:sz w:val="32"/>
          <w:szCs w:val="32"/>
        </w:rPr>
        <w:t>55、灾害防治及应急管理（类）自然灾害救灾及恢复重建支出（款）其他自然灾害救灾及恢复重建支出（项）。</w:t>
      </w:r>
    </w:p>
    <w:p>
      <w:pPr>
        <w:pStyle w:val="12"/>
        <w:ind w:firstLine="800" w:firstLineChars="250"/>
        <w:rPr>
          <w:rFonts w:ascii="宋体" w:hAnsi="宋体" w:eastAsia="宋体"/>
          <w:sz w:val="32"/>
          <w:szCs w:val="32"/>
        </w:rPr>
      </w:pPr>
      <w:r>
        <w:rPr>
          <w:rFonts w:hint="eastAsia" w:ascii="宋体" w:hAnsi="宋体" w:eastAsia="宋体"/>
          <w:sz w:val="32"/>
          <w:szCs w:val="32"/>
        </w:rPr>
        <w:t>年初预算为24万元，支出决算为24万元，完成年初预算的100</w:t>
      </w:r>
      <w:r>
        <w:rPr>
          <w:rFonts w:ascii="宋体" w:hAnsi="宋体" w:eastAsia="宋体"/>
          <w:sz w:val="32"/>
          <w:szCs w:val="32"/>
        </w:rPr>
        <w:t>%</w:t>
      </w:r>
      <w:r>
        <w:rPr>
          <w:rFonts w:hint="eastAsia" w:ascii="宋体" w:hAnsi="宋体" w:eastAsia="宋体"/>
          <w:sz w:val="32"/>
          <w:szCs w:val="32"/>
        </w:rPr>
        <w:t>。</w:t>
      </w:r>
    </w:p>
    <w:p>
      <w:pPr>
        <w:pStyle w:val="12"/>
        <w:rPr>
          <w:rFonts w:hAnsi="黑体"/>
          <w:b/>
          <w:sz w:val="32"/>
          <w:szCs w:val="32"/>
        </w:rPr>
      </w:pPr>
      <w:r>
        <w:rPr>
          <w:rFonts w:hint="eastAsia" w:hAnsi="黑体"/>
          <w:b/>
          <w:sz w:val="32"/>
          <w:szCs w:val="32"/>
        </w:rPr>
        <w:t>六、一般公共预算财政拨款基本支出决算情况说明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3478.15万元，其中：人员经费3096.35万元，占基本支出的89%,主要包括基本工资、津贴补贴、奖金、伙食补助费、其他社会保障缴费、住房公积金、其他工资福利支出、对个人和家庭的补助、抚恤金、遗属生活补助、救济费、奖励金、个人农业生产补贴、其他对个人和家庭的补助；公用经费381.8万元，占基本支出的11%，主要包括办公费、印刷费、水电费、邮电费、取暖费、差旅费、维修费、会议费、培训费、公务接待费、专用材料费、劳务费、委托业务费、工会经费、公务用车运行维护费、其他交通费用、办公设备购置、其他资本性支出。</w:t>
      </w:r>
    </w:p>
    <w:p>
      <w:pPr>
        <w:pStyle w:val="12"/>
        <w:rPr>
          <w:rFonts w:hAnsi="黑体"/>
          <w:b/>
          <w:sz w:val="32"/>
          <w:szCs w:val="32"/>
        </w:rPr>
      </w:pPr>
      <w:r>
        <w:rPr>
          <w:rFonts w:hint="eastAsia" w:hAnsi="黑体"/>
          <w:b/>
          <w:sz w:val="32"/>
          <w:szCs w:val="32"/>
        </w:rPr>
        <w:t>七、一般公共预算财政拨款三公经费支出决算情况说明</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“三公”经费财政拨款支出预算为19.72万元，支出决算为1.55万元，完成预算的7.86%，其中：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因公出国（境）费支出预算为0万元，支出决算为0万元，完成预算的0%，与上年相比无变动，主要原因是没有人员因公出国。</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1.4万元，支出决算为0.05万元，完成预算的3.57%，决算数小于预算数的主要原因是我单位严格按照县厉行节约办的指标控制支出，与上年相比减少0.05万元，减少50%,减少的主要原因是我单位响应厉行节约的号召，大力压缩三公经费取得的成效。</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18.32万元，支出决算为1.5万元，完成预算的8.19%，决算数小于预算数的主要原因是我单位严格按照县厉行节约办的指标控制支出，与上年相比减少0.31万元，减少17.13%,减少的主要原因是我单位响应厉行节约的号召，大力压缩三公经费取得的成效。</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2020年度“三公”经费财政拨款支出决算中，公务接待费支出决算0.05万元，占3.23%,因公出国（境）费支出决算0万元，占0%,公务用车购置费及运行维护费支出决算1.5万元，占96.77%。其中：</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1、因公出国（境）费支出决算为0万元，全年安排因公出国（境）团组0个，累计0人次,开支内容包括：无。</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2、公务接待费支出决算为0.05万元，全年共接待来访团组3个、来宾12人次，主要是</w:t>
      </w:r>
      <w:r>
        <w:rPr>
          <w:rFonts w:hint="eastAsia" w:ascii="宋体" w:hAnsi="宋体" w:eastAsia="宋体"/>
          <w:sz w:val="32"/>
          <w:szCs w:val="32"/>
        </w:rPr>
        <w:t>日常公务</w:t>
      </w:r>
      <w:r>
        <w:rPr>
          <w:rFonts w:hint="eastAsia" w:asciiTheme="minorEastAsia" w:hAnsiTheme="minorEastAsia" w:eastAsiaTheme="minorEastAsia"/>
          <w:sz w:val="32"/>
          <w:szCs w:val="32"/>
        </w:rPr>
        <w:t>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3、公务用车购置费及运行维护费支出决算为1.5万元，其中：公务用车购置费0万元，（单位本级或某二级机构）更新公务用车0辆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公务用车运行维护费1.5万元，</w:t>
      </w:r>
      <w:r>
        <w:rPr>
          <w:rFonts w:hint="eastAsia" w:ascii="宋体" w:hAnsi="宋体"/>
          <w:sz w:val="32"/>
          <w:szCs w:val="32"/>
        </w:rPr>
        <w:t>主要是日常加油和维修支出</w:t>
      </w:r>
      <w:r>
        <w:rPr>
          <w:rFonts w:hint="eastAsia" w:asciiTheme="minorEastAsia" w:hAnsiTheme="minorEastAsia"/>
          <w:sz w:val="32"/>
          <w:szCs w:val="32"/>
        </w:rPr>
        <w:t>，截止2020年12月31日，我单位开支财政拨款的公务用车保有量为1辆。</w:t>
      </w:r>
    </w:p>
    <w:p>
      <w:pPr>
        <w:pStyle w:val="12"/>
        <w:rPr>
          <w:rFonts w:hAnsi="黑体"/>
          <w:b/>
          <w:sz w:val="32"/>
          <w:szCs w:val="32"/>
        </w:rPr>
      </w:pPr>
      <w:r>
        <w:rPr>
          <w:rFonts w:hint="eastAsia" w:hAnsi="黑体"/>
          <w:b/>
          <w:sz w:val="32"/>
          <w:szCs w:val="32"/>
        </w:rPr>
        <w:t>八、政府性基金预算收入支出决算情况</w:t>
      </w:r>
    </w:p>
    <w:p>
      <w:pPr>
        <w:pStyle w:val="12"/>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2020年度政府性基金预算财政拨款收入35万元；年初结转和结余0万元；支出35万元，其中基本支出25万元，项目支出10万元；年末结转和结余0万元。</w:t>
      </w:r>
    </w:p>
    <w:p>
      <w:pPr>
        <w:pStyle w:val="12"/>
        <w:rPr>
          <w:rFonts w:hAnsi="黑体"/>
          <w:b/>
          <w:sz w:val="32"/>
          <w:szCs w:val="32"/>
        </w:rPr>
      </w:pPr>
      <w:r>
        <w:rPr>
          <w:rFonts w:hint="eastAsia" w:hAnsi="黑体"/>
          <w:b/>
          <w:sz w:val="32"/>
          <w:szCs w:val="32"/>
        </w:rPr>
        <w:t>九、关于机关运行经费支出说明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本部门2020年度机关运行经费支出381.8万元，比年初预算数增加46.61万元，增加13.91%。主要原因是我单位扶贫工作宣传印刷费、会议费及其他商品和服务等支出增加。</w:t>
      </w:r>
    </w:p>
    <w:p>
      <w:pPr>
        <w:pStyle w:val="12"/>
        <w:rPr>
          <w:rFonts w:hAnsi="黑体"/>
          <w:b/>
          <w:sz w:val="32"/>
          <w:szCs w:val="32"/>
        </w:rPr>
      </w:pPr>
      <w:r>
        <w:rPr>
          <w:rFonts w:hint="eastAsia" w:hAnsi="黑体"/>
          <w:b/>
          <w:sz w:val="32"/>
          <w:szCs w:val="32"/>
        </w:rPr>
        <w:t>十、一般性支出情况</w:t>
      </w:r>
    </w:p>
    <w:p>
      <w:pPr>
        <w:ind w:firstLine="640" w:firstLineChars="200"/>
        <w:rPr>
          <w:rFonts w:asciiTheme="minorEastAsia" w:hAnsiTheme="minorEastAsia"/>
          <w:sz w:val="32"/>
          <w:szCs w:val="32"/>
        </w:rPr>
      </w:pPr>
      <w:r>
        <w:rPr>
          <w:rFonts w:hint="eastAsia" w:asciiTheme="minorEastAsia" w:hAnsiTheme="minorEastAsia"/>
          <w:sz w:val="32"/>
          <w:szCs w:val="32"/>
        </w:rPr>
        <w:t>2020年本部门开支会议费4.54万元，用于召开脱贫攻坚、疫情防控应急管理、日常工作会议，人数4500人，内容为疫情防控应急管理及日常工作安排；开支培训费0.15万元，用于开展就业培训、业务培训，人数150人，内容为</w:t>
      </w:r>
      <w:r>
        <w:rPr>
          <w:rFonts w:hint="eastAsia" w:ascii="宋体" w:hAnsi="宋体" w:cs="黑体"/>
          <w:color w:val="000000"/>
          <w:kern w:val="0"/>
          <w:sz w:val="32"/>
          <w:szCs w:val="32"/>
        </w:rPr>
        <w:t>就业及业务培训</w:t>
      </w:r>
      <w:r>
        <w:rPr>
          <w:rFonts w:hint="eastAsia" w:asciiTheme="minorEastAsia" w:hAnsiTheme="minorEastAsia"/>
          <w:sz w:val="32"/>
          <w:szCs w:val="32"/>
        </w:rPr>
        <w:t>。</w:t>
      </w:r>
      <w:r>
        <w:rPr>
          <w:rFonts w:asciiTheme="minorEastAsia" w:hAnsiTheme="minorEastAsia"/>
          <w:sz w:val="32"/>
          <w:szCs w:val="32"/>
        </w:rPr>
        <w:t xml:space="preserve"> </w:t>
      </w:r>
    </w:p>
    <w:p>
      <w:pPr>
        <w:pStyle w:val="12"/>
        <w:rPr>
          <w:rFonts w:hAnsi="黑体"/>
          <w:b/>
          <w:sz w:val="32"/>
          <w:szCs w:val="32"/>
        </w:rPr>
      </w:pPr>
      <w:r>
        <w:rPr>
          <w:rFonts w:hint="eastAsia" w:hAnsi="黑体"/>
          <w:b/>
          <w:sz w:val="32"/>
          <w:szCs w:val="32"/>
        </w:rPr>
        <w:t>十一、关于政府采购支出说明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本部门2020年度政府采购支出总额0万元，其中：政府采购货物支出0 万元、政府采购工程支出0 万元、政府采购服务支出0万元。授予中小企业合同金额0万元，占政府采购支出总额的0%，其中：授予小微企业合同金额0万元，占政府采购支出总额的0%。</w:t>
      </w:r>
    </w:p>
    <w:p>
      <w:pPr>
        <w:pStyle w:val="12"/>
        <w:rPr>
          <w:rFonts w:hAnsi="黑体"/>
          <w:b/>
          <w:sz w:val="32"/>
          <w:szCs w:val="32"/>
        </w:rPr>
      </w:pPr>
      <w:r>
        <w:rPr>
          <w:rFonts w:hint="eastAsia" w:hAnsi="黑体"/>
          <w:b/>
          <w:sz w:val="32"/>
          <w:szCs w:val="32"/>
        </w:rPr>
        <w:t>十二、关于国有资产占用情况说明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1辆，其中，主要领导干部用车0辆，机要通信用车0辆、应急保障用车0辆、执法执勤用车0辆、特种专业技术用车0辆、其他用车1辆，其他用车主要是开展政府各项工作用车；单位价值50万元以上通用设备0台（套）；单位价值100万元以上专用设备0台（套）。</w:t>
      </w:r>
    </w:p>
    <w:p>
      <w:pPr>
        <w:pStyle w:val="12"/>
        <w:rPr>
          <w:rFonts w:hAnsi="黑体"/>
          <w:b/>
          <w:sz w:val="32"/>
          <w:szCs w:val="32"/>
        </w:rPr>
      </w:pPr>
      <w:r>
        <w:rPr>
          <w:rFonts w:hint="eastAsia" w:hAnsi="黑体"/>
          <w:b/>
          <w:sz w:val="32"/>
          <w:szCs w:val="32"/>
        </w:rPr>
        <w:t>十三、关于2020年度预算绩效情况的说明</w:t>
      </w:r>
    </w:p>
    <w:p>
      <w:pPr>
        <w:pStyle w:val="12"/>
        <w:ind w:firstLine="640" w:firstLineChars="200"/>
        <w:rPr>
          <w:rFonts w:ascii="宋体" w:hAnsi="宋体" w:eastAsia="宋体"/>
          <w:sz w:val="32"/>
          <w:szCs w:val="32"/>
        </w:rPr>
      </w:pPr>
      <w:r>
        <w:rPr>
          <w:rFonts w:hint="eastAsia" w:ascii="宋体" w:hAnsi="宋体" w:eastAsia="宋体"/>
          <w:sz w:val="32"/>
          <w:szCs w:val="32"/>
        </w:rPr>
        <w:t>为做好预算绩效管理工作，我单位重点在以下几个方面上下功夫：一是注重提高认识，转变观念，形成共识；二是注重建立健全预算绩效管理制度体系，夯实工作基础；三是注重绩效管理与业务管理相结合，促进绩效与业务深度融合；四是注重政策、制度评价，促进科学决策、完善制度；五是注重评价结果应用，强化预算绩效约束；六是注重利用信息化手段，提高工作效率；七是注重推动绩效管理信息公开，发挥倒逼效应。</w:t>
      </w:r>
    </w:p>
    <w:p>
      <w:pPr>
        <w:spacing w:line="640" w:lineRule="exact"/>
        <w:ind w:firstLine="640" w:firstLineChars="200"/>
        <w:rPr>
          <w:rFonts w:ascii="宋体"/>
          <w:sz w:val="32"/>
          <w:szCs w:val="32"/>
        </w:rPr>
      </w:pPr>
      <w:r>
        <w:rPr>
          <w:rFonts w:hint="eastAsia" w:ascii="宋体" w:hAnsi="宋体"/>
          <w:sz w:val="32"/>
          <w:szCs w:val="32"/>
        </w:rPr>
        <w:t>本单位的绩效目标是：确保政府正常运转，人员经费及时足额发放；脱贫攻坚引领小城镇建设有序推进，贫困地区群众享受到红利；过细过实，把脱贫攻坚的成效刻在老百姓的心坎上；稳步推进农业生产，稳固发展根基；守牢底线工作，统筹协调推进；完成县委、县政府交办的其他工作。经过努力，已经圆满达到这个目标。</w:t>
      </w:r>
    </w:p>
    <w:p>
      <w:pPr>
        <w:spacing w:line="640" w:lineRule="exact"/>
        <w:ind w:firstLine="640" w:firstLineChars="200"/>
        <w:rPr>
          <w:rFonts w:ascii="宋体" w:cs="黑体"/>
          <w:sz w:val="32"/>
          <w:szCs w:val="32"/>
        </w:rPr>
      </w:pPr>
      <w:r>
        <w:rPr>
          <w:rFonts w:hint="eastAsia" w:ascii="宋体" w:hAnsi="宋体" w:cs="黑体"/>
          <w:sz w:val="32"/>
          <w:szCs w:val="32"/>
        </w:rPr>
        <w:t>本单位《</w:t>
      </w:r>
      <w:r>
        <w:rPr>
          <w:rFonts w:ascii="宋体" w:hAnsi="宋体" w:cs="黑体"/>
          <w:sz w:val="32"/>
          <w:szCs w:val="32"/>
        </w:rPr>
        <w:t>20</w:t>
      </w:r>
      <w:r>
        <w:rPr>
          <w:rFonts w:hint="eastAsia" w:ascii="宋体" w:hAnsi="宋体" w:cs="黑体"/>
          <w:sz w:val="32"/>
          <w:szCs w:val="32"/>
        </w:rPr>
        <w:t>20年度整体支出绩效自评报告》见附件。</w:t>
      </w:r>
    </w:p>
    <w:p>
      <w:pPr>
        <w:pStyle w:val="12"/>
        <w:rPr>
          <w:rFonts w:hAnsi="黑体"/>
          <w:b/>
          <w:sz w:val="32"/>
          <w:szCs w:val="3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both"/>
        <w:rPr>
          <w:sz w:val="72"/>
          <w:szCs w:val="72"/>
        </w:rPr>
      </w:pPr>
    </w:p>
    <w:p>
      <w:pPr>
        <w:pStyle w:val="12"/>
        <w:jc w:val="both"/>
        <w:rPr>
          <w:sz w:val="72"/>
          <w:szCs w:val="72"/>
        </w:rPr>
      </w:pPr>
    </w:p>
    <w:p>
      <w:pPr>
        <w:pStyle w:val="12"/>
        <w:jc w:val="both"/>
        <w:rPr>
          <w:sz w:val="72"/>
          <w:szCs w:val="72"/>
        </w:rPr>
      </w:pPr>
    </w:p>
    <w:p>
      <w:pPr>
        <w:pStyle w:val="12"/>
        <w:jc w:val="both"/>
        <w:rPr>
          <w:sz w:val="72"/>
          <w:szCs w:val="72"/>
        </w:rPr>
      </w:pPr>
    </w:p>
    <w:p>
      <w:pPr>
        <w:pStyle w:val="12"/>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rPr>
          <w:rFonts w:ascii="宋体" w:cs="黑体"/>
          <w:color w:val="000000"/>
          <w:kern w:val="0"/>
          <w:sz w:val="32"/>
          <w:szCs w:val="32"/>
        </w:rPr>
      </w:pPr>
      <w:r>
        <w:rPr>
          <w:rFonts w:hint="eastAsia" w:ascii="宋体" w:hAnsi="宋体" w:cs="黑体"/>
          <w:color w:val="000000"/>
          <w:kern w:val="0"/>
          <w:sz w:val="32"/>
          <w:szCs w:val="32"/>
        </w:rPr>
        <w:t>（一）财政拨款收入：本年度从本级财政部门取得的财政拨款，包括一般公共预算财政拨款和政府性基金预算财政拨款。</w:t>
      </w:r>
    </w:p>
    <w:p>
      <w:pPr>
        <w:ind w:firstLine="640" w:firstLineChars="200"/>
        <w:rPr>
          <w:rFonts w:ascii="宋体" w:cs="黑体"/>
          <w:color w:val="000000"/>
          <w:kern w:val="0"/>
          <w:sz w:val="32"/>
          <w:szCs w:val="32"/>
        </w:rPr>
      </w:pPr>
      <w:r>
        <w:rPr>
          <w:rFonts w:hint="eastAsia" w:ascii="宋体" w:hAnsi="宋体" w:cs="黑体"/>
          <w:color w:val="000000"/>
          <w:kern w:val="0"/>
          <w:sz w:val="32"/>
          <w:szCs w:val="32"/>
        </w:rPr>
        <w:t>（二）其他收入：指除上述“财政拨款收入”、“事业收入”、“经营收入”等以外的收入。</w:t>
      </w:r>
    </w:p>
    <w:p>
      <w:pPr>
        <w:ind w:firstLine="640" w:firstLineChars="200"/>
        <w:rPr>
          <w:rFonts w:ascii="宋体" w:cs="黑体"/>
          <w:color w:val="000000"/>
          <w:kern w:val="0"/>
          <w:sz w:val="32"/>
          <w:szCs w:val="32"/>
        </w:rPr>
      </w:pPr>
      <w:r>
        <w:rPr>
          <w:rFonts w:hint="eastAsia" w:ascii="宋体" w:hAnsi="宋体" w:cs="黑体"/>
          <w:color w:val="000000"/>
          <w:kern w:val="0"/>
          <w:sz w:val="32"/>
          <w:szCs w:val="32"/>
        </w:rPr>
        <w:t>（三）基本支出：填列单位为保障机构正常运转、完成日常工作任务而发生的各项支出。</w:t>
      </w:r>
    </w:p>
    <w:p>
      <w:pPr>
        <w:ind w:firstLine="640" w:firstLineChars="200"/>
        <w:rPr>
          <w:rFonts w:ascii="宋体" w:cs="黑体"/>
          <w:color w:val="000000"/>
          <w:kern w:val="0"/>
          <w:sz w:val="32"/>
          <w:szCs w:val="32"/>
        </w:rPr>
      </w:pPr>
      <w:r>
        <w:rPr>
          <w:rFonts w:hint="eastAsia" w:ascii="宋体" w:hAnsi="宋体" w:cs="黑体"/>
          <w:color w:val="000000"/>
          <w:kern w:val="0"/>
          <w:sz w:val="32"/>
          <w:szCs w:val="32"/>
        </w:rPr>
        <w:t>（四）“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ind w:firstLine="640" w:firstLineChars="200"/>
        <w:rPr>
          <w:rFonts w:ascii="宋体" w:cs="黑体"/>
          <w:color w:val="000000"/>
          <w:kern w:val="0"/>
          <w:sz w:val="32"/>
          <w:szCs w:val="32"/>
        </w:rPr>
      </w:pPr>
      <w:r>
        <w:rPr>
          <w:rFonts w:ascii="宋体" w:cs="黑体"/>
          <w:color w:val="000000"/>
          <w:kern w:val="0"/>
          <w:sz w:val="32"/>
          <w:szCs w:val="32"/>
        </w:rPr>
        <w:t> </w:t>
      </w:r>
      <w:r>
        <w:rPr>
          <w:rFonts w:hint="eastAsia" w:ascii="宋体" w:hAnsi="宋体" w:cs="黑体"/>
          <w:color w:val="000000"/>
          <w:kern w:val="0"/>
          <w:sz w:val="32"/>
          <w:szCs w:val="32"/>
        </w:rPr>
        <w:t>（五）其他交通费用：填列单位除公务用车运行维护费以外的其他交通费用。如飞机、船舶等的燃料费、维修费、过桥过路费、保险费、出租车费用、公务交通补贴等。</w:t>
      </w:r>
    </w:p>
    <w:p>
      <w:pPr>
        <w:ind w:firstLine="640" w:firstLineChars="200"/>
        <w:rPr>
          <w:rFonts w:ascii="宋体" w:hAnsi="宋体" w:cs="黑体"/>
          <w:color w:val="000000"/>
          <w:kern w:val="0"/>
          <w:sz w:val="32"/>
          <w:szCs w:val="32"/>
        </w:rPr>
      </w:pPr>
      <w:r>
        <w:rPr>
          <w:rFonts w:hint="eastAsia" w:ascii="宋体" w:hAnsi="宋体" w:cs="黑体"/>
          <w:color w:val="000000"/>
          <w:kern w:val="0"/>
          <w:sz w:val="32"/>
          <w:szCs w:val="32"/>
        </w:rPr>
        <w:t>（六）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jc w:val="center"/>
        <w:rPr>
          <w:rFonts w:ascii="宋体" w:hAnsi="宋体"/>
          <w:b/>
          <w:sz w:val="44"/>
          <w:szCs w:val="44"/>
        </w:rPr>
      </w:pPr>
      <w:r>
        <w:rPr>
          <w:rFonts w:hint="eastAsia" w:ascii="宋体" w:hAnsi="宋体"/>
          <w:b/>
          <w:sz w:val="44"/>
          <w:szCs w:val="44"/>
        </w:rPr>
        <w:t>卢峰镇人民政府2020年部门整体支出绩效自评报告</w:t>
      </w:r>
    </w:p>
    <w:p>
      <w:pPr>
        <w:rPr>
          <w:rFonts w:ascii="仿宋" w:hAnsi="仿宋" w:eastAsia="仿宋"/>
          <w:sz w:val="32"/>
          <w:szCs w:val="32"/>
        </w:rPr>
      </w:pPr>
    </w:p>
    <w:p>
      <w:pPr>
        <w:ind w:firstLine="627" w:firstLineChars="196"/>
        <w:rPr>
          <w:rFonts w:ascii="宋体" w:hAnsi="宋体"/>
          <w:b/>
          <w:sz w:val="32"/>
          <w:szCs w:val="32"/>
        </w:rPr>
      </w:pPr>
      <w:r>
        <w:rPr>
          <w:rFonts w:hint="eastAsia" w:ascii="宋体" w:hAnsi="宋体"/>
          <w:b/>
          <w:sz w:val="32"/>
          <w:szCs w:val="32"/>
        </w:rPr>
        <w:t>一、部门概况</w:t>
      </w:r>
    </w:p>
    <w:p>
      <w:pPr>
        <w:ind w:firstLine="476" w:firstLineChars="149"/>
        <w:rPr>
          <w:rFonts w:ascii="仿宋" w:hAnsi="仿宋" w:eastAsia="仿宋"/>
          <w:b/>
          <w:sz w:val="32"/>
          <w:szCs w:val="32"/>
        </w:rPr>
      </w:pPr>
      <w:r>
        <w:rPr>
          <w:rFonts w:hint="eastAsia" w:ascii="仿宋" w:hAnsi="仿宋" w:eastAsia="仿宋"/>
          <w:b/>
          <w:sz w:val="32"/>
          <w:szCs w:val="32"/>
        </w:rPr>
        <w:t>（一）部门基本情况</w:t>
      </w:r>
    </w:p>
    <w:p>
      <w:pPr>
        <w:ind w:firstLine="640" w:firstLineChars="200"/>
        <w:rPr>
          <w:rFonts w:ascii="仿宋" w:hAnsi="仿宋" w:eastAsia="仿宋" w:cs="宋体"/>
          <w:kern w:val="0"/>
          <w:sz w:val="32"/>
          <w:szCs w:val="32"/>
        </w:rPr>
      </w:pPr>
      <w:r>
        <w:rPr>
          <w:rFonts w:hint="eastAsia" w:ascii="仿宋" w:hAnsi="仿宋" w:eastAsia="仿宋"/>
          <w:sz w:val="32"/>
          <w:szCs w:val="32"/>
        </w:rPr>
        <w:t>卢峰镇人民政府隶属溆浦县人民政府，行政单位，全额拨款单位。编制数123人，年末在职人员157人。主要职能是</w:t>
      </w:r>
      <w:r>
        <w:rPr>
          <w:rFonts w:ascii="仿宋" w:hAnsi="仿宋" w:eastAsia="仿宋" w:cs="宋体"/>
          <w:kern w:val="0"/>
          <w:sz w:val="28"/>
          <w:szCs w:val="28"/>
        </w:rPr>
        <w:t>(1)</w:t>
      </w:r>
      <w:r>
        <w:rPr>
          <w:rFonts w:ascii="仿宋" w:hAnsi="仿宋" w:eastAsia="仿宋" w:cs="宋体"/>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pPr>
        <w:ind w:firstLine="476" w:firstLineChars="149"/>
        <w:rPr>
          <w:rFonts w:ascii="仿宋" w:hAnsi="仿宋" w:eastAsia="仿宋"/>
          <w:b/>
          <w:sz w:val="32"/>
          <w:szCs w:val="32"/>
        </w:rPr>
      </w:pPr>
      <w:r>
        <w:rPr>
          <w:rFonts w:hint="eastAsia" w:ascii="仿宋" w:hAnsi="仿宋" w:eastAsia="仿宋"/>
          <w:b/>
          <w:sz w:val="32"/>
          <w:szCs w:val="32"/>
        </w:rPr>
        <w:t>（二）收支情况</w:t>
      </w:r>
    </w:p>
    <w:p>
      <w:pPr>
        <w:ind w:firstLine="640" w:firstLineChars="200"/>
        <w:rPr>
          <w:rFonts w:ascii="仿宋" w:hAnsi="仿宋" w:eastAsia="仿宋"/>
          <w:sz w:val="32"/>
          <w:szCs w:val="32"/>
        </w:rPr>
      </w:pPr>
      <w:r>
        <w:rPr>
          <w:rFonts w:hint="eastAsia" w:ascii="仿宋" w:hAnsi="仿宋" w:eastAsia="仿宋"/>
          <w:sz w:val="32"/>
          <w:szCs w:val="32"/>
        </w:rPr>
        <w:t>2020年本年收入</w:t>
      </w:r>
      <w:r>
        <w:rPr>
          <w:rFonts w:hint="eastAsia"/>
          <w:sz w:val="32"/>
          <w:szCs w:val="32"/>
        </w:rPr>
        <w:t xml:space="preserve"> 5631.2 </w:t>
      </w:r>
      <w:r>
        <w:rPr>
          <w:rFonts w:hint="eastAsia" w:ascii="仿宋" w:hAnsi="仿宋" w:eastAsia="仿宋"/>
          <w:sz w:val="32"/>
          <w:szCs w:val="32"/>
        </w:rPr>
        <w:t>万元，本年支出</w:t>
      </w:r>
      <w:r>
        <w:rPr>
          <w:rFonts w:hint="eastAsia"/>
          <w:sz w:val="32"/>
          <w:szCs w:val="32"/>
        </w:rPr>
        <w:t xml:space="preserve"> 5631.2  </w:t>
      </w:r>
      <w:r>
        <w:rPr>
          <w:rFonts w:hint="eastAsia" w:ascii="仿宋" w:hAnsi="仿宋" w:eastAsia="仿宋"/>
          <w:sz w:val="32"/>
          <w:szCs w:val="32"/>
        </w:rPr>
        <w:t>万元，收支基本平衡。</w:t>
      </w:r>
    </w:p>
    <w:p>
      <w:pPr>
        <w:ind w:firstLine="640" w:firstLineChars="200"/>
        <w:rPr>
          <w:rFonts w:ascii="仿宋" w:hAnsi="仿宋" w:eastAsia="仿宋"/>
          <w:b/>
          <w:sz w:val="32"/>
          <w:szCs w:val="32"/>
        </w:rPr>
      </w:pPr>
      <w:r>
        <w:rPr>
          <w:rFonts w:hint="eastAsia" w:ascii="仿宋" w:hAnsi="仿宋" w:eastAsia="仿宋"/>
          <w:b/>
          <w:sz w:val="32"/>
          <w:szCs w:val="32"/>
        </w:rPr>
        <w:t>二、资金使用及管理情况</w:t>
      </w:r>
    </w:p>
    <w:p>
      <w:pPr>
        <w:ind w:firstLine="640" w:firstLineChars="200"/>
        <w:rPr>
          <w:rFonts w:ascii="仿宋" w:hAnsi="仿宋" w:eastAsia="仿宋"/>
          <w:b/>
          <w:sz w:val="32"/>
          <w:szCs w:val="32"/>
        </w:rPr>
      </w:pPr>
      <w:r>
        <w:rPr>
          <w:rFonts w:hint="eastAsia" w:ascii="仿宋" w:hAnsi="仿宋" w:eastAsia="仿宋"/>
          <w:b/>
          <w:sz w:val="32"/>
          <w:szCs w:val="32"/>
        </w:rPr>
        <w:t>（一）基本支出</w:t>
      </w:r>
    </w:p>
    <w:p>
      <w:pPr>
        <w:ind w:firstLine="640" w:firstLineChars="200"/>
        <w:rPr>
          <w:sz w:val="32"/>
          <w:szCs w:val="32"/>
        </w:rPr>
      </w:pPr>
      <w:r>
        <w:rPr>
          <w:rFonts w:hint="eastAsia"/>
          <w:sz w:val="32"/>
          <w:szCs w:val="32"/>
        </w:rPr>
        <w:t>支出决算情况：全年总支出5631.2 万元，支出按功能分类情况如下：一般公共服务支出2033.47万元、文化体育与传媒支出0.8万元、社会保障和就业支出126.15万元、医疗卫生与计划生育支出319.81万元、节能环保支出89.62万元、城乡社区支出130.6万元、农林水支出2769.88万元、交通运输支出2万元、其他支出25万元。支出按经济分类情况如下：（1）基本支出3503.15万元、其中人员经费3098.35万元（工资福利支出1852.03万元、对个人的家庭的补助1245.32万元）、日常公用经费362.24万元、其他支出43.57万元（2）项目支出2128.04万元，其中基本建设类项目2128.04万元。</w:t>
      </w:r>
    </w:p>
    <w:p>
      <w:pPr>
        <w:ind w:firstLine="640" w:firstLineChars="200"/>
        <w:rPr>
          <w:rFonts w:ascii="仿宋" w:hAnsi="仿宋" w:eastAsia="仿宋"/>
          <w:b/>
          <w:color w:val="333333"/>
          <w:sz w:val="32"/>
          <w:szCs w:val="32"/>
        </w:rPr>
      </w:pPr>
      <w:r>
        <w:rPr>
          <w:rFonts w:hint="eastAsia" w:ascii="仿宋" w:hAnsi="仿宋" w:eastAsia="仿宋"/>
          <w:b/>
          <w:color w:val="333333"/>
          <w:sz w:val="32"/>
          <w:szCs w:val="32"/>
        </w:rPr>
        <w:t>（二）三公经费</w:t>
      </w:r>
    </w:p>
    <w:p>
      <w:pPr>
        <w:ind w:firstLine="787" w:firstLineChars="246"/>
        <w:rPr>
          <w:rFonts w:ascii="仿宋" w:hAnsi="仿宋" w:eastAsia="仿宋"/>
          <w:color w:val="333333"/>
          <w:sz w:val="32"/>
          <w:szCs w:val="32"/>
        </w:rPr>
      </w:pPr>
      <w:r>
        <w:rPr>
          <w:rFonts w:hint="eastAsia" w:ascii="仿宋" w:hAnsi="仿宋" w:eastAsia="仿宋"/>
          <w:color w:val="333333"/>
          <w:sz w:val="32"/>
          <w:szCs w:val="32"/>
        </w:rPr>
        <w:t>2020年“三公”支出1.55万元，其中公务接待费0.05万元、公车运行费1.5万元。</w:t>
      </w:r>
    </w:p>
    <w:p>
      <w:pPr>
        <w:ind w:firstLine="787" w:firstLineChars="246"/>
        <w:rPr>
          <w:rFonts w:ascii="仿宋" w:hAnsi="仿宋" w:eastAsia="仿宋"/>
          <w:b/>
          <w:color w:val="333333"/>
          <w:sz w:val="32"/>
          <w:szCs w:val="32"/>
        </w:rPr>
      </w:pPr>
      <w:r>
        <w:rPr>
          <w:rFonts w:hint="eastAsia" w:ascii="仿宋" w:hAnsi="仿宋" w:eastAsia="仿宋"/>
          <w:b/>
          <w:color w:val="333333"/>
          <w:sz w:val="32"/>
          <w:szCs w:val="32"/>
        </w:rPr>
        <w:t>（三）资金管理情况</w:t>
      </w:r>
    </w:p>
    <w:p>
      <w:pPr>
        <w:ind w:firstLine="787" w:firstLineChars="246"/>
        <w:rPr>
          <w:rFonts w:ascii="仿宋" w:hAnsi="仿宋" w:eastAsia="仿宋"/>
          <w:color w:val="333333"/>
          <w:sz w:val="32"/>
          <w:szCs w:val="32"/>
        </w:rPr>
      </w:pPr>
      <w:r>
        <w:rPr>
          <w:rFonts w:hint="eastAsia" w:ascii="仿宋" w:hAnsi="仿宋" w:eastAsia="仿宋"/>
          <w:color w:val="333333"/>
          <w:sz w:val="32"/>
          <w:szCs w:val="32"/>
        </w:rPr>
        <w:t>在日常开支中我镇坚决执行厉行节约原则，所有支出实行镇长审核、分管财贸领导审批后进行报账，有效控制了我镇其他非刚性支出，实现了收支基本平衡，严禁举债消费，举债搞项目建设，采取多种途径筹措资金消化债务，全年未发生新增债务情况。在项目资金管理方面，我镇坚决落实《乡村项目资金管理制度》，建立项目库，严把项目立项关、质量验收关、工程结算关、资金拨付关。在项目建设的每一个环节把住关卡，确保财政项目资金落到实处，充分发挥绩效。</w:t>
      </w:r>
    </w:p>
    <w:p>
      <w:pPr>
        <w:ind w:firstLine="640" w:firstLineChars="200"/>
        <w:rPr>
          <w:rFonts w:ascii="宋体" w:hAnsi="宋体"/>
          <w:b/>
          <w:sz w:val="32"/>
          <w:szCs w:val="32"/>
        </w:rPr>
      </w:pPr>
      <w:r>
        <w:rPr>
          <w:rFonts w:hint="eastAsia" w:ascii="宋体" w:hAnsi="宋体"/>
          <w:b/>
          <w:sz w:val="32"/>
          <w:szCs w:val="32"/>
        </w:rPr>
        <w:t>三、整体支出绩效情况</w:t>
      </w:r>
    </w:p>
    <w:p>
      <w:pPr>
        <w:ind w:firstLine="640"/>
        <w:rPr>
          <w:rFonts w:ascii="仿宋" w:hAnsi="仿宋" w:eastAsia="仿宋" w:cs="仿宋"/>
          <w:color w:val="000000"/>
          <w:sz w:val="32"/>
          <w:szCs w:val="32"/>
        </w:rPr>
      </w:pPr>
      <w:r>
        <w:rPr>
          <w:rFonts w:hint="eastAsia" w:ascii="仿宋" w:hAnsi="仿宋" w:eastAsia="仿宋" w:cs="仿宋"/>
          <w:color w:val="000000"/>
          <w:sz w:val="32"/>
          <w:szCs w:val="32"/>
        </w:rPr>
        <w:t>2020年来，我镇各项工作取得了一些成效。具体如下：</w:t>
      </w:r>
    </w:p>
    <w:p>
      <w:pPr>
        <w:spacing w:line="620" w:lineRule="exact"/>
        <w:ind w:firstLine="640" w:firstLineChars="200"/>
        <w:rPr>
          <w:rFonts w:ascii="楷体" w:hAnsi="楷体" w:eastAsia="楷体" w:cs="楷体"/>
          <w:b/>
          <w:kern w:val="0"/>
          <w:sz w:val="32"/>
          <w:szCs w:val="32"/>
          <w:shd w:val="clear" w:color="auto" w:fill="FFFFFF"/>
        </w:rPr>
      </w:pPr>
      <w:r>
        <w:rPr>
          <w:rFonts w:hint="eastAsia" w:ascii="楷体" w:hAnsi="楷体" w:eastAsia="楷体" w:cs="楷体"/>
          <w:b/>
          <w:kern w:val="0"/>
          <w:sz w:val="32"/>
          <w:szCs w:val="32"/>
          <w:shd w:val="clear" w:color="auto" w:fill="FFFFFF"/>
        </w:rPr>
        <w:t>（一）</w:t>
      </w:r>
      <w:r>
        <w:rPr>
          <w:rFonts w:hint="eastAsia" w:ascii="楷体" w:hAnsi="楷体" w:eastAsia="楷体" w:cs="楷体"/>
          <w:b/>
          <w:bCs/>
          <w:sz w:val="32"/>
          <w:szCs w:val="32"/>
        </w:rPr>
        <w:t>意识形态工作责任制全面落实</w:t>
      </w:r>
    </w:p>
    <w:p>
      <w:pPr>
        <w:spacing w:line="600" w:lineRule="exact"/>
        <w:ind w:firstLine="640" w:firstLineChars="200"/>
        <w:rPr>
          <w:rFonts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年来</w:t>
      </w:r>
      <w:r>
        <w:rPr>
          <w:rFonts w:hint="eastAsia" w:ascii="仿宋" w:hAnsi="仿宋" w:eastAsia="仿宋" w:cs="Times New Roman"/>
          <w:sz w:val="32"/>
          <w:szCs w:val="32"/>
        </w:rPr>
        <w:t>，</w:t>
      </w:r>
      <w:r>
        <w:rPr>
          <w:rFonts w:hint="eastAsia" w:ascii="仿宋" w:hAnsi="仿宋" w:eastAsia="仿宋"/>
          <w:sz w:val="32"/>
          <w:szCs w:val="32"/>
        </w:rPr>
        <w:t>我镇</w:t>
      </w:r>
      <w:r>
        <w:rPr>
          <w:rFonts w:hint="eastAsia" w:ascii="仿宋" w:hAnsi="仿宋" w:eastAsia="仿宋" w:cs="仿宋"/>
          <w:sz w:val="32"/>
          <w:szCs w:val="32"/>
        </w:rPr>
        <w:t>旗帜鲜明讲政治，牢固树立“四个意识”，坚定“四个自信”，凝聚起促进经济社会发展的强大政治动力。认真开展镇党委理论中心组集中学习，深入学习贯彻习近平新时代中国特色社会主义思想和党的十九届三、四中全会精神，共开展了集体学习4次，专题研究部署意识形态工作3次，提高了全体党政领导的政治规矩意识。牢牢坚守舆论宣传主阵地，积极在“新湖南”、“掌上怀化”、“溆浦红网”和“巍巍卢峰”等各级媒体上发声，共发布各类新闻稿件共计120余篇。第一时间回应网络舆情，回复网友发布的舆论文章52篇，回复率为100%。以活动为载体，丰富文化生活，广泛开展庆祝中国共产党成立99周年暨“寻初心、守初心、践初心”系列活动；在雷峰山安置点开展了“共建乡风文明，助力乡村振兴”文艺活动，丰富了安置点居民文化生活；开展了“爱国卫生”主题清爽行动近150多次，巩固了“三创”成果。</w:t>
      </w:r>
    </w:p>
    <w:p>
      <w:pPr>
        <w:spacing w:line="620" w:lineRule="exact"/>
        <w:ind w:firstLine="640" w:firstLineChars="200"/>
        <w:rPr>
          <w:rFonts w:ascii="楷体" w:hAnsi="楷体" w:eastAsia="楷体" w:cs="楷体"/>
          <w:b/>
          <w:sz w:val="32"/>
          <w:szCs w:val="32"/>
          <w:shd w:val="clear" w:color="auto" w:fill="FFFFFF"/>
        </w:rPr>
      </w:pPr>
      <w:r>
        <w:rPr>
          <w:rFonts w:hint="eastAsia" w:ascii="楷体" w:hAnsi="楷体" w:eastAsia="楷体" w:cs="楷体"/>
          <w:b/>
          <w:sz w:val="32"/>
          <w:szCs w:val="32"/>
          <w:shd w:val="clear" w:color="auto" w:fill="FFFFFF"/>
        </w:rPr>
        <w:t>（二）</w:t>
      </w:r>
      <w:r>
        <w:rPr>
          <w:rFonts w:hint="eastAsia" w:ascii="楷体" w:hAnsi="楷体" w:eastAsia="楷体" w:cs="楷体"/>
          <w:b/>
          <w:bCs/>
          <w:sz w:val="32"/>
          <w:szCs w:val="32"/>
        </w:rPr>
        <w:t>党的领导和作风建设进一步加强</w:t>
      </w:r>
    </w:p>
    <w:p>
      <w:pPr>
        <w:spacing w:line="600" w:lineRule="exact"/>
        <w:ind w:firstLine="640" w:firstLineChars="200"/>
      </w:pPr>
      <w:r>
        <w:rPr>
          <w:rFonts w:hint="eastAsia" w:ascii="仿宋" w:hAnsi="仿宋" w:eastAsia="仿宋" w:cs="楷体"/>
          <w:bCs/>
          <w:sz w:val="32"/>
          <w:szCs w:val="32"/>
        </w:rPr>
        <w:t>一年来，我镇紧盯党建工作责任，真管严治、真抓实干，</w:t>
      </w:r>
      <w:r>
        <w:rPr>
          <w:rFonts w:hint="eastAsia" w:ascii="仿宋" w:hAnsi="仿宋" w:eastAsia="仿宋" w:cs="仿宋"/>
          <w:bCs/>
          <w:sz w:val="32"/>
          <w:szCs w:val="32"/>
        </w:rPr>
        <w:t>按照“书记抓，抓书记”、一级抓一级、层层抓落实的工作要求，全面加强基层党组织建设</w:t>
      </w:r>
      <w:r>
        <w:rPr>
          <w:rFonts w:hint="eastAsia" w:ascii="仿宋" w:hAnsi="仿宋" w:eastAsia="仿宋" w:cs="仿宋"/>
          <w:b/>
          <w:sz w:val="32"/>
          <w:szCs w:val="32"/>
        </w:rPr>
        <w:t>。</w:t>
      </w:r>
      <w:r>
        <w:rPr>
          <w:rFonts w:hint="eastAsia" w:ascii="仿宋" w:hAnsi="仿宋" w:eastAsia="仿宋" w:cs="仿宋"/>
          <w:sz w:val="32"/>
          <w:szCs w:val="32"/>
        </w:rPr>
        <w:t>全面完成了党组织标准化设置和“一肩挑”工作。41个村居全部实现了“一肩挑”，完成率100%；40岁以下党组织书记7人，占17%；大专及以上文化程度共27人，占15.34%；共有25个村居配备了至少1名35岁以下年轻干部，占60.97%。持续推进党支部“五化”建设，加强村级干部队伍建设。实行“一图一表一清单”工作制度；对全镇224名现任村（社区）两委干部进行全覆盖审查，对发现涉黑涉恶等违法行为的一律移交纪委处理。严把党员发展关，夯实党员发展工作基础。2020年，全镇培训入党积极分子32人，发展预备党员34人，依照程序按期转正党员24人；对麻阳水村一名预备党员取消其预备资格。精心分析研判，严把时间节点，严肃换届纪律，依法依规推进村（社区）“两委”换届工作，选优配强班子。</w:t>
      </w:r>
    </w:p>
    <w:p>
      <w:pPr>
        <w:spacing w:line="62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（三）加强和推进常规工作重心不移</w:t>
      </w:r>
    </w:p>
    <w:p>
      <w:pPr>
        <w:spacing w:line="610" w:lineRule="exact"/>
        <w:ind w:firstLine="640" w:firstLineChars="200"/>
      </w:pPr>
      <w:r>
        <w:rPr>
          <w:rFonts w:hint="eastAsia" w:ascii="仿宋" w:hAnsi="仿宋" w:eastAsia="仿宋" w:cs="仿宋"/>
          <w:b/>
          <w:bCs/>
          <w:sz w:val="32"/>
          <w:szCs w:val="32"/>
        </w:rPr>
        <w:t>一年来，我镇众志成城，奋战在疫情防控第一线，慎终如始做好疫情防控工作。</w:t>
      </w:r>
      <w:r>
        <w:rPr>
          <w:rFonts w:hint="eastAsia" w:ascii="仿宋" w:hAnsi="仿宋" w:eastAsia="仿宋" w:cs="Times New Roman"/>
          <w:sz w:val="32"/>
          <w:szCs w:val="32"/>
        </w:rPr>
        <w:t>针对县城城区管控难度大的实际情况，</w:t>
      </w:r>
      <w:r>
        <w:rPr>
          <w:rFonts w:ascii="仿宋" w:hAnsi="仿宋" w:eastAsia="仿宋" w:cs="Times New Roman"/>
          <w:sz w:val="32"/>
          <w:szCs w:val="32"/>
        </w:rPr>
        <w:t>通过整合下沉到各小区的干部力量，在城区住宅小区成立了70个临时党支部</w:t>
      </w:r>
      <w:r>
        <w:rPr>
          <w:rFonts w:hint="eastAsia" w:ascii="仿宋" w:hAnsi="仿宋" w:eastAsia="仿宋" w:cs="Times New Roman"/>
          <w:sz w:val="32"/>
          <w:szCs w:val="32"/>
        </w:rPr>
        <w:t>，制定</w:t>
      </w:r>
      <w:r>
        <w:rPr>
          <w:rFonts w:ascii="仿宋" w:hAnsi="仿宋" w:eastAsia="仿宋" w:cs="Times New Roman"/>
          <w:sz w:val="32"/>
          <w:szCs w:val="32"/>
        </w:rPr>
        <w:t>出台</w:t>
      </w:r>
      <w:r>
        <w:rPr>
          <w:rFonts w:hint="eastAsia" w:ascii="仿宋" w:hAnsi="仿宋" w:eastAsia="仿宋" w:cs="Times New Roman"/>
          <w:sz w:val="32"/>
          <w:szCs w:val="32"/>
        </w:rPr>
        <w:t>《关于加强城区住宅小区新型冠状病毒感染的肺炎疫情防控工作方案》《关于全面加强城区住宅小区疫情防控工作的通告》，对城区住宅小区全面实行封闭式</w:t>
      </w:r>
      <w:r>
        <w:rPr>
          <w:rFonts w:ascii="仿宋" w:hAnsi="仿宋" w:eastAsia="仿宋" w:cs="Times New Roman"/>
          <w:sz w:val="32"/>
          <w:szCs w:val="32"/>
        </w:rPr>
        <w:t>管理</w:t>
      </w:r>
      <w:r>
        <w:rPr>
          <w:rFonts w:hint="eastAsia" w:ascii="仿宋" w:hAnsi="仿宋" w:eastAsia="仿宋" w:cs="Times New Roman"/>
          <w:sz w:val="32"/>
          <w:szCs w:val="32"/>
        </w:rPr>
        <w:t>，有效管控了人流车流，为人民群众在家门口筑起了一道道生命安全和身体健康的防线，</w:t>
      </w:r>
      <w:r>
        <w:rPr>
          <w:rFonts w:hint="eastAsia" w:ascii="仿宋" w:hAnsi="仿宋" w:eastAsia="仿宋" w:cs="Times New Roman"/>
          <w:b/>
          <w:bCs/>
          <w:sz w:val="32"/>
          <w:szCs w:val="32"/>
        </w:rPr>
        <w:t>这一积极探索得到了省、市的充分肯定。</w:t>
      </w:r>
      <w:r>
        <w:rPr>
          <w:rFonts w:ascii="仿宋" w:hAnsi="仿宋" w:eastAsia="仿宋" w:cs="Times New Roman"/>
          <w:b/>
          <w:bCs/>
          <w:sz w:val="32"/>
          <w:szCs w:val="32"/>
        </w:rPr>
        <w:t>城区没有发生一例确诊病例。</w:t>
      </w:r>
      <w:r>
        <w:rPr>
          <w:rFonts w:hint="eastAsia" w:ascii="仿宋" w:hAnsi="仿宋" w:eastAsia="仿宋" w:cs="Times New Roman"/>
          <w:b/>
          <w:bCs/>
          <w:sz w:val="32"/>
          <w:szCs w:val="32"/>
        </w:rPr>
        <w:t>社区防疫工作</w:t>
      </w:r>
      <w:r>
        <w:rPr>
          <w:rFonts w:ascii="仿宋" w:hAnsi="仿宋" w:eastAsia="仿宋" w:cs="Times New Roman"/>
          <w:b/>
          <w:bCs/>
          <w:sz w:val="32"/>
          <w:szCs w:val="32"/>
        </w:rPr>
        <w:t>经验</w:t>
      </w:r>
      <w:r>
        <w:rPr>
          <w:rFonts w:hint="eastAsia" w:ascii="仿宋" w:hAnsi="仿宋" w:eastAsia="仿宋" w:cs="Times New Roman"/>
          <w:b/>
          <w:bCs/>
          <w:sz w:val="32"/>
          <w:szCs w:val="32"/>
        </w:rPr>
        <w:t>被新华网、中新社、湖南日报新湖南、湖南红网时刻等上级主流媒体报道。</w:t>
      </w:r>
      <w:r>
        <w:rPr>
          <w:rFonts w:hint="eastAsia" w:ascii="仿宋" w:hAnsi="仿宋" w:eastAsia="仿宋" w:cs="Times New Roman"/>
          <w:sz w:val="32"/>
          <w:szCs w:val="32"/>
        </w:rPr>
        <w:t>积极与县商务局沟通，对接超市配送、志愿者服务上门，保障城区住宅小区和社区疫情防控期间群众生活物资供应；在疫情防控形势严峻时期，全力调度、想方设法保障口罩、测温仪等防控物资供应，让全镇一线工作人员积极投身到打好打赢疫情防控这场硬仗中来。扎实推进“中药飘香 百姓安康”主题活动，充分调动本土资源，争取医院赞助，为居民免费发放中药汤剂，同时在41个村（居）设置防治新冠肺炎汤药免费直饮点，供群众取用，提高群众免疫力，切实为群众生命安全和身体健康保驾护航。落实疫情防控措施的同时，关心支持辖区企业生产经营，为符合复工复产条件的企业和重点项目建设提供有力服务，着力协调化解各种矛盾问题，帮助企业解决用工难题，营造安全有序的发展环境；</w:t>
      </w:r>
      <w:r>
        <w:rPr>
          <w:rFonts w:hint="eastAsia" w:ascii="仿宋" w:hAnsi="仿宋" w:eastAsia="仿宋" w:cs="仿宋"/>
          <w:sz w:val="32"/>
          <w:szCs w:val="32"/>
        </w:rPr>
        <w:t>认真落实县疫情防控期间贫困劳动力稳就业保增收“十条服务措施”，持续推进“四级干部集村部、干群齐心防疫情”行动和网格化管理服务，</w:t>
      </w:r>
      <w:r>
        <w:rPr>
          <w:rFonts w:hint="eastAsia" w:ascii="仿宋" w:hAnsi="仿宋" w:eastAsia="仿宋" w:cs="Times New Roman"/>
          <w:sz w:val="32"/>
          <w:szCs w:val="32"/>
        </w:rPr>
        <w:t>全力推动复耕，为群众就近就业、稳定增收提供保障。</w:t>
      </w:r>
    </w:p>
    <w:p>
      <w:pPr>
        <w:spacing w:line="600" w:lineRule="exact"/>
        <w:ind w:firstLine="640" w:firstLineChars="200"/>
        <w:rPr>
          <w:rFonts w:ascii="仿宋" w:hAnsi="仿宋" w:eastAsia="仿宋" w:cs="仿宋"/>
          <w:sz w:val="32"/>
          <w:szCs w:val="32"/>
        </w:rPr>
      </w:pPr>
      <w:r>
        <w:rPr>
          <w:rFonts w:hint="eastAsia" w:ascii="仿宋" w:hAnsi="仿宋" w:eastAsia="仿宋" w:cs="仿宋"/>
          <w:bCs/>
          <w:sz w:val="32"/>
          <w:szCs w:val="32"/>
        </w:rPr>
        <w:t>一年来，我镇坚持精细精准，攻坚克难，主动担当脱贫攻坚的政治责任，坚决打赢脱贫攻坚战。</w:t>
      </w:r>
      <w:r>
        <w:rPr>
          <w:rFonts w:hint="eastAsia" w:ascii="仿宋" w:hAnsi="仿宋" w:eastAsia="仿宋" w:cs="仿宋"/>
          <w:sz w:val="32"/>
          <w:szCs w:val="32"/>
        </w:rPr>
        <w:t>聚焦“两不愁三保障”，扎实开展“‘四支队伍’集村部、干群同心攻脱贫”行动和“所有干部联农户、所有农户见干部”作风建设活动，在全镇33个村、社区设立了142个网格，明确网格工作人员477名，做到每周到网格工作2天以上。在村居联合党支部的指导下，每周三定期集中办公解决问题，做到统筹全镇力量，尽锐出战抓脱贫攻坚。2020年，全镇剩余的293户559人贫困人口，将实现全面脱贫。全镇2834户9683人的贫困户医保费用均由政府财政缴纳；648户贫困户享受了危房改造政策，安全住房得到了保障；216户847人享受了易地扶贫搬迁政策，并实现了有劳动力的搬迁户家庭，至少有一人稳定就业；落实了所有搬迁户产业帮扶全覆盖，并对全面摸底排查的119名学生，全部安排就近入学；为2159名在外务工贫困户申请一次性交通补助80余万元。</w:t>
      </w:r>
      <w:r>
        <w:rPr>
          <w:rFonts w:hint="eastAsia" w:ascii="仿宋" w:hAnsi="仿宋" w:eastAsia="仿宋" w:cs="仿宋"/>
          <w:bCs/>
          <w:color w:val="000000"/>
          <w:sz w:val="32"/>
          <w:szCs w:val="32"/>
        </w:rPr>
        <w:t>探索出了易地扶贫搬迁集中安置区后续管理服务新模式。我们率</w:t>
      </w:r>
      <w:r>
        <w:rPr>
          <w:rFonts w:hint="eastAsia" w:ascii="仿宋" w:hAnsi="仿宋" w:eastAsia="仿宋" w:cs="仿宋"/>
          <w:color w:val="000000"/>
          <w:sz w:val="32"/>
          <w:szCs w:val="32"/>
        </w:rPr>
        <w:t>先在艾家冲集中安置区设立了迎宾社区党支部艾家冲集中安置区党小组和易地扶贫搬迁艾家冲集中安置区管委会，成立了群众工作站，用心用情用力做好安置区后续管理服务，得到了省市县领导的充分肯定，也为我县出台《溆浦县易地扶贫搬迁集中安置点落实“党建引领群众自治”工作实施方案》提供了有益经验。</w:t>
      </w:r>
      <w:r>
        <w:rPr>
          <w:rFonts w:hint="eastAsia" w:ascii="仿宋" w:hAnsi="仿宋" w:eastAsia="仿宋" w:cs="仿宋"/>
          <w:bCs/>
          <w:sz w:val="32"/>
          <w:szCs w:val="32"/>
        </w:rPr>
        <w:t>顺利通过考核检查。今年8月份我镇顺利完成了国家脱贫攻</w:t>
      </w:r>
      <w:r>
        <w:rPr>
          <w:rFonts w:hint="eastAsia" w:ascii="仿宋" w:hAnsi="仿宋" w:eastAsia="仿宋" w:cs="仿宋"/>
          <w:sz w:val="32"/>
          <w:szCs w:val="32"/>
        </w:rPr>
        <w:t>坚检查组对我镇的核查工作，群众满意度达到了100%，反馈我镇检查情况良好。</w:t>
      </w:r>
    </w:p>
    <w:p>
      <w:pPr>
        <w:spacing w:line="600" w:lineRule="exact"/>
        <w:ind w:firstLine="640" w:firstLineChars="200"/>
        <w:rPr>
          <w:rFonts w:ascii="仿宋" w:hAnsi="仿宋" w:eastAsia="仿宋" w:cs="仿宋"/>
          <w:sz w:val="32"/>
          <w:szCs w:val="32"/>
        </w:rPr>
      </w:pPr>
      <w:r>
        <w:rPr>
          <w:rFonts w:hint="eastAsia" w:ascii="仿宋" w:hAnsi="仿宋" w:eastAsia="仿宋" w:cs="仿宋"/>
          <w:bCs/>
          <w:sz w:val="32"/>
          <w:szCs w:val="32"/>
        </w:rPr>
        <w:t>一年来，我镇用心用情，做好“城市建设管理和农村人居环境整治”两篇文章。</w:t>
      </w:r>
      <w:r>
        <w:rPr>
          <w:rFonts w:hint="eastAsia" w:ascii="仿宋" w:hAnsi="仿宋" w:eastAsia="仿宋" w:cs="仿宋"/>
          <w:sz w:val="32"/>
          <w:szCs w:val="32"/>
        </w:rPr>
        <w:t>全力助推县城建设管理。配合完成雅堂芙蓉学校、城南汽车站、城南医院等项目征地拆迁工作，完成迁坟245座；启动西北片区开发建设工作；积极配合完成夏家溪和千工坝污水管网改造项目；扎实推进县城防洪大堤建设、红花园工业园征地拆迁、生活垃圾焚烧发电等县城重点项目建设。以宣传展板、墙画、宣传栏等多种形式宣传“三城同创”“社会主义核心价值观”“中国梦”以及“扫黄打非”工作，较好完成了全国文明提名城市创建年度测评暨省级文明县城复评工作。全年共安排创卫经费100余万元，聘请18名保洁员对镇区环境卫生进行常态化保洁。加强农村人居环境整治。集中精力打好污染防治攻坚战，做好农村人居环境整治文章，落实“扫干净、摆整齐，治垃圾、改厕所，拆危旧、添绿色，定规划、管建房，树新风、靓村庄”要求，努力让城乡每个角落都绿起来、美起来。一是定标准，明要求。成立了改善农村人居环境领导小组，结合我镇实际，印发了《卢峰镇改善人居环境工作方案及实施办法》和《卢峰镇改善人居环境工作考核办法》，进一步明确了目标任务、标准要求。二是广宣传，搞评比。加大宣传力度，通过“村村响”、张贴固定宣传标语、发放宣传资料等形式，做到家喻户晓，共发放宣传资料16000余份，制作了固定性标语100余块。在镇属各中小学开展“爱护家园，爱护环境卫生，从我做起，人人有责”活动，加强了青少年的环保意识。同时，在各村居广泛开展“环境卫生文明户”评比行动，为各村居配备了3-6名保洁员及垃圾清运员，实现了全天候保洁。三是重投入，强基础。加大基础设施投入力度，铺设污水管道1000余米；修建河堤300余米；清理污水沟渠2000余米；拆除路边违章建筑、破旧无人居住房屋20多处。2020年，在全镇开展了3次环境卫生大扫除、大清理、大清运行动，5000多名党员干部群众积极参与。四是抓巡河，保水源。坚决落实河长制，镇级河段巡查86次，设立镇级河长公示牌10块，村级河长公示牌28块；充分利用村村响、横幅、公示牌、微信等方式，对全面推进河长制工作进行宣传教育和舆论引导。多次开展河道保洁专项行动整治工作，累计出动80人次，6台大型车辆对水面垃圾、漂浮物等进行集中处理。加大对饮用水源保护区综合治理力度，通过加大污染源排查力度，修建隔离栅栏、组织专门队伍开展常态化巡查，制定入户宣传资料和警示牌，对水源保护区进行封闭式管理等方式，确保饮水安全。五是保生态，禁捕鱼。今年，溆浦县被列入永久性禁捕区域，对此我镇积极开展禁捕退捕工作，进一步加强禁捕退捕巡查，对溆水河及其支流中的渔船、地笼、渔网、拉网等捕鱼工具一律进行销毁处理。据统计，禁捕退捕工作开展以来共处理渔船56艘，销毁捕鱼设备4件。</w:t>
      </w:r>
    </w:p>
    <w:p>
      <w:pPr>
        <w:spacing w:line="600" w:lineRule="exact"/>
        <w:ind w:firstLine="640" w:firstLineChars="200"/>
        <w:rPr>
          <w:rFonts w:ascii="仿宋" w:hAnsi="仿宋" w:eastAsia="仿宋" w:cs="仿宋"/>
          <w:sz w:val="32"/>
          <w:szCs w:val="32"/>
        </w:rPr>
      </w:pPr>
      <w:r>
        <w:rPr>
          <w:rFonts w:hint="eastAsia" w:ascii="楷体" w:hAnsi="楷体" w:eastAsia="楷体" w:cs="黑体"/>
          <w:sz w:val="32"/>
          <w:szCs w:val="32"/>
        </w:rPr>
        <w:t>一年来，我镇动真碰硬，狠抓“产业发展、民生保障和安全稳定”三大重点。</w:t>
      </w:r>
      <w:r>
        <w:rPr>
          <w:rFonts w:hint="eastAsia" w:ascii="仿宋" w:hAnsi="仿宋" w:eastAsia="仿宋" w:cs="仿宋"/>
          <w:bCs/>
          <w:sz w:val="32"/>
          <w:szCs w:val="32"/>
        </w:rPr>
        <w:t>一是狠抓产业发展。</w:t>
      </w:r>
      <w:r>
        <w:rPr>
          <w:rFonts w:hint="eastAsia" w:ascii="仿宋" w:hAnsi="仿宋" w:eastAsia="仿宋" w:cs="仿宋"/>
          <w:sz w:val="32"/>
          <w:szCs w:val="32"/>
        </w:rPr>
        <w:t>我镇根据贫困户自主发展的种养项目，对标扶贫政策进行奖补，按照水果产业、中药材及其他经济作物等不同类别进行不同标准奖补，共帮扶1707户贫困户发展自主产业，享受自主产业奖补资金684.213万元。按照互利共赢的原则，我镇确定贫困户与产业扶贫经营主体的利益分配方式，帮助2366户贫困户与雪峰食品、华兴食品、祥福果蔬、嘉辉农牧等企业签订“四跟四走”协议，享受分红受益146.07万元。同时全镇各村均成立了种养合作社，有效促进了农民增收。</w:t>
      </w:r>
      <w:r>
        <w:rPr>
          <w:rFonts w:hint="eastAsia" w:ascii="仿宋" w:hAnsi="仿宋" w:eastAsia="仿宋" w:cs="仿宋"/>
          <w:bCs/>
          <w:sz w:val="32"/>
          <w:szCs w:val="32"/>
        </w:rPr>
        <w:t>二是狠抓民生保障。2020年，全镇共</w:t>
      </w:r>
      <w:r>
        <w:rPr>
          <w:rFonts w:hint="eastAsia" w:ascii="仿宋" w:hAnsi="仿宋" w:eastAsia="仿宋" w:cs="仿宋"/>
          <w:sz w:val="32"/>
          <w:szCs w:val="32"/>
        </w:rPr>
        <w:t>31027人参加了城乡居民养老保险；为146人办理了就业失业登记证；为668人办理了“灵活就业社保补贴”；新增贫困劳动力转移就业105人，任务完成率达100%；完成创业技能培训、“两后生”技能培训106人。积极落实救助制度，临时救济1678人，发放临时救助款200余万元；实现全镇基本养老服务补贴覆盖率达100%。2020年全镇种植水稻4万多亩，其中优质水稻1万多亩；油菜3.4万多亩，蔬菜9300多亩，经济作物1万多亩。严格执行各项惠农补贴政策，一年来共发放农机购置补贴100余万元，适度规模经营补贴资金65万余元。全镇土地确权工作基本完成。全力防控非洲猪瘟，同时做好规模养殖场资源化利用工作，改善规模养殖场环保设施。抓好人口普查工作，我镇按照上级要求，科学规划，统筹推进，成立专项领导小组，从各村、社区抽调骨干力量100余人，严格按照普查时间节点和要求，对全镇范围内常住人口、流动人员进行了全面核查，做到情况清，底子明。</w:t>
      </w:r>
      <w:r>
        <w:rPr>
          <w:rFonts w:hint="eastAsia" w:ascii="仿宋" w:hAnsi="仿宋" w:eastAsia="仿宋" w:cs="仿宋"/>
          <w:bCs/>
          <w:sz w:val="32"/>
          <w:szCs w:val="32"/>
        </w:rPr>
        <w:t>三是狠抓安全稳定。</w:t>
      </w:r>
      <w:r>
        <w:rPr>
          <w:rFonts w:hint="eastAsia" w:ascii="仿宋" w:hAnsi="仿宋" w:eastAsia="仿宋" w:cs="仿宋"/>
          <w:sz w:val="32"/>
          <w:szCs w:val="32"/>
        </w:rPr>
        <w:t>严格落实安全生产责任制。通过召开会议、督促检查、入户走访等形式，加大安全生产宣传和监督检查力度。一年来，组织检查学校、电力、矿山、建筑施工、消防、食品卫生等332次，发现隐患532条，隐患整改达标率100%。全年没有发生安全生产事故，没有因安全事故引发的群体闹事和上访事件。多次组织开展烟花爆竹集中整治，出动宣传车辆10台次，悬挂横幅43幅，宣传单1200份，没收烟花鞭炮90件，保证了人民群众的生命财产安全。深入开展扫黑除恶专项斗争。召开20余次会议对扫黑除恶工作进行专题研究部署，组织干部集中学习及考试12次。各村、社区结合脱贫攻坚民情恳谈会开展扫黑除恶宣讲会，同时充分利用村村响广播、宣传标语、电子显示屏、微信群、“巍巍卢峰”微信公众号等开展宣传，悬挂扫黑除恶专项斗争相关横幅169幅，固定性高标准标语120幅，立体广告牌24幅，宣传专栏42块，发放相关宣传资料、张贴通告20000余份，推动全镇形成扫黑除恶专项斗争和禁毒的浓厚氛围。摸排线索550条，移交县扫黑办40条；打击抓获岩湾村12名犯罪嫌疑人；拆除15家违规砖瓦窑厂，关停5家非法采石场 ，拆除梁家坡村13处违建。大力推进禁毒整治，多次召开专题会议研究禁毒工作，先后出台了《卢峰镇人民政府禁毒工作目标管理细则》等文件，明确了禁毒工作重点。进一步强化宣传发动，在大潭村举行了毒品问题重点整治动员大会，在屈原社区和大潭村召开了群众评议禁毒工作推进会，对涉毒人员逐户签订《禁毒承诺书》。配齐配强了镇禁毒专职力量5人，全面落实一村一辅警。成立禁毒宣传巡察组，加大吸毒人员查处和风险防范，盯死看牢涉毒涉京人员，全力戒治、帮扶吸毒人员。全年共打击处理涉毒刑事案件犯罪嫌疑人21人，查处吸毒人员72人，收治特殊人群涉毒人员30余名，有力推进了禁毒专项整治工作。</w:t>
      </w:r>
    </w:p>
    <w:p>
      <w:pPr>
        <w:ind w:firstLine="640" w:firstLineChars="200"/>
        <w:rPr>
          <w:rFonts w:ascii="仿宋" w:hAnsi="仿宋" w:eastAsia="仿宋"/>
          <w:b/>
          <w:color w:val="000000"/>
          <w:sz w:val="32"/>
          <w:szCs w:val="32"/>
        </w:rPr>
      </w:pPr>
      <w:r>
        <w:rPr>
          <w:rFonts w:hint="eastAsia" w:ascii="仿宋" w:hAnsi="仿宋" w:eastAsia="仿宋"/>
          <w:b/>
          <w:color w:val="000000"/>
          <w:sz w:val="32"/>
          <w:szCs w:val="32"/>
        </w:rPr>
        <w:t>四、存在的主要问题</w:t>
      </w:r>
    </w:p>
    <w:p>
      <w:pPr>
        <w:ind w:firstLine="640" w:firstLineChars="200"/>
        <w:textAlignment w:val="baseline"/>
        <w:rPr>
          <w:rFonts w:ascii="仿宋" w:hAnsi="仿宋" w:eastAsia="仿宋" w:cs="仿宋"/>
          <w:color w:val="000000"/>
          <w:sz w:val="32"/>
          <w:szCs w:val="32"/>
        </w:rPr>
      </w:pPr>
      <w:r>
        <w:rPr>
          <w:rFonts w:hint="eastAsia" w:ascii="仿宋" w:hAnsi="仿宋" w:eastAsia="仿宋" w:cs="仿宋"/>
          <w:color w:val="000000"/>
          <w:sz w:val="32"/>
          <w:szCs w:val="32"/>
        </w:rPr>
        <w:t>存在一些突出问题：</w:t>
      </w:r>
      <w:r>
        <w:rPr>
          <w:rFonts w:hint="eastAsia" w:ascii="仿宋" w:hAnsi="仿宋" w:eastAsia="仿宋" w:cs="仿宋"/>
          <w:bCs/>
          <w:color w:val="000000"/>
          <w:sz w:val="32"/>
          <w:szCs w:val="32"/>
        </w:rPr>
        <w:t>一是产业发展实力不足。</w:t>
      </w:r>
      <w:r>
        <w:rPr>
          <w:rFonts w:hint="eastAsia" w:ascii="仿宋" w:hAnsi="仿宋" w:eastAsia="仿宋" w:cs="仿宋"/>
          <w:color w:val="000000"/>
          <w:sz w:val="32"/>
          <w:szCs w:val="32"/>
        </w:rPr>
        <w:t>发展投入相对不足，重点产业培植难度大，农业产业化程度不高，规模经营化水平低，农民增收渠道仍然不宽。</w:t>
      </w:r>
      <w:r>
        <w:rPr>
          <w:rFonts w:hint="eastAsia" w:ascii="仿宋" w:hAnsi="仿宋" w:eastAsia="仿宋" w:cs="仿宋"/>
          <w:bCs/>
          <w:color w:val="000000"/>
          <w:sz w:val="32"/>
          <w:szCs w:val="32"/>
        </w:rPr>
        <w:t>二是社会管理难度很大。</w:t>
      </w:r>
      <w:r>
        <w:rPr>
          <w:rFonts w:hint="eastAsia" w:ascii="仿宋" w:hAnsi="仿宋" w:eastAsia="仿宋" w:cs="仿宋"/>
          <w:color w:val="000000"/>
          <w:sz w:val="32"/>
          <w:szCs w:val="32"/>
        </w:rPr>
        <w:t>城镇秩序、社会治安、安全生产、计划生育、环境保护、土地市场秩序等工作压力很大、征地拆迁、历史旧欠等遗留问题较多，落实处理存在较大难度，容易诱发矛盾而造成不稳定；群众观念跟不上经济发展的节拍，增加了社会管理的难度和成本。</w:t>
      </w:r>
      <w:r>
        <w:rPr>
          <w:rFonts w:hint="eastAsia" w:ascii="仿宋" w:hAnsi="仿宋" w:eastAsia="仿宋" w:cs="仿宋"/>
          <w:bCs/>
          <w:color w:val="000000"/>
          <w:sz w:val="32"/>
          <w:szCs w:val="32"/>
        </w:rPr>
        <w:t>四是干部作风有待加强。</w:t>
      </w:r>
      <w:r>
        <w:rPr>
          <w:rFonts w:hint="eastAsia" w:ascii="仿宋" w:hAnsi="仿宋" w:eastAsia="仿宋" w:cs="仿宋"/>
          <w:color w:val="000000"/>
          <w:sz w:val="32"/>
          <w:szCs w:val="32"/>
        </w:rPr>
        <w:t>个别干部为民服务意识比较淡薄，工作作风不够扎实，执行力不够强，工作落实不到位。</w:t>
      </w:r>
      <w:r>
        <w:rPr>
          <w:rFonts w:hint="eastAsia" w:ascii="仿宋" w:hAnsi="仿宋" w:eastAsia="仿宋" w:cs="仿宋"/>
          <w:bCs/>
          <w:color w:val="000000"/>
          <w:sz w:val="32"/>
          <w:szCs w:val="32"/>
        </w:rPr>
        <w:t>五是收支矛盾比较突出。</w:t>
      </w:r>
      <w:r>
        <w:rPr>
          <w:rFonts w:hint="eastAsia" w:ascii="仿宋" w:hAnsi="仿宋" w:eastAsia="仿宋" w:cs="仿宋"/>
          <w:color w:val="000000"/>
          <w:sz w:val="32"/>
          <w:szCs w:val="32"/>
        </w:rPr>
        <w:t>镇村两级财源严重缺乏，财政赤字据高不下，运转困难，对经济社会建设投入相对不足。</w:t>
      </w:r>
    </w:p>
    <w:p>
      <w:pPr>
        <w:ind w:firstLine="640" w:firstLineChars="200"/>
        <w:textAlignment w:val="baseline"/>
        <w:rPr>
          <w:rFonts w:ascii="仿宋" w:hAnsi="仿宋" w:eastAsia="仿宋" w:cs="仿宋"/>
          <w:b/>
          <w:color w:val="000000"/>
          <w:sz w:val="32"/>
          <w:szCs w:val="32"/>
        </w:rPr>
      </w:pPr>
      <w:r>
        <w:rPr>
          <w:rFonts w:hint="eastAsia" w:ascii="仿宋" w:hAnsi="仿宋" w:eastAsia="仿宋" w:cs="仿宋"/>
          <w:b/>
          <w:color w:val="000000"/>
          <w:sz w:val="32"/>
          <w:szCs w:val="32"/>
        </w:rPr>
        <w:t>五、建议</w:t>
      </w:r>
    </w:p>
    <w:p>
      <w:pPr>
        <w:ind w:firstLine="640" w:firstLineChars="200"/>
        <w:textAlignment w:val="baseline"/>
        <w:rPr>
          <w:rFonts w:ascii="仿宋" w:hAnsi="仿宋" w:eastAsia="仿宋" w:cs="仿宋"/>
          <w:color w:val="000000"/>
          <w:sz w:val="32"/>
          <w:szCs w:val="32"/>
        </w:rPr>
      </w:pPr>
      <w:r>
        <w:rPr>
          <w:rFonts w:hint="eastAsia" w:ascii="仿宋" w:hAnsi="仿宋" w:eastAsia="仿宋" w:cs="仿宋"/>
          <w:color w:val="000000"/>
          <w:sz w:val="32"/>
          <w:szCs w:val="32"/>
        </w:rPr>
        <w:t>1、加大对乡镇的项目投入力度，以解决乡镇设施相对滞后和产业发展无力等问题。</w:t>
      </w:r>
    </w:p>
    <w:p>
      <w:pPr>
        <w:ind w:firstLine="640" w:firstLineChars="200"/>
        <w:textAlignment w:val="baseline"/>
        <w:rPr>
          <w:rFonts w:ascii="仿宋" w:hAnsi="仿宋" w:eastAsia="仿宋" w:cs="仿宋"/>
          <w:color w:val="000000"/>
          <w:sz w:val="32"/>
          <w:szCs w:val="32"/>
        </w:rPr>
      </w:pPr>
      <w:r>
        <w:rPr>
          <w:rFonts w:hint="eastAsia" w:ascii="仿宋" w:hAnsi="仿宋" w:eastAsia="仿宋" w:cs="仿宋"/>
          <w:color w:val="000000"/>
          <w:sz w:val="32"/>
          <w:szCs w:val="32"/>
        </w:rPr>
        <w:t>2、在安排运转经费时，加大对乡村两级的扶持力度，特别是村一级，目前的运转经费无法满足村级运转和发展的需要。</w:t>
      </w:r>
    </w:p>
    <w:p>
      <w:pPr>
        <w:pStyle w:val="4"/>
        <w:spacing w:line="360" w:lineRule="auto"/>
        <w:ind w:firstLine="180" w:firstLineChars="100"/>
        <w:jc w:val="both"/>
        <w:rPr>
          <w:rFonts w:ascii="仿宋" w:hAnsi="仿宋" w:eastAsia="仿宋" w:cs="仿宋"/>
          <w:color w:val="000000"/>
          <w:sz w:val="32"/>
          <w:szCs w:val="32"/>
        </w:rPr>
      </w:pPr>
      <w:r>
        <w:rPr>
          <w:rFonts w:hint="eastAsia" w:eastAsia="仿宋"/>
        </w:rPr>
        <w:t xml:space="preserve">     </w:t>
      </w:r>
      <w:r>
        <w:rPr>
          <w:rFonts w:hint="eastAsia" w:ascii="仿宋" w:hAnsi="仿宋" w:eastAsia="仿宋" w:cs="仿宋"/>
          <w:sz w:val="32"/>
          <w:szCs w:val="32"/>
        </w:rPr>
        <w:t>3、积极谋划坚决打赢乡村振兴开局战。认真贯彻落实党中央关于乡村振兴工作的要求和部署，按照产业兴旺、生态宜居、乡风文明、治理有效、生活富裕的总要求，进一步理清思路、细化措施、狠抓落实，完善设施，以更高的投入、更多的精力、更大的决心加大农村人居环境整治力度，大力推进农村改厕工作，重点解决垃圾与污水处理、粪便无害化处理、饮用水源保护等问题，努力打造整洁、文明的宜居生态家园，为乡村振兴起好步、开好局。</w:t>
      </w:r>
    </w:p>
    <w:p>
      <w:pPr>
        <w:ind w:firstLine="640" w:firstLineChars="200"/>
        <w:textAlignment w:val="baseline"/>
        <w:rPr>
          <w:rFonts w:ascii="仿宋" w:hAnsi="仿宋" w:eastAsia="仿宋" w:cs="仿宋"/>
          <w:color w:val="000000"/>
          <w:sz w:val="32"/>
          <w:szCs w:val="32"/>
        </w:rPr>
      </w:pPr>
    </w:p>
    <w:p>
      <w:pPr>
        <w:ind w:firstLine="4800" w:firstLineChars="1500"/>
        <w:textAlignment w:val="baseline"/>
        <w:rPr>
          <w:rFonts w:ascii="仿宋" w:hAnsi="仿宋" w:eastAsia="仿宋" w:cs="仿宋"/>
          <w:color w:val="000000"/>
          <w:sz w:val="32"/>
          <w:szCs w:val="32"/>
        </w:rPr>
      </w:pPr>
      <w:bookmarkStart w:id="3" w:name="_GoBack"/>
      <w:bookmarkEnd w:id="3"/>
      <w:r>
        <w:rPr>
          <w:rFonts w:hint="eastAsia" w:ascii="仿宋" w:hAnsi="仿宋" w:eastAsia="仿宋" w:cs="仿宋"/>
          <w:color w:val="000000"/>
          <w:sz w:val="32"/>
          <w:szCs w:val="32"/>
        </w:rPr>
        <w:t xml:space="preserve">             </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958F31"/>
    <w:multiLevelType w:val="singleLevel"/>
    <w:tmpl w:val="23958F31"/>
    <w:lvl w:ilvl="0" w:tentative="0">
      <w:start w:val="16"/>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2229B"/>
    <w:rsid w:val="000273BD"/>
    <w:rsid w:val="000341A4"/>
    <w:rsid w:val="000415B7"/>
    <w:rsid w:val="00041E3F"/>
    <w:rsid w:val="00055DAA"/>
    <w:rsid w:val="00061F7B"/>
    <w:rsid w:val="000658A3"/>
    <w:rsid w:val="00074155"/>
    <w:rsid w:val="00091FA5"/>
    <w:rsid w:val="000930F9"/>
    <w:rsid w:val="000A000A"/>
    <w:rsid w:val="000A3F69"/>
    <w:rsid w:val="000C2A17"/>
    <w:rsid w:val="000E0D93"/>
    <w:rsid w:val="000E3B69"/>
    <w:rsid w:val="00103957"/>
    <w:rsid w:val="001256F7"/>
    <w:rsid w:val="00146CFB"/>
    <w:rsid w:val="00152C6D"/>
    <w:rsid w:val="00162D39"/>
    <w:rsid w:val="00164634"/>
    <w:rsid w:val="001678BD"/>
    <w:rsid w:val="001711E9"/>
    <w:rsid w:val="00187713"/>
    <w:rsid w:val="001A67DB"/>
    <w:rsid w:val="001B00C2"/>
    <w:rsid w:val="001B2544"/>
    <w:rsid w:val="001C3C29"/>
    <w:rsid w:val="001D25BF"/>
    <w:rsid w:val="001D51E5"/>
    <w:rsid w:val="001D7268"/>
    <w:rsid w:val="001E080D"/>
    <w:rsid w:val="001E53D0"/>
    <w:rsid w:val="001F0C3B"/>
    <w:rsid w:val="001F42AD"/>
    <w:rsid w:val="00202C82"/>
    <w:rsid w:val="00214427"/>
    <w:rsid w:val="00226CB7"/>
    <w:rsid w:val="00233ED0"/>
    <w:rsid w:val="00260DE9"/>
    <w:rsid w:val="00264552"/>
    <w:rsid w:val="00264EF9"/>
    <w:rsid w:val="00265724"/>
    <w:rsid w:val="0027426B"/>
    <w:rsid w:val="00275DD9"/>
    <w:rsid w:val="00283995"/>
    <w:rsid w:val="002E0A30"/>
    <w:rsid w:val="00300A76"/>
    <w:rsid w:val="003130C4"/>
    <w:rsid w:val="00316C4B"/>
    <w:rsid w:val="0032192B"/>
    <w:rsid w:val="003479BD"/>
    <w:rsid w:val="0037197D"/>
    <w:rsid w:val="003768D5"/>
    <w:rsid w:val="00385E57"/>
    <w:rsid w:val="003C47E6"/>
    <w:rsid w:val="003C4FC2"/>
    <w:rsid w:val="00416E61"/>
    <w:rsid w:val="0042790C"/>
    <w:rsid w:val="004370C0"/>
    <w:rsid w:val="004379C7"/>
    <w:rsid w:val="00443DA0"/>
    <w:rsid w:val="004506F9"/>
    <w:rsid w:val="00461FF9"/>
    <w:rsid w:val="0046237F"/>
    <w:rsid w:val="004717A2"/>
    <w:rsid w:val="004730B5"/>
    <w:rsid w:val="00473DF3"/>
    <w:rsid w:val="00487911"/>
    <w:rsid w:val="00491741"/>
    <w:rsid w:val="00500E5F"/>
    <w:rsid w:val="00502C6B"/>
    <w:rsid w:val="0051077B"/>
    <w:rsid w:val="005122EF"/>
    <w:rsid w:val="0051441A"/>
    <w:rsid w:val="00517C33"/>
    <w:rsid w:val="00523644"/>
    <w:rsid w:val="005361BC"/>
    <w:rsid w:val="0054069E"/>
    <w:rsid w:val="00544866"/>
    <w:rsid w:val="00564A6F"/>
    <w:rsid w:val="00565EDC"/>
    <w:rsid w:val="005767CC"/>
    <w:rsid w:val="00590D9F"/>
    <w:rsid w:val="00595D26"/>
    <w:rsid w:val="005A1063"/>
    <w:rsid w:val="005A74E6"/>
    <w:rsid w:val="005B2929"/>
    <w:rsid w:val="005B404E"/>
    <w:rsid w:val="005D4D55"/>
    <w:rsid w:val="005E0F58"/>
    <w:rsid w:val="005E2CFB"/>
    <w:rsid w:val="005F3D1C"/>
    <w:rsid w:val="0061476B"/>
    <w:rsid w:val="00617F04"/>
    <w:rsid w:val="0062378F"/>
    <w:rsid w:val="00641842"/>
    <w:rsid w:val="00651EEC"/>
    <w:rsid w:val="00654FAE"/>
    <w:rsid w:val="006917FD"/>
    <w:rsid w:val="00691E8C"/>
    <w:rsid w:val="006A22C4"/>
    <w:rsid w:val="006A351B"/>
    <w:rsid w:val="006B0422"/>
    <w:rsid w:val="006B5185"/>
    <w:rsid w:val="006C1B53"/>
    <w:rsid w:val="006D7730"/>
    <w:rsid w:val="006D7E04"/>
    <w:rsid w:val="006E4C77"/>
    <w:rsid w:val="006E5284"/>
    <w:rsid w:val="006F3EB5"/>
    <w:rsid w:val="00702E34"/>
    <w:rsid w:val="00704395"/>
    <w:rsid w:val="00717621"/>
    <w:rsid w:val="00720FF1"/>
    <w:rsid w:val="00727A53"/>
    <w:rsid w:val="00746B26"/>
    <w:rsid w:val="00787B42"/>
    <w:rsid w:val="007B0EBF"/>
    <w:rsid w:val="007C4539"/>
    <w:rsid w:val="007E6DDE"/>
    <w:rsid w:val="007F3657"/>
    <w:rsid w:val="00812ED5"/>
    <w:rsid w:val="008277D9"/>
    <w:rsid w:val="00834DFC"/>
    <w:rsid w:val="0084478C"/>
    <w:rsid w:val="0086638C"/>
    <w:rsid w:val="0087400D"/>
    <w:rsid w:val="00890284"/>
    <w:rsid w:val="008A3E8D"/>
    <w:rsid w:val="008C1F29"/>
    <w:rsid w:val="008C3BAF"/>
    <w:rsid w:val="008E6A28"/>
    <w:rsid w:val="0091445E"/>
    <w:rsid w:val="009237C4"/>
    <w:rsid w:val="009318EC"/>
    <w:rsid w:val="009416A8"/>
    <w:rsid w:val="00944C48"/>
    <w:rsid w:val="009469CC"/>
    <w:rsid w:val="00947798"/>
    <w:rsid w:val="00950252"/>
    <w:rsid w:val="00967F5D"/>
    <w:rsid w:val="009A0F95"/>
    <w:rsid w:val="009B3ADF"/>
    <w:rsid w:val="009C1335"/>
    <w:rsid w:val="009C1FBB"/>
    <w:rsid w:val="009C3B52"/>
    <w:rsid w:val="009D29EB"/>
    <w:rsid w:val="009D66AC"/>
    <w:rsid w:val="009E6817"/>
    <w:rsid w:val="009E6E9A"/>
    <w:rsid w:val="009F13BE"/>
    <w:rsid w:val="00A001A0"/>
    <w:rsid w:val="00A01D2B"/>
    <w:rsid w:val="00A032AF"/>
    <w:rsid w:val="00A14767"/>
    <w:rsid w:val="00A148EF"/>
    <w:rsid w:val="00A42218"/>
    <w:rsid w:val="00A472FA"/>
    <w:rsid w:val="00A70249"/>
    <w:rsid w:val="00A70B02"/>
    <w:rsid w:val="00A70B06"/>
    <w:rsid w:val="00A71D9F"/>
    <w:rsid w:val="00A7668C"/>
    <w:rsid w:val="00A92E9F"/>
    <w:rsid w:val="00AA29AB"/>
    <w:rsid w:val="00B33BEA"/>
    <w:rsid w:val="00B57C9F"/>
    <w:rsid w:val="00B61577"/>
    <w:rsid w:val="00B63572"/>
    <w:rsid w:val="00B6399E"/>
    <w:rsid w:val="00B845B3"/>
    <w:rsid w:val="00B85D8B"/>
    <w:rsid w:val="00BA53A7"/>
    <w:rsid w:val="00BA6FC3"/>
    <w:rsid w:val="00BB4A40"/>
    <w:rsid w:val="00BC6AFB"/>
    <w:rsid w:val="00BC6C3A"/>
    <w:rsid w:val="00BC7037"/>
    <w:rsid w:val="00BD51E7"/>
    <w:rsid w:val="00BD65C3"/>
    <w:rsid w:val="00BD6C3E"/>
    <w:rsid w:val="00BE3674"/>
    <w:rsid w:val="00C10681"/>
    <w:rsid w:val="00C262FE"/>
    <w:rsid w:val="00C3049A"/>
    <w:rsid w:val="00C31B1E"/>
    <w:rsid w:val="00C77645"/>
    <w:rsid w:val="00C81200"/>
    <w:rsid w:val="00C81E72"/>
    <w:rsid w:val="00C82116"/>
    <w:rsid w:val="00CE04C3"/>
    <w:rsid w:val="00CE76A0"/>
    <w:rsid w:val="00CF7727"/>
    <w:rsid w:val="00D00023"/>
    <w:rsid w:val="00D148C6"/>
    <w:rsid w:val="00D17A8A"/>
    <w:rsid w:val="00D415BA"/>
    <w:rsid w:val="00D50696"/>
    <w:rsid w:val="00D62AF7"/>
    <w:rsid w:val="00D644EE"/>
    <w:rsid w:val="00D66515"/>
    <w:rsid w:val="00D72516"/>
    <w:rsid w:val="00DA2828"/>
    <w:rsid w:val="00DB19C2"/>
    <w:rsid w:val="00DD06FF"/>
    <w:rsid w:val="00DD5FE9"/>
    <w:rsid w:val="00E00C7A"/>
    <w:rsid w:val="00E37D6C"/>
    <w:rsid w:val="00E4559E"/>
    <w:rsid w:val="00E55B68"/>
    <w:rsid w:val="00E67BE6"/>
    <w:rsid w:val="00E85A7D"/>
    <w:rsid w:val="00E8683C"/>
    <w:rsid w:val="00EA28CE"/>
    <w:rsid w:val="00EA2B72"/>
    <w:rsid w:val="00EC6FEF"/>
    <w:rsid w:val="00EE64F2"/>
    <w:rsid w:val="00F029DB"/>
    <w:rsid w:val="00F26A9A"/>
    <w:rsid w:val="00F37262"/>
    <w:rsid w:val="00F4738D"/>
    <w:rsid w:val="00F74360"/>
    <w:rsid w:val="00F92881"/>
    <w:rsid w:val="00FA646B"/>
    <w:rsid w:val="00FB462F"/>
    <w:rsid w:val="00FC74A7"/>
    <w:rsid w:val="00FE16FA"/>
    <w:rsid w:val="00FE328A"/>
    <w:rsid w:val="00FE6269"/>
    <w:rsid w:val="039132E0"/>
    <w:rsid w:val="05201403"/>
    <w:rsid w:val="08530699"/>
    <w:rsid w:val="09723DAA"/>
    <w:rsid w:val="0A742D67"/>
    <w:rsid w:val="0A9C24CF"/>
    <w:rsid w:val="0C203603"/>
    <w:rsid w:val="0D986566"/>
    <w:rsid w:val="0DF05289"/>
    <w:rsid w:val="0ED44E8B"/>
    <w:rsid w:val="0F256DCE"/>
    <w:rsid w:val="0F697612"/>
    <w:rsid w:val="110B0E0E"/>
    <w:rsid w:val="12D1461E"/>
    <w:rsid w:val="13312A7C"/>
    <w:rsid w:val="19863E73"/>
    <w:rsid w:val="19AD48B4"/>
    <w:rsid w:val="1AF05A90"/>
    <w:rsid w:val="1DA57843"/>
    <w:rsid w:val="1FCA7288"/>
    <w:rsid w:val="204D7ABA"/>
    <w:rsid w:val="215C0397"/>
    <w:rsid w:val="228A3680"/>
    <w:rsid w:val="23164C4C"/>
    <w:rsid w:val="23ED28B0"/>
    <w:rsid w:val="2489233B"/>
    <w:rsid w:val="248C2737"/>
    <w:rsid w:val="26B52751"/>
    <w:rsid w:val="2A39761D"/>
    <w:rsid w:val="2F1F744F"/>
    <w:rsid w:val="2F832F73"/>
    <w:rsid w:val="30083235"/>
    <w:rsid w:val="305E59EC"/>
    <w:rsid w:val="30986383"/>
    <w:rsid w:val="33BE6E8E"/>
    <w:rsid w:val="3412012E"/>
    <w:rsid w:val="3612658F"/>
    <w:rsid w:val="36B441EC"/>
    <w:rsid w:val="376C6ACA"/>
    <w:rsid w:val="3A1607BB"/>
    <w:rsid w:val="3D0E41EA"/>
    <w:rsid w:val="4047399F"/>
    <w:rsid w:val="40841A6E"/>
    <w:rsid w:val="423173F7"/>
    <w:rsid w:val="43090E31"/>
    <w:rsid w:val="47534A57"/>
    <w:rsid w:val="47B85A8D"/>
    <w:rsid w:val="484D0062"/>
    <w:rsid w:val="48DF0781"/>
    <w:rsid w:val="49C0476C"/>
    <w:rsid w:val="4A1C3D39"/>
    <w:rsid w:val="4AC22750"/>
    <w:rsid w:val="4C4F2C24"/>
    <w:rsid w:val="4D926EF3"/>
    <w:rsid w:val="4E1C27CF"/>
    <w:rsid w:val="50423969"/>
    <w:rsid w:val="52EC79E4"/>
    <w:rsid w:val="53501EA0"/>
    <w:rsid w:val="536864EC"/>
    <w:rsid w:val="54E0078C"/>
    <w:rsid w:val="54F556AD"/>
    <w:rsid w:val="55A60954"/>
    <w:rsid w:val="57186F1B"/>
    <w:rsid w:val="59780553"/>
    <w:rsid w:val="5AC20B43"/>
    <w:rsid w:val="5B9E053D"/>
    <w:rsid w:val="5BA33DC6"/>
    <w:rsid w:val="5DA70090"/>
    <w:rsid w:val="5DC00ECB"/>
    <w:rsid w:val="601D2463"/>
    <w:rsid w:val="604A5388"/>
    <w:rsid w:val="66A31A28"/>
    <w:rsid w:val="68A926DA"/>
    <w:rsid w:val="699632EC"/>
    <w:rsid w:val="69DB0497"/>
    <w:rsid w:val="6A0C47F0"/>
    <w:rsid w:val="6A1F70A1"/>
    <w:rsid w:val="6BE12832"/>
    <w:rsid w:val="6C51203D"/>
    <w:rsid w:val="6CBB4EF5"/>
    <w:rsid w:val="6EAA7A18"/>
    <w:rsid w:val="6EC224B4"/>
    <w:rsid w:val="70155271"/>
    <w:rsid w:val="71800394"/>
    <w:rsid w:val="71EB34A4"/>
    <w:rsid w:val="729C41F1"/>
    <w:rsid w:val="73B43F8B"/>
    <w:rsid w:val="74C36B48"/>
    <w:rsid w:val="74FE2F63"/>
    <w:rsid w:val="76FC2D3E"/>
    <w:rsid w:val="7807270C"/>
    <w:rsid w:val="7CA119AD"/>
    <w:rsid w:val="7CA31897"/>
    <w:rsid w:val="7CEA0EC3"/>
    <w:rsid w:val="7DD137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semiHidden/>
    <w:unhideWhenUsed/>
    <w:qFormat/>
    <w:uiPriority w:val="99"/>
    <w:pPr>
      <w:spacing w:after="120"/>
      <w:ind w:left="420" w:leftChars="2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2"/>
    <w:link w:val="16"/>
    <w:qFormat/>
    <w:uiPriority w:val="99"/>
    <w:pPr>
      <w:spacing w:after="0"/>
      <w:ind w:left="0" w:leftChars="0" w:firstLine="420" w:firstLineChars="200"/>
    </w:pPr>
    <w:rPr>
      <w:rFonts w:ascii="Calibri" w:hAnsi="Calibri" w:eastAsia="仿宋_GB2312" w:cs="Times New Roman"/>
      <w:sz w:val="36"/>
      <w:szCs w:val="36"/>
    </w:r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0"/>
    <w:rPr>
      <w:sz w:val="18"/>
      <w:szCs w:val="18"/>
    </w:rPr>
  </w:style>
  <w:style w:type="paragraph" w:customStyle="1" w:styleId="12">
    <w:name w:val="Default"/>
    <w:qFormat/>
    <w:uiPriority w:val="99"/>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正文文本缩进 Char"/>
    <w:basedOn w:val="9"/>
    <w:link w:val="2"/>
    <w:semiHidden/>
    <w:qFormat/>
    <w:uiPriority w:val="99"/>
    <w:rPr>
      <w:rFonts w:asciiTheme="minorHAnsi" w:hAnsiTheme="minorHAnsi" w:eastAsiaTheme="minorEastAsia" w:cstheme="minorBidi"/>
      <w:kern w:val="2"/>
      <w:sz w:val="21"/>
      <w:szCs w:val="22"/>
    </w:rPr>
  </w:style>
  <w:style w:type="character" w:customStyle="1" w:styleId="16">
    <w:name w:val="正文首行缩进 2 Char"/>
    <w:basedOn w:val="15"/>
    <w:link w:val="7"/>
    <w:qFormat/>
    <w:uiPriority w:val="99"/>
    <w:rPr>
      <w:rFonts w:ascii="Calibri" w:hAnsi="Calibri" w:eastAsia="仿宋_GB2312"/>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C232D-B3C8-4E8F-AC67-EFD53232663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21264</Words>
  <Characters>15918</Characters>
  <Lines>132</Lines>
  <Paragraphs>74</Paragraphs>
  <TotalTime>232</TotalTime>
  <ScaleCrop>false</ScaleCrop>
  <LinksUpToDate>false</LinksUpToDate>
  <CharactersWithSpaces>37108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2021-07-28T00:12:00Z</cp:lastPrinted>
  <dcterms:modified xsi:type="dcterms:W3CDTF">2021-12-02T08:46:39Z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4202DD17073B433E8D0FE834F1AD2FD7</vt:lpwstr>
  </property>
</Properties>
</file>