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58F5B">
      <w:pPr>
        <w:rPr>
          <w:rFonts w:hint="eastAsia"/>
        </w:rPr>
      </w:pPr>
    </w:p>
    <w:p w14:paraId="769FDB40">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2025年度卢峰镇法治建设工作汇报</w:t>
      </w:r>
    </w:p>
    <w:p w14:paraId="64E9DB66">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楷体_GB2312" w:hAnsi="楷体_GB2312" w:eastAsia="楷体_GB2312" w:cs="楷体_GB2312"/>
          <w:color w:val="auto"/>
          <w:sz w:val="32"/>
          <w:szCs w:val="32"/>
          <w:lang w:val="en-US" w:eastAsia="zh-CN"/>
        </w:rPr>
        <w:t>（2025年11月）</w:t>
      </w:r>
    </w:p>
    <w:p w14:paraId="467370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在县委、县政府的坚强领导和正确指导下，卢峰镇始终坚持以习近平新时代中国特色社会主义思想为根本指引，以深入学习宣传贯彻党的二十大精神为首要政治任务，全面贯彻践行习近平法治思想，毫不动摇坚持党对全面依法治镇各项工作的绝对领导。立足新发展阶段特征，完整、准确、全面贯彻新发展理念，积极服务构建新发展格局，扎实推进依法治镇各项工作走深走实，为深入实施“三高四新”战略提供坚强有力的法治保障。现将本年度法治建设工作情况汇报如下：</w:t>
      </w:r>
    </w:p>
    <w:p w14:paraId="274A48C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一、主要举措及成效</w:t>
      </w:r>
    </w:p>
    <w:p w14:paraId="13C6E1E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（一）聚焦学习教育，强化宣传发动</w:t>
      </w:r>
    </w:p>
    <w:p w14:paraId="236BD4E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 深化理论武装根基。</w:t>
      </w:r>
      <w:r>
        <w:rPr>
          <w:rFonts w:hint="eastAsia" w:ascii="仿宋_GB2312" w:hAnsi="仿宋_GB2312" w:eastAsia="仿宋_GB2312" w:cs="仿宋_GB2312"/>
          <w:sz w:val="32"/>
          <w:szCs w:val="32"/>
        </w:rPr>
        <w:t>将习近平法治思想、习近平总书记关于法治建设的重要指示精神、党中央关于全面依法治国的重大决策部署以及省委关于全面依法治省的最新工作要求作为重点学习内容，纳入镇党委理论学习中心组、党政领导会议及全体干部大会学习计划并常态化推进。全年组织专题学习研讨14场次，着力深化理论认知厚度，持续增强全镇党员干部投身法治建设的思想自觉与行动自觉，有效提升依法执政水平。</w:t>
      </w:r>
    </w:p>
    <w:p w14:paraId="45F3D6B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 拓展普法宣传格局。一是</w:t>
      </w:r>
      <w:r>
        <w:rPr>
          <w:rFonts w:hint="eastAsia" w:ascii="仿宋_GB2312" w:hAnsi="仿宋_GB2312" w:eastAsia="仿宋_GB2312" w:cs="仿宋_GB2312"/>
          <w:sz w:val="32"/>
          <w:szCs w:val="32"/>
        </w:rPr>
        <w:t>持续建强法治宣传队伍。深度整合村（社区）法律顾问、法律服务志愿者及大学生村官力量，充分利用其扎根一线、贴近群众的独特优势，面向基层广泛开展法治宣传教育活动，使之成为化解基层矛盾、延伸普法触角、扩大覆盖范围的中坚力量。充分激发普法联络员的积极性、主动性和创造性，鼓励其深入调研实践，积极探索农村普法新路径、新方法，不断更新工作思路。</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丰富法治宣传形式载体。组织工作人员紧扣节假日、重要纪念日、法律法规颁布日等时间节点，集中开展主题鲜明、形式多样的普法宣传活动，深入宣传《宪法》、《民法典》、《消费者权益保护法》、《安全生产法》、《反有组织犯罪法》、《未成年人保护法》等与群众密切相关的法律法规。本年度成功举办元旦春节送法下乡、大学生“寒暑假”送法下乡、“3.8”妇女权益保障宣传、“3.15”消费者权益保护宣传、“4.15”全民国家安全教育日宣传、五月农村法治宣传月、民法典主题宣传月、“6.26”国际禁毒日宣传、《信访条例》集中宣贯、9月青少年法治宣传周等13场次大型普法活动。举办各类法治讲堂750余课次，开展法治教育进校园活动20次，提供现场法律咨询服务450余人次，召开村（居）民屋场恳谈会90次，累计发放各类普法宣传资料22000余份，有力推动了法治精神深入人心。</w:t>
      </w:r>
    </w:p>
    <w:p w14:paraId="12CD75D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（二）聚焦组织领导，强化责任落实</w:t>
      </w:r>
    </w:p>
    <w:p w14:paraId="67A151F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贯彻落实《党政主要负责人履行推进法治建设第一责任人职责规定》要求，明确镇党政主要负责人为推进法治建设第一责任人的职责定位，层层传导压力，细化分解工作任务，确保主体责任落到实处。设立专门法制工作机构并配备专职工作人员，充分保障法制工作经费投入。镇党委会议、镇政府会议均坚持年度专题研究法治建设工作不少于2次。</w:t>
      </w:r>
    </w:p>
    <w:p w14:paraId="1E46441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 提升政务公开质效。</w:t>
      </w:r>
      <w:r>
        <w:rPr>
          <w:rFonts w:hint="eastAsia" w:ascii="仿宋_GB2312" w:hAnsi="仿宋_GB2312" w:eastAsia="仿宋_GB2312" w:cs="仿宋_GB2312"/>
          <w:sz w:val="32"/>
          <w:szCs w:val="32"/>
        </w:rPr>
        <w:t>加强对政务公开栏、政府门户网站政务公开信息的动态更新与规范化管理，确保涉及群众切身利益的重要信息依法依规、及时准确向社会公开。</w:t>
      </w:r>
    </w:p>
    <w:p w14:paraId="5B6C319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 优化为民服务机制。</w:t>
      </w:r>
      <w:r>
        <w:rPr>
          <w:rFonts w:hint="eastAsia" w:ascii="仿宋_GB2312" w:hAnsi="仿宋_GB2312" w:eastAsia="仿宋_GB2312" w:cs="仿宋_GB2312"/>
          <w:sz w:val="32"/>
          <w:szCs w:val="32"/>
        </w:rPr>
        <w:t>高效运行“百姓呼声”、“12345”政务服务热线办理体系。一方面，完善制度强效能。对热线的接收、转办、催办、督办、答复等环节进行全流程规范与提速，严格落实“马上就办、一次办好”要求，清晰界定工单办理时限、承办主体职责、督办考核标准及信息保密要求，切实提高办事响应速度和执行效率。另一方面，贴近服务增温度。接到热线转办事项后，相关责任人员第一时间与反映人取得联系，深入了解关切的核心问题和具体诉求，精准把握问题症结。在与群众沟通过程中，秉持真诚耐心态度，无论面对何种情况，始终耐心解释、用心疏导，晓之以理、动之以情。通过直面沟通、解决难题，确保群众诉求“件件有着落、事事有回音”。2025年共高效处理“12345”市长热线事项160件，“百姓呼声”、“问政湖南”等平台网络工单67件，群众反馈非常满意率达到90%。</w:t>
      </w:r>
    </w:p>
    <w:p w14:paraId="5179A4B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 健全法律服务体系。一是</w:t>
      </w:r>
      <w:r>
        <w:rPr>
          <w:rFonts w:hint="eastAsia" w:ascii="仿宋_GB2312" w:hAnsi="仿宋_GB2312" w:eastAsia="仿宋_GB2312" w:cs="仿宋_GB2312"/>
          <w:sz w:val="32"/>
          <w:szCs w:val="32"/>
        </w:rPr>
        <w:t>强化政府法律顾问作用。继续聘请专业律师担任政府法律顾问，在规范性文件合法性审查、重大项目洽谈论证、重要合同文本起草修订与审查、代理行政诉讼等方面提供高质量法律意见与支持，从程序源头防范法律风险，有力促进政府决策科学、民主、法治化。本年度法律顾问累计审查各类合同</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份，协助起草合同文本</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份，接受各类法律咨询</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余次。</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深化一村（社区）一法律顾问全覆盖工作。全镇41个村（社区）均与律师事务所签订法律顾问服务合同，由律所派驻专职律师协助村（社区）处理日常法治事务，并为辖区群众无偿提供法律咨询、非诉讼调解、诉讼代理指引等法律援助服务。截至2025年11月底，村（社区）法律顾问坐班服务时长累计达1100余小时，提供现场法律咨询服务450人次，解答村（居）民法律疑问350人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坚持依法执法有温度。在行政执法过程中，秉持“有案必查、违法必究”原则，严格遵循立案、调查取证、事先告知、处罚决定、送达执行等法定程序，确保执法程序环环相扣、严谨规范。在裁量时充分考虑违法事实、情节、后果及社会危害程度，确保法律适用准确、处罚尺度合理、措施运用得当。2025年全年共办结适用简易程序处罚案件</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起，办理一般程序处罚案件</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起，规范办理各类行政许可事项</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件，全年保持行政复议被纠错及行政诉讼败诉“零发生”的良好局面。</w:t>
      </w:r>
    </w:p>
    <w:p w14:paraId="6198696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（三）聚焦社会稳定，强化风险防范</w:t>
      </w:r>
    </w:p>
    <w:p w14:paraId="155346C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紧密围绕新时期信访维稳工作部署要求，充分激发各级调解组织在依法化解社会矛盾纠纷中的基础性、前端性作用，全力推动依法调解理念落地见效。</w:t>
      </w:r>
    </w:p>
    <w:p w14:paraId="7040BB1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 坚持依法依规治访。</w:t>
      </w:r>
      <w:r>
        <w:rPr>
          <w:rFonts w:hint="eastAsia" w:ascii="仿宋_GB2312" w:hAnsi="仿宋_GB2312" w:eastAsia="仿宋_GB2312" w:cs="仿宋_GB2312"/>
          <w:sz w:val="32"/>
          <w:szCs w:val="32"/>
        </w:rPr>
        <w:t>严格执行《信访条例》各项规定，依法保障群众信访权利，畅通规范信访渠道，切实维护信访秩序，压紧压实信访工作责任，着力推动涉法涉诉信访问题在法治轨道内妥善解决。</w:t>
      </w:r>
    </w:p>
    <w:p w14:paraId="69F18DC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 规范群众信访行为。</w:t>
      </w:r>
      <w:r>
        <w:rPr>
          <w:rFonts w:hint="eastAsia" w:ascii="仿宋_GB2312" w:hAnsi="仿宋_GB2312" w:eastAsia="仿宋_GB2312" w:cs="仿宋_GB2312"/>
          <w:sz w:val="32"/>
          <w:szCs w:val="32"/>
        </w:rPr>
        <w:t>积极引导群众依法理性有序表达利益诉求，畅通多元化表达渠道，针对反复缠访闹访、越级信访等突出问题开展专项综合治理，有效维护了信访秩序。全年未发生大规模群体性聚集事件和越级赴省进京上访事件。</w:t>
      </w:r>
    </w:p>
    <w:p w14:paraId="087CFFE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 狠抓矛盾纠纷预防化解。</w:t>
      </w:r>
      <w:r>
        <w:rPr>
          <w:rFonts w:hint="eastAsia" w:ascii="仿宋_GB2312" w:hAnsi="仿宋_GB2312" w:eastAsia="仿宋_GB2312" w:cs="仿宋_GB2312"/>
          <w:sz w:val="32"/>
          <w:szCs w:val="32"/>
        </w:rPr>
        <w:t>今年来，为全面加强矛盾纠纷多元化解体系建设，在全镇41个村（社区）大力推广应用怀化市市域社会治理信息平台（掌上基层APP）</w:t>
      </w:r>
      <w:r>
        <w:rPr>
          <w:rFonts w:hint="eastAsia" w:ascii="仿宋_GB2312" w:hAnsi="仿宋_GB2312" w:eastAsia="仿宋_GB2312" w:cs="仿宋_GB2312"/>
          <w:sz w:val="32"/>
          <w:szCs w:val="32"/>
          <w:lang w:eastAsia="zh-CN"/>
        </w:rPr>
        <w:t>与省矛盾纠纷平台（湘矛调）</w:t>
      </w:r>
      <w:r>
        <w:rPr>
          <w:rFonts w:hint="eastAsia" w:ascii="仿宋_GB2312" w:hAnsi="仿宋_GB2312" w:eastAsia="仿宋_GB2312" w:cs="仿宋_GB2312"/>
          <w:sz w:val="32"/>
          <w:szCs w:val="32"/>
        </w:rPr>
        <w:t>，实现了矛盾纠纷信息的实时录入上报，并由镇综治中心统一研判分流至相关责任单位和责任人进行调处化解。同时，通过深入开展《卢峰镇矛盾纠纷集中排查化解专项行动》、《春节期间返乡人员矛盾纠纷集中排查化解专项行动》、《卢峰镇婚姻家庭纠纷专项排查化解行动》</w:t>
      </w:r>
      <w:r>
        <w:rPr>
          <w:rFonts w:hint="eastAsia" w:ascii="仿宋_GB2312" w:hAnsi="仿宋_GB2312" w:eastAsia="仿宋_GB2312" w:cs="仿宋_GB2312"/>
          <w:sz w:val="32"/>
          <w:szCs w:val="32"/>
          <w:lang w:eastAsia="zh-CN"/>
        </w:rPr>
        <w:t>《卢峰镇</w:t>
      </w:r>
      <w:r>
        <w:rPr>
          <w:rFonts w:hint="eastAsia" w:ascii="仿宋_GB2312" w:hAnsi="仿宋_GB2312" w:eastAsia="仿宋_GB2312" w:cs="仿宋_GB2312"/>
          <w:sz w:val="32"/>
          <w:szCs w:val="32"/>
        </w:rPr>
        <w:t>摸排化解流动人口、老年群体</w:t>
      </w:r>
      <w:r>
        <w:rPr>
          <w:rFonts w:hint="eastAsia" w:ascii="仿宋_GB2312" w:hAnsi="仿宋_GB2312" w:eastAsia="仿宋_GB2312" w:cs="仿宋_GB2312"/>
          <w:sz w:val="32"/>
          <w:szCs w:val="32"/>
          <w:lang w:eastAsia="zh-CN"/>
        </w:rPr>
        <w:t>矛盾纠纷》《卢峰镇“化解矛盾纠纷</w:t>
      </w:r>
      <w:r>
        <w:rPr>
          <w:rFonts w:hint="eastAsia" w:ascii="仿宋_GB2312" w:hAnsi="仿宋_GB2312" w:eastAsia="仿宋_GB2312" w:cs="仿宋_GB2312"/>
          <w:sz w:val="32"/>
          <w:szCs w:val="32"/>
          <w:lang w:val="en-US" w:eastAsia="zh-CN"/>
        </w:rPr>
        <w:t xml:space="preserve"> 维护社会稳定</w:t>
      </w:r>
      <w:r>
        <w:rPr>
          <w:rFonts w:hint="eastAsia" w:ascii="仿宋_GB2312" w:hAnsi="仿宋_GB2312" w:eastAsia="仿宋_GB2312" w:cs="仿宋_GB2312"/>
          <w:sz w:val="32"/>
          <w:szCs w:val="32"/>
          <w:lang w:eastAsia="zh-CN"/>
        </w:rPr>
        <w:t>”专项治理行动》五</w:t>
      </w:r>
      <w:r>
        <w:rPr>
          <w:rFonts w:hint="eastAsia" w:ascii="仿宋_GB2312" w:hAnsi="仿宋_GB2312" w:eastAsia="仿宋_GB2312" w:cs="仿宋_GB2312"/>
          <w:sz w:val="32"/>
          <w:szCs w:val="32"/>
        </w:rPr>
        <w:t>大专项工作，牢牢守住安全稳定底线。全年成功排查调处各类矛盾纠纷合计</w:t>
      </w:r>
      <w:r>
        <w:rPr>
          <w:rFonts w:hint="eastAsia" w:ascii="仿宋_GB2312" w:hAnsi="仿宋_GB2312" w:eastAsia="仿宋_GB2312" w:cs="仿宋_GB2312"/>
          <w:sz w:val="32"/>
          <w:szCs w:val="32"/>
          <w:lang w:val="en-US" w:eastAsia="zh-CN"/>
        </w:rPr>
        <w:t>985</w:t>
      </w:r>
      <w:r>
        <w:rPr>
          <w:rFonts w:hint="eastAsia" w:ascii="仿宋_GB2312" w:hAnsi="仿宋_GB2312" w:eastAsia="仿宋_GB2312" w:cs="仿宋_GB2312"/>
          <w:sz w:val="32"/>
          <w:szCs w:val="32"/>
        </w:rPr>
        <w:t>起（其中，化解疑难复杂纠纷35起，镇级人民调解委员会直接调处重大纠纷5起），确保了辖区无重大刑事恶性案件发生，无因民间纠纷激化引发的“民转刑”命案发生。</w:t>
      </w:r>
    </w:p>
    <w:p w14:paraId="558190F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（四）聚焦以人为本，提升群众满意度</w:t>
      </w:r>
    </w:p>
    <w:p w14:paraId="3FA0BA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深刻认识到法治建设群众满意度是检验法治工作实绩的“晴雨表”，始终坚持将学习成果转化为增强人民群众法治获得感、幸福感、安全感的实际行动。</w:t>
      </w:r>
    </w:p>
    <w:p w14:paraId="1111977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 精准查找问题短板。</w:t>
      </w:r>
      <w:r>
        <w:rPr>
          <w:rFonts w:hint="eastAsia" w:ascii="仿宋_GB2312" w:hAnsi="仿宋_GB2312" w:eastAsia="仿宋_GB2312" w:cs="仿宋_GB2312"/>
          <w:sz w:val="32"/>
          <w:szCs w:val="32"/>
        </w:rPr>
        <w:t>深入检视法治建设满意度工作中存在的思想认识尚有偏差、宣传引导不够深入、责任压力传导不够到位等薄弱环节，明确“直指问题、精准发力、压实责任、务求实效”的工作思路，着力在补短板、强弱项、堵漏洞上下功夫，切实推动法治建设整体水平有效提升。</w:t>
      </w:r>
    </w:p>
    <w:p w14:paraId="6AC3422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 建立健全整改闭环。</w:t>
      </w:r>
      <w:r>
        <w:rPr>
          <w:rFonts w:hint="eastAsia" w:ascii="仿宋_GB2312" w:hAnsi="仿宋_GB2312" w:eastAsia="仿宋_GB2312" w:cs="仿宋_GB2312"/>
          <w:sz w:val="32"/>
          <w:szCs w:val="32"/>
        </w:rPr>
        <w:t>针对查找出的问题，逐一明确责任分工，及时研究制定操作性强的整改方案，细化明确分管领导、责任单位及具体责任人，构建职责清晰、任务明确、措施有力、限时办结的整改落实机制。围绕维护社会大局稳定、促进社会公平正义、保障人民群众安居乐业、解决群众法治领域急难愁盼问题等方面，力求拿出过硬举措、管用实招，确保问题真整改、群众真满意。</w:t>
      </w:r>
    </w:p>
    <w:p w14:paraId="5A9659B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二、2026年度推进法治政府建设主要安排</w:t>
      </w:r>
    </w:p>
    <w:p w14:paraId="213816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足新起点，面向新要求，推进法治政府建设使命在肩、任务艰巨。2026年，卢峰镇将坚定不移以习近平法治思想为统领，全面推进法治卢峰建设各项工作，以持续提升基层政府依法行政能力和水平为根本导向，强化担当作为，锐意创新进取，确保法治建设各项任务落地生根、取得实效。</w:t>
      </w:r>
    </w:p>
    <w:p w14:paraId="0292284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（一）持续深化法治教育培训，全面提升依法行政素养与能力</w:t>
      </w:r>
    </w:p>
    <w:p w14:paraId="72F41AF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要持续用力抓好领导干部这个“关键少数”的学法用法工作，将提升依法执政能力作为重中之重。加大机关工作人员法律知识培训和业务能力培养力度，全面提升其法律素养和运用法治思维、法治方式解决实际问题的能力。引导领导干部牢固树立宪法法律至上、法律面前人人平等、权由法定、权依法使等法治理念，在处理经济社会发展事务、协调化解矛盾纠纷时，自觉尊法、善于用法。</w:t>
      </w:r>
      <w:r>
        <w:rPr>
          <w:rFonts w:hint="eastAsia" w:ascii="仿宋_GB2312" w:hAnsi="仿宋_GB2312" w:eastAsia="仿宋_GB2312" w:cs="仿宋_GB2312"/>
          <w:b/>
          <w:bCs/>
          <w:sz w:val="32"/>
          <w:szCs w:val="32"/>
        </w:rPr>
        <w:t>二要</w:t>
      </w:r>
      <w:r>
        <w:rPr>
          <w:rFonts w:hint="eastAsia" w:ascii="仿宋_GB2312" w:hAnsi="仿宋_GB2312" w:eastAsia="仿宋_GB2312" w:cs="仿宋_GB2312"/>
          <w:sz w:val="32"/>
          <w:szCs w:val="32"/>
        </w:rPr>
        <w:t>持之以恒抓好面向广大群众的基础法治宣传教育工作，重点扫除农村法治宣传教育的薄弱区域。不断创新运用灵活多样、群众喜闻乐见的宣传形式和载体载体，广泛深入宣传国家法律法规和依法行政理念，引导群众学法、懂法、守法，增强依法维护自身合法权益的意识和能力。</w:t>
      </w:r>
    </w:p>
    <w:p w14:paraId="4C483A1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（二）突出深化村民自治实践，强化法治政府建设的基层基础</w:t>
      </w:r>
    </w:p>
    <w:p w14:paraId="6F627DF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进一步指导修订完善务实管用的村规民约、持续深化村务财务公开透明工作、坚决落实村级重大事项决策“四议两公开一监督”程序等有效途径，充分发挥村务监督委员会的监督质效。切实提升村民在基层治理中的自我管理、自我服务、自我教育、自我监督水平，增强其尊法学法守法用法的自觉性和主动性，努力营造人人关心、支持、参与村级治理和法治建设的良好氛围，稳步推进基层民主法治建设进程。</w:t>
      </w:r>
    </w:p>
    <w:p w14:paraId="1A55F6F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（三）着力完善长效机制建设，推动廉洁高效法治政府行稳致远</w:t>
      </w:r>
    </w:p>
    <w:p w14:paraId="61CF353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紧紧围绕建设“职能科学、权责法定、执法严明、公开公正、廉洁高效、守法诚信”法治政府的总体目标，持续在体制机制建设上发力深耕。通过深化行政审批制度改革，提升政务服务系统便捷度和效能；健全政府法律顾问长效参与机制，完善重大行政决策程序规定，保障决策科学合法；加强对行政规范性文件的监督管理，强化重点领域行政执法的监督力度，不断改进执法方式；健全完善政府系统内部层级监督机制，强化对行政权力运行的制约和监督；全面推进决策、执行、管理、服务、结果全过程公开，以公开促规范、促廉洁、促效能，不断巩固和发展政府廉政建设良好局面。</w:t>
      </w:r>
    </w:p>
    <w:p w14:paraId="00CEFB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p>
    <w:p w14:paraId="77E360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bookmarkStart w:id="0" w:name="_GoBack"/>
      <w:bookmarkEnd w:id="0"/>
    </w:p>
    <w:p w14:paraId="78382176">
      <w:pPr>
        <w:numPr>
          <w:ilvl w:val="0"/>
          <w:numId w:val="0"/>
        </w:numPr>
        <w:ind w:firstLine="5120" w:firstLineChars="1600"/>
        <w:jc w:val="both"/>
        <w:rPr>
          <w:rFonts w:hint="eastAsia" w:ascii="仿宋_GB2312" w:hAnsi="仿宋_GB2312" w:eastAsia="仿宋_GB2312" w:cs="仿宋_GB2312"/>
          <w:b w:val="0"/>
          <w:bCs w:val="0"/>
          <w:sz w:val="32"/>
          <w:szCs w:val="32"/>
          <w:lang w:val="en-US" w:eastAsia="zh-CN"/>
        </w:rPr>
      </w:pPr>
    </w:p>
    <w:p w14:paraId="6854C90F">
      <w:pPr>
        <w:numPr>
          <w:ilvl w:val="0"/>
          <w:numId w:val="0"/>
        </w:numPr>
        <w:ind w:firstLine="5120" w:firstLineChars="16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中共溆浦县卢峰镇委员会 </w:t>
      </w:r>
    </w:p>
    <w:p w14:paraId="14325FC6">
      <w:pPr>
        <w:numPr>
          <w:ilvl w:val="0"/>
          <w:numId w:val="0"/>
        </w:numPr>
        <w:ind w:firstLine="1600" w:firstLineChars="5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溆浦县卢峰镇人民政府</w:t>
      </w:r>
    </w:p>
    <w:p w14:paraId="60C05189">
      <w:pPr>
        <w:numPr>
          <w:ilvl w:val="0"/>
          <w:numId w:val="0"/>
        </w:numPr>
        <w:ind w:firstLine="1600" w:firstLineChars="500"/>
        <w:jc w:val="both"/>
        <w:rPr>
          <w:rFonts w:hint="eastAsia" w:ascii="仿宋" w:hAnsi="仿宋" w:eastAsia="仿宋" w:cs="仿宋"/>
          <w:b/>
          <w:bCs/>
          <w:sz w:val="32"/>
          <w:szCs w:val="32"/>
          <w:lang w:val="en-US" w:eastAsia="zh-CN"/>
        </w:rPr>
      </w:pPr>
      <w:r>
        <w:rPr>
          <w:rFonts w:hint="eastAsia" w:ascii="仿宋_GB2312" w:hAnsi="仿宋_GB2312" w:eastAsia="仿宋_GB2312" w:cs="仿宋_GB2312"/>
          <w:b w:val="0"/>
          <w:bCs w:val="0"/>
          <w:sz w:val="32"/>
          <w:szCs w:val="32"/>
          <w:lang w:val="en-US" w:eastAsia="zh-CN"/>
        </w:rPr>
        <w:t xml:space="preserve">                         2025年11月18日</w:t>
      </w:r>
    </w:p>
    <w:sectPr>
      <w:headerReference r:id="rId3" w:type="default"/>
      <w:footerReference r:id="rId4" w:type="default"/>
      <w:pgSz w:w="11906" w:h="16838"/>
      <w:pgMar w:top="1701" w:right="1502" w:bottom="1531" w:left="1502"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5D2D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1BD80">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41BD80">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4E070">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7E0F29"/>
    <w:rsid w:val="08A22E01"/>
    <w:rsid w:val="1ACF25B4"/>
    <w:rsid w:val="687E0F29"/>
    <w:rsid w:val="6BB370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4114</Words>
  <Characters>4209</Characters>
  <Lines>0</Lines>
  <Paragraphs>0</Paragraphs>
  <TotalTime>1</TotalTime>
  <ScaleCrop>false</ScaleCrop>
  <LinksUpToDate>false</LinksUpToDate>
  <CharactersWithSpaces>4269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2025-11-19T02:39:00Z</dcterms:created>
  <dc:creator>patrick</dc:creator>
  <cp:lastModifiedBy>patrick</cp:lastModifiedBy>
  <dcterms:modified xsi:type="dcterms:W3CDTF">2025-11-19T07:50:56Z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4482CF9522344B80BED07FE7B3843447_11</vt:lpwstr>
  </property>
  <property fmtid="{D5CDD505-2E9C-101B-9397-08002B2CF9AE}" pid="4" name="KSOTemplateDocerSaveRecord">
    <vt:lpwstr>eyJoZGlkIjoiZGRjNzAxZWViODNiOTJlMzEyNzgzOWUzZGE2MDRmNTMiLCJ1c2VySWQiOiI1OTI3MjEyMTAifQ==</vt:lpwstr>
  </property>
</Properties>
</file>