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sz w:val="56"/>
          <w:szCs w:val="56"/>
        </w:rPr>
      </w:pPr>
    </w:p>
    <w:p>
      <w:pPr>
        <w:pStyle w:val="10"/>
        <w:jc w:val="center"/>
        <w:rPr>
          <w:sz w:val="56"/>
          <w:szCs w:val="56"/>
        </w:rPr>
      </w:pPr>
    </w:p>
    <w:p>
      <w:pPr>
        <w:pStyle w:val="10"/>
        <w:jc w:val="center"/>
        <w:rPr>
          <w:sz w:val="84"/>
          <w:szCs w:val="84"/>
        </w:rPr>
      </w:pPr>
    </w:p>
    <w:p>
      <w:pPr>
        <w:pStyle w:val="10"/>
        <w:jc w:val="center"/>
        <w:rPr>
          <w:sz w:val="84"/>
          <w:szCs w:val="84"/>
        </w:rPr>
      </w:pPr>
    </w:p>
    <w:p>
      <w:pPr>
        <w:pStyle w:val="10"/>
        <w:jc w:val="center"/>
        <w:rPr>
          <w:sz w:val="84"/>
          <w:szCs w:val="84"/>
        </w:rPr>
      </w:pPr>
      <w:r>
        <w:rPr>
          <w:rFonts w:hint="eastAsia"/>
          <w:sz w:val="84"/>
          <w:szCs w:val="84"/>
        </w:rPr>
        <w:t>2020年度</w:t>
      </w:r>
    </w:p>
    <w:p>
      <w:pPr>
        <w:pStyle w:val="10"/>
        <w:jc w:val="center"/>
        <w:rPr>
          <w:sz w:val="84"/>
          <w:szCs w:val="84"/>
        </w:rPr>
      </w:pPr>
      <w:r>
        <w:rPr>
          <w:rFonts w:hint="eastAsia"/>
          <w:sz w:val="84"/>
          <w:szCs w:val="84"/>
        </w:rPr>
        <w:t>溆浦工业集中区管理委员会部门决算</w:t>
      </w:r>
    </w:p>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32"/>
          <w:szCs w:val="32"/>
        </w:rPr>
      </w:pPr>
    </w:p>
    <w:p>
      <w:pPr>
        <w:pStyle w:val="10"/>
        <w:jc w:val="center"/>
        <w:rPr>
          <w:sz w:val="32"/>
          <w:szCs w:val="32"/>
        </w:rPr>
      </w:pPr>
    </w:p>
    <w:p>
      <w:pPr>
        <w:pStyle w:val="10"/>
        <w:jc w:val="center"/>
        <w:rPr>
          <w:sz w:val="32"/>
          <w:szCs w:val="32"/>
        </w:rPr>
      </w:pPr>
    </w:p>
    <w:p>
      <w:pPr>
        <w:pStyle w:val="10"/>
        <w:jc w:val="center"/>
        <w:rPr>
          <w:sz w:val="32"/>
          <w:szCs w:val="32"/>
        </w:rPr>
      </w:pPr>
    </w:p>
    <w:p>
      <w:pPr>
        <w:pStyle w:val="10"/>
        <w:spacing w:line="540" w:lineRule="exact"/>
        <w:jc w:val="center"/>
        <w:rPr>
          <w:sz w:val="56"/>
          <w:szCs w:val="56"/>
        </w:rPr>
      </w:pPr>
    </w:p>
    <w:p>
      <w:pPr>
        <w:pStyle w:val="10"/>
        <w:spacing w:line="500" w:lineRule="exact"/>
        <w:jc w:val="center"/>
        <w:rPr>
          <w:b/>
          <w:sz w:val="36"/>
          <w:szCs w:val="28"/>
        </w:rPr>
      </w:pPr>
    </w:p>
    <w:p>
      <w:pPr>
        <w:pStyle w:val="10"/>
        <w:spacing w:line="500" w:lineRule="exact"/>
        <w:jc w:val="center"/>
        <w:rPr>
          <w:b/>
          <w:sz w:val="36"/>
          <w:szCs w:val="28"/>
        </w:rPr>
      </w:pPr>
    </w:p>
    <w:p>
      <w:pPr>
        <w:pStyle w:val="10"/>
        <w:spacing w:line="500" w:lineRule="exact"/>
        <w:jc w:val="center"/>
        <w:rPr>
          <w:b/>
          <w:sz w:val="36"/>
          <w:szCs w:val="28"/>
        </w:rPr>
      </w:pPr>
      <w:r>
        <w:rPr>
          <w:rFonts w:hint="eastAsia"/>
          <w:b/>
          <w:sz w:val="36"/>
          <w:szCs w:val="28"/>
        </w:rPr>
        <w:t>目录</w:t>
      </w:r>
    </w:p>
    <w:p>
      <w:pPr>
        <w:pStyle w:val="10"/>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溆浦工业集中区管理委员会</w:t>
      </w:r>
      <w:r>
        <w:rPr>
          <w:rFonts w:hint="eastAsia"/>
          <w:b/>
          <w:sz w:val="28"/>
          <w:szCs w:val="28"/>
        </w:rPr>
        <w:t>概况</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20年度部门决算表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20年度部门决算情况说明</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七、一般公共预算财政拨款三公经费支出决算情况说明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关于机关运行经费支出说明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十一、关于政府采购支出说明</w:t>
      </w:r>
    </w:p>
    <w:p>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十二、关于国有资产占用情况说明</w:t>
      </w:r>
    </w:p>
    <w:p>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十三、关</w:t>
      </w:r>
      <w:r>
        <w:rPr>
          <w:rFonts w:hint="eastAsia" w:cs="仿宋_GB2312" w:asciiTheme="minorEastAsia" w:hAnsiTheme="minorEastAsia" w:eastAsiaTheme="minorEastAsia"/>
          <w:sz w:val="28"/>
          <w:szCs w:val="28"/>
        </w:rPr>
        <w:t>于2020年</w:t>
      </w:r>
      <w:r>
        <w:rPr>
          <w:rFonts w:hint="eastAsia" w:ascii="仿宋_GB2312" w:hAnsi="仿宋_GB2312" w:cs="仿宋_GB2312" w:eastAsiaTheme="minorEastAsia"/>
          <w:sz w:val="28"/>
          <w:szCs w:val="28"/>
        </w:rPr>
        <w:t>度预算绩效情况的说明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10"/>
        <w:jc w:val="center"/>
        <w:rPr>
          <w:sz w:val="84"/>
          <w:szCs w:val="84"/>
        </w:rPr>
      </w:pPr>
      <w:r>
        <w:rPr>
          <w:rFonts w:hint="eastAsia"/>
          <w:sz w:val="84"/>
          <w:szCs w:val="84"/>
        </w:rPr>
        <w:t>第一部分</w:t>
      </w:r>
      <w:r>
        <w:rPr>
          <w:sz w:val="84"/>
          <w:szCs w:val="84"/>
        </w:rPr>
        <w:t xml:space="preserve"> </w:t>
      </w:r>
    </w:p>
    <w:p>
      <w:pPr>
        <w:pStyle w:val="10"/>
        <w:jc w:val="center"/>
        <w:rPr>
          <w:sz w:val="84"/>
          <w:szCs w:val="84"/>
        </w:rPr>
      </w:pPr>
    </w:p>
    <w:p>
      <w:pPr>
        <w:pStyle w:val="10"/>
        <w:jc w:val="center"/>
        <w:rPr>
          <w:sz w:val="84"/>
          <w:szCs w:val="84"/>
        </w:rPr>
      </w:pPr>
      <w:r>
        <w:rPr>
          <w:rFonts w:hint="eastAsia"/>
          <w:sz w:val="84"/>
          <w:szCs w:val="84"/>
        </w:rPr>
        <w:t>溆浦工业集中区管理委员会单位概况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1"/>
        <w:ind w:left="720" w:firstLine="0" w:firstLineChars="0"/>
        <w:jc w:val="left"/>
        <w:rPr>
          <w:rFonts w:ascii="黑体" w:hAnsi="黑体" w:eastAsia="黑体"/>
          <w:sz w:val="32"/>
          <w:szCs w:val="32"/>
        </w:rPr>
      </w:pPr>
    </w:p>
    <w:p>
      <w:pPr>
        <w:pStyle w:val="11"/>
        <w:ind w:left="720" w:firstLine="0" w:firstLineChars="0"/>
        <w:jc w:val="left"/>
        <w:rPr>
          <w:rFonts w:ascii="黑体" w:hAnsi="黑体" w:eastAsia="黑体"/>
          <w:sz w:val="32"/>
          <w:szCs w:val="32"/>
        </w:rPr>
      </w:pPr>
    </w:p>
    <w:p>
      <w:pPr>
        <w:pStyle w:val="11"/>
        <w:ind w:left="720" w:firstLine="0" w:firstLineChars="0"/>
        <w:jc w:val="left"/>
        <w:rPr>
          <w:rFonts w:ascii="黑体" w:hAnsi="黑体" w:eastAsia="黑体"/>
          <w:sz w:val="32"/>
          <w:szCs w:val="32"/>
        </w:rPr>
      </w:pPr>
    </w:p>
    <w:p>
      <w:pPr>
        <w:pStyle w:val="11"/>
        <w:numPr>
          <w:ilvl w:val="0"/>
          <w:numId w:val="1"/>
        </w:numPr>
        <w:ind w:firstLineChars="0"/>
        <w:jc w:val="left"/>
        <w:rPr>
          <w:rFonts w:hint="eastAsia" w:ascii="黑体" w:hAnsi="黑体" w:eastAsia="黑体" w:cstheme="minorBidi"/>
          <w:bCs/>
          <w:kern w:val="0"/>
          <w:sz w:val="32"/>
          <w:szCs w:val="32"/>
          <w:lang w:val="en-US" w:eastAsia="zh-CN" w:bidi="ar-SA"/>
        </w:rPr>
      </w:pPr>
      <w:r>
        <w:rPr>
          <w:rFonts w:ascii="黑体" w:hAnsi="黑体" w:eastAsia="黑体"/>
          <w:sz w:val="32"/>
          <w:szCs w:val="32"/>
        </w:rPr>
        <w:t>部门职责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溆浦工业集中区党工委、管委会作为溆浦县委、县人民政府派出机构，行使派出职能职权，属正科级事业单位。其内设部门主要职能职责如下：</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（一）行政事务部（党政办）工作职责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1、认真贯彻执行党和国家制定的各项方针政策，掌握工业园区总体工作情况，协助领导处理各项行政社会事务、搞好业务工作的综合协调。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2、负责文电、秘书、机要、保密、信息综合、档案、印章管理、外事、接待、办公自动化及后勤保障、行政事务工作，做好来文来电收发、登记、传递、交办、督办、建档和存查等工作。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3、负责草拟全委工作计划、总结、重要文件、简报等文字材料，做好信息、网络管理维护和通报简讯工作。审核把关各部门以管委会名义上报、下发的文字材料。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4、负责管委会各项规章制度的制定与监督执行、考勤统计、效能优化、机关综合考评、年度总结评比和表彰工作。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5、负责协调各部门的关系，加强协作配合做好衔接协调工作。组织收集和了解各部门的工作动态，掌握主要活动情况，为领导决策提供意见和建议。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6、负责管委会领导班子决定事项的安排、督查与落实工作。 指导和协调物业管理者开展工作，协助水电管理员收取水电费。</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7、负责接待、来信来访、印鉴管理使用、报刊分送、非基建类固定资产及物业管理等工作。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8、负责领导和综合会议和活动的筹备、组织工作，做好会议记录纪要。协助部门筹备其他专项会务。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9、负责党务、纪监、人大、政协、宣传、教育、民宗、扶贫、环境卫生、计划生育、群团组织等日常工作。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10、完成领导交办的其他工作。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（二）人力资源部工作职责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1、负责园区人力资源战略规划的编制、年度工作计划的制定和实施。</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2、负责管委会机构编制、干部职工年度绩效考核、人事考核管理服务等工作。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3、负责聘用人员的招聘、录用、调配、薪酬福利、社会保险、劳动关系管理等工作。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4、负责园区就业指导、服务和管理以及劳动保障监察、劳动争议仲裁工作，监督和指导企业规范用工。</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5、承担园区公共就业服务职能，组织开展人力资源招聘活动，建立人才储备库，协助企业招工，负责园区职业技能培训、就业与失业管理、人力资源相关统计工作。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6、完成领导交办的其他工作。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（三）工程部工作职责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1、负责组织实施园区总体规划和控制性详规。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2、根据园区年度工作目标，负责拟定工程建设计划和办理园区各类建设项目的可研、立项、勘察、设计以及各阶段的报件审批工作。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3、负责园区内基础设施及项目建设的选址、规划审查、档案管理工作。提供规划设计条件，审查规划设计方案。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4、负责园区基础设施、公共建设的管理，包括水、电、路、通信、绿化等配套设施的建设、维护和管理工作。协助办理土地、房产、物业等相关手续，协助做好企业装修、电梯、水电、通信等基建设施设备管理使用等服务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5、负责园区内的勘察测绘、建设工程、工程管线的放线管理协调工作，协助和配合县有关局完成工业园区内各类规划的编制、修编、调编工作。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6、负责项目施工现场管理、工程验收和工地清场，基础设施和绿化等补损工作。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7、负责建设项目施工前的招投标工作、合同、工程造价管理工作，全面履行工程项目责任制，对工程质量、安全、进度进行监督管理；协助做好园区建设中土地征用和搬迁安置工作。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8、负责协助入园企业按照园区的总体规划搞好企业内部建设规划及施工标准。督促指导自建企业基建、绿化等，提高容积率、利用率，对不符合规定的企业依法处置。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9、负责园区建筑工程初步审查，对工程勘察设计图纸组织审查、论证，力求做到安全、经济、适用。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10、完成领导交办的其他工作。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（四）征地安置部工作职责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1、负责园区征地和施工临时用地工作。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2、负责办理园区土地报批（含林地许可）、供地和不动产登记等相关手续工作。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3、负责土地征收政策调查研究，熟悉掌握有关法律法规，配合地方征地部门做好地方老百姓的工作。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4、负责制定和组织实施园区征地、搬迁、安置工作方案及有关细则，并做好土地征地搬迁工作所涉相关文件资料档案和台帐的收集和整理工作；完成征地相关报表的统计和上报工作，给领导提供可靠的征地搬迁数据资料。</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5、协助做好土地丈量、政策宣传和处理工作，及时掌握补偿资金发放情况以及相关特殊问题的处理情况。</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6、协助土地行政主管部门妥善、及时处理征地遗留和信访问题，协调解决相关问题。</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7、完成领导交办的其他工作。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（五）招商服务部工作职责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1、负责拟制有关招商引资及入园企业优惠政策文件，制定园区企业办事规程。</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2、负责园区招商引资的日常工作，制定和实施园区招商计划，并做好总结分析。做好招商会务工作，参加招商考察活动，积极宣传园区投资环境和营商环境，撰写招商考察报告，提高招商实效。</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3、负责招商信息的捕捉、收集、整理及分析，及时掌握相关政策及法律法规,为投资者提供投资政策、产业政策、优惠政策、投资信息等高效优质服务。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4、负责组织入园招商项目的审核、考察、洽谈、跟进、签约及商务活动等服务相关工作，并监督协议履行情况，确保入区项目符合园区招商原则和入园标准。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5、负责及时了解企业生产经营状况，协调配合解决涉企的一切正当诉求及困难问题，为企业提供“保姆式”服务。内设涉税问题协助员。</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6、负责园区招商项目的编写、上报和项目库的建立、收集、分类、整理、完善及所有企业信息归档工作，建立园区企业基础信息库。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7、负责入园企业的日常管理服务，协调服务购地企业建设、租标准厂房企业的装修，机器设备的安装和开业投产经营等，为租标准厂房的企业装修方案（含环保、安全消防方案）报备后发放厂房钥匙，指导分配企业员工租住倒班宿舍房间，收取租金、物业管理费涉企相关费用等。</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8、完成领导交办的其他工作。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（六）产业发展部工作职责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1、负责组织编制园区产业规划，做好产业发展政策的研究与落实，提出园区产业发展的具体实施意见。研制和牵头实施园区经济和社会发展中长期发展规划和年度计划。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2、负责园区项目融资、经济管理、年度绩效考核涉相关内容、贸易和技术、产业发展工作。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3、负责园区信息平台建设与管理，产业项目环境保护审查及监测管理服务工作；负责建立产业发展项目库和信息库等工作。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4、负责对园区内企业实施宏观指导和管理工作。抓好入园企业技术改进、技术创新、品牌建设和相关认证等相关工作。为园区及入区项目申请相关政策扶持资金，做好项目财政补贴资金的申报及绩效考核工作。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5、负责入园企业经济运行的指导和协调工作，对园区企业经济指标进行统计、分析和综合上报，进行各种经济指标的监测、预测、信息收集工作，撰写经济运行分析，为领导提供决策参考。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6、掌握园区产业发展态势和基本情况，负责园区企业的基本情况统计、建档和企业的动态管理工作。做好园区环境保护和节能减排等工作。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7、完成领导交办的其他工作。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（七）财务部工作职责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1、执行国家财经纪律，建立健全财务管理制度和内控制度。做好财务、物资的核算以及财政资金的年初预算、年终决算工作。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2、负责管委会、投资公司财务工作，拟订财务管理制度并做好宣传和管理工作。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3、负责财会分析、报表编制及经济指标的考核，如实反映财务状况，及时提供真实可靠的信息。</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4、负责财务管理、债务管理、费用收支及管理货币资金，办理日常会计业务和纳、免税工作，协助收取水电、物业租金等。规范会计基础工作，及时做好报帐、记帐、算帐、复查核对工作，做到手续完备、内容真实、数字准确、帐目清晰、日清月结、帐表相符，负责清理债权债务。</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5、监督检查各项财务收支计划和指标的完成情况，严格计划用款和报批手续，发现经济管理薄弱环节，及时向领导提出管理意见和建议。</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6、负责项目资金的申报与绩效管理，参与企业奖补资金的申报与审核工作（企业奖补资金的申报与绩效管理以产业发展部为主）。</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7、完成领导交办的其他工作。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（八）安保协调部（保安）工作职责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1、负责宣传贯彻国家安全生产法律、法规、规章、国家标准、行业标准及安全生产方针政策。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2、负责拟定安全生产年度工作计划、目标任务、工作措施和考核办法，并督促落实有关工作。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3、负责综合监督管理本园区安全生产工作，做好安全生产宣传、指导、检查及预防工作，督促园区生产经营单位做好安全生产工作。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4、负责协调有关单位强化对园区生产经营单位经常性排查，督促按时整改安全隐患并及时汇总上报。协助上级安全生产监管部门开展生产安全事故调查，组织或协助事故单位做好善后处理工作。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5、负责建立健全并严格落实安全生产管理台账、文书资料、工作记录和数据统计制度，及时汇总上报安全生产信息和统计资料。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6、负责园区安全保卫和矛盾纠纷的处理协调工作，加强对园区道路、停车场等户外公共区域的巡逻检查，监管乱停乱倒，维护园区秩序。</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7、负责信访、森林防火、安保应急等工作。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8、完成领导交办的其他工作。 </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（九）警务室工作职责</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1、负责承接县公安局派出所在园区的相关职能工作。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2、负责园区政法、治安警务、司法普法、禁毒、防邪教、社会稳定、综合治理及其信访等事务工作。</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3、组织开展法制宣传教育、综治走访、预防和减少园区违法犯罪活动。</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4、负责园区流动人口和员工宿舍等集住区域治安管理。</w:t>
      </w:r>
    </w:p>
    <w:p>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5、完成领导交办的其他工作。</w:t>
      </w:r>
    </w:p>
    <w:p>
      <w:pPr>
        <w:jc w:val="left"/>
        <w:rPr>
          <w:rFonts w:ascii="仿宋_GB2312" w:eastAsia="仿宋_GB2312" w:hAnsiTheme="minorEastAsia"/>
          <w:sz w:val="28"/>
          <w:szCs w:val="32"/>
        </w:rPr>
      </w:pPr>
    </w:p>
    <w:p>
      <w:pPr>
        <w:widowControl/>
        <w:numPr>
          <w:ilvl w:val="0"/>
          <w:numId w:val="2"/>
        </w:numPr>
        <w:spacing w:line="600" w:lineRule="exact"/>
        <w:rPr>
          <w:rFonts w:hint="eastAsia" w:ascii="黑体" w:hAnsi="黑体" w:eastAsia="黑体"/>
          <w:bCs/>
          <w:kern w:val="0"/>
          <w:sz w:val="32"/>
          <w:szCs w:val="32"/>
        </w:rPr>
      </w:pPr>
      <w:r>
        <w:rPr>
          <w:rFonts w:hint="eastAsia" w:ascii="黑体" w:hAnsi="黑体" w:eastAsia="黑体"/>
          <w:bCs/>
          <w:kern w:val="0"/>
          <w:sz w:val="32"/>
          <w:szCs w:val="32"/>
        </w:rPr>
        <w:t>机构设置及决算单位构成</w:t>
      </w:r>
    </w:p>
    <w:p>
      <w:pPr>
        <w:ind w:firstLine="320" w:firstLineChars="100"/>
        <w:jc w:val="left"/>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（一）内设机构设置。</w:t>
      </w:r>
    </w:p>
    <w:p>
      <w:pPr>
        <w:ind w:firstLine="320" w:firstLineChars="1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内设行政事务部（党政办）、人力资源部、工程部、征地安置部、招商服务部、产业发展部、财务部、安保协调部（保安）、警务室。</w:t>
      </w:r>
    </w:p>
    <w:p>
      <w:pPr>
        <w:ind w:firstLine="320" w:firstLineChars="100"/>
        <w:jc w:val="left"/>
        <w:rPr>
          <w:rFonts w:hint="eastAsia" w:asciiTheme="minorEastAsia" w:hAnsiTheme="minorEastAsia"/>
          <w:sz w:val="32"/>
          <w:szCs w:val="32"/>
          <w:lang w:val="en-US" w:eastAsia="zh-CN"/>
        </w:rPr>
      </w:pPr>
      <w:r>
        <w:rPr>
          <w:rFonts w:hint="eastAsia" w:asciiTheme="minorEastAsia" w:hAnsiTheme="minorEastAsia"/>
          <w:sz w:val="32"/>
          <w:szCs w:val="32"/>
          <w:lang w:val="en-US" w:eastAsia="zh-CN"/>
        </w:rPr>
        <w:t>（二）</w:t>
      </w:r>
      <w:r>
        <w:rPr>
          <w:rFonts w:hint="eastAsia" w:asciiTheme="minorEastAsia" w:hAnsiTheme="minorEastAsia" w:eastAsiaTheme="minorEastAsia"/>
          <w:sz w:val="32"/>
          <w:szCs w:val="32"/>
        </w:rPr>
        <w:t>决算单位构成。</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1、溆浦</w:t>
      </w:r>
      <w:r>
        <w:rPr>
          <w:rFonts w:hint="eastAsia" w:asciiTheme="minorEastAsia" w:hAnsiTheme="minorEastAsia" w:eastAsiaTheme="minorEastAsia"/>
          <w:sz w:val="32"/>
          <w:szCs w:val="32"/>
          <w:lang w:val="en-US" w:eastAsia="zh-CN"/>
        </w:rPr>
        <w:t>工业园集中区管理委员会</w:t>
      </w:r>
      <w:r>
        <w:rPr>
          <w:rFonts w:asciiTheme="minorEastAsia" w:hAnsiTheme="minorEastAsia" w:eastAsiaTheme="minorEastAsia"/>
          <w:sz w:val="32"/>
          <w:szCs w:val="32"/>
        </w:rPr>
        <w:t>20</w:t>
      </w:r>
      <w:r>
        <w:rPr>
          <w:rFonts w:hint="eastAsia" w:asciiTheme="minorEastAsia" w:hAnsiTheme="minorEastAsia" w:eastAsiaTheme="minorEastAsia"/>
          <w:sz w:val="32"/>
          <w:szCs w:val="32"/>
          <w:lang w:val="en-US" w:eastAsia="zh-CN"/>
        </w:rPr>
        <w:t>20</w:t>
      </w:r>
      <w:r>
        <w:rPr>
          <w:rFonts w:hint="eastAsia" w:asciiTheme="minorEastAsia" w:hAnsiTheme="minorEastAsia" w:eastAsiaTheme="minorEastAsia"/>
          <w:sz w:val="32"/>
          <w:szCs w:val="32"/>
        </w:rPr>
        <w:t>年部门决算汇总公开单位构成包括：溆浦</w:t>
      </w:r>
      <w:r>
        <w:rPr>
          <w:rFonts w:hint="eastAsia" w:asciiTheme="minorEastAsia" w:hAnsiTheme="minorEastAsia" w:eastAsiaTheme="minorEastAsia"/>
          <w:sz w:val="32"/>
          <w:szCs w:val="32"/>
          <w:lang w:val="en-US" w:eastAsia="zh-CN"/>
        </w:rPr>
        <w:t>工业园集中区管理委员会</w:t>
      </w:r>
      <w:r>
        <w:rPr>
          <w:rFonts w:hint="eastAsia" w:asciiTheme="minorEastAsia" w:hAnsiTheme="minorEastAsia" w:eastAsiaTheme="minorEastAsia"/>
          <w:sz w:val="32"/>
          <w:szCs w:val="32"/>
        </w:rPr>
        <w:t>单位本级。</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2、本单位无二级机构。</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7"/>
        <w:tblW w:w="14081" w:type="dxa"/>
        <w:tblInd w:w="93" w:type="dxa"/>
        <w:tblLayout w:type="fixed"/>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Layout w:type="fixed"/>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Layout w:type="fixed"/>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Layout w:type="fixed"/>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vAlign w:val="center"/>
          </w:tcPr>
          <w:p>
            <w:pPr>
              <w:widowControl/>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val="en-US" w:eastAsia="zh-CN"/>
              </w:rPr>
              <w:t>溆浦工业集中区管理委员会</w:t>
            </w:r>
          </w:p>
        </w:tc>
        <w:tc>
          <w:tcPr>
            <w:tcW w:w="697" w:type="dxa"/>
            <w:gridSpan w:val="2"/>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7367.51</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eastAsia="zh-CN"/>
              </w:rPr>
            </w:pPr>
            <w:r>
              <w:rPr>
                <w:rFonts w:hint="eastAsia" w:ascii="宋体" w:hAnsi="宋体" w:eastAsia="宋体" w:cs="宋体"/>
                <w:kern w:val="0"/>
                <w:sz w:val="22"/>
                <w:lang w:val="en-US" w:eastAsia="zh-CN"/>
              </w:rPr>
              <w:t>20</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29687.25</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四、上级补助收入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3</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五、事业收入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4</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六、经营收入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5</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5733.76</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七、附属单位上缴收入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七、文化旅游体育与传媒支出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31.01</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宋体" w:hAnsi="宋体" w:eastAsia="宋体" w:cs="宋体"/>
                <w:kern w:val="0"/>
                <w:sz w:val="22"/>
              </w:rPr>
            </w:pPr>
            <w:r>
              <w:rPr>
                <w:rFonts w:hint="eastAsia" w:ascii="宋体" w:hAnsi="宋体" w:eastAsia="宋体" w:cs="宋体"/>
                <w:kern w:val="0"/>
                <w:sz w:val="22"/>
              </w:rPr>
              <w:t>八、其他收入</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十、节能环保</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268</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both"/>
              <w:rPr>
                <w:rFonts w:ascii="宋体" w:hAnsi="宋体" w:eastAsia="宋体" w:cs="宋体"/>
                <w:kern w:val="0"/>
                <w:sz w:val="20"/>
                <w:szCs w:val="20"/>
              </w:rPr>
            </w:pPr>
            <w:r>
              <w:rPr>
                <w:rFonts w:hint="eastAsia" w:ascii="宋体" w:hAnsi="宋体" w:eastAsia="宋体" w:cs="宋体"/>
                <w:kern w:val="0"/>
                <w:sz w:val="20"/>
                <w:szCs w:val="20"/>
                <w:lang w:val="en-US" w:eastAsia="zh-CN"/>
              </w:rPr>
              <w:t>十一、城乡社区支出</w:t>
            </w:r>
            <w:r>
              <w:rPr>
                <w:rFonts w:hint="eastAsia" w:ascii="宋体" w:hAnsi="宋体" w:eastAsia="宋体" w:cs="宋体"/>
                <w:kern w:val="0"/>
                <w:sz w:val="20"/>
                <w:szCs w:val="20"/>
              </w:rPr>
              <w:t>　</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lang w:val="en-US" w:eastAsia="zh-CN"/>
              </w:rPr>
            </w:pPr>
            <w:r>
              <w:rPr>
                <w:rFonts w:hint="eastAsia" w:ascii="宋体" w:hAnsi="宋体" w:eastAsia="宋体" w:cs="宋体"/>
                <w:b w:val="0"/>
                <w:bCs w:val="0"/>
                <w:kern w:val="0"/>
                <w:sz w:val="22"/>
                <w:lang w:val="en-US" w:eastAsia="zh-CN"/>
              </w:rPr>
              <w:t>1012.9</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val="0"/>
                <w:bCs w:val="0"/>
                <w:kern w:val="0"/>
                <w:sz w:val="22"/>
                <w:lang w:val="en-US" w:eastAsia="zh-CN"/>
              </w:rPr>
            </w:pPr>
            <w:r>
              <w:rPr>
                <w:rFonts w:hint="eastAsia" w:ascii="宋体" w:hAnsi="宋体" w:eastAsia="宋体" w:cs="宋体"/>
                <w:b w:val="0"/>
                <w:bCs w:val="0"/>
                <w:kern w:val="0"/>
                <w:sz w:val="22"/>
                <w:lang w:val="en-US" w:eastAsia="zh-CN"/>
              </w:rPr>
              <w:t>十二、农林水支出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val="0"/>
                <w:bCs w:val="0"/>
                <w:kern w:val="0"/>
                <w:sz w:val="22"/>
                <w:lang w:val="en-US" w:eastAsia="zh-CN"/>
              </w:rPr>
            </w:pPr>
            <w:r>
              <w:rPr>
                <w:rFonts w:hint="eastAsia" w:ascii="宋体" w:hAnsi="宋体" w:eastAsia="宋体" w:cs="宋体"/>
                <w:b w:val="0"/>
                <w:bCs w:val="0"/>
                <w:kern w:val="0"/>
                <w:sz w:val="22"/>
                <w:lang w:val="en-US" w:eastAsia="zh-CN"/>
              </w:rPr>
              <w:t>十四、资源勘探工业信息等支出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143.62</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val="0"/>
                <w:bCs w:val="0"/>
                <w:kern w:val="0"/>
                <w:sz w:val="22"/>
                <w:lang w:val="en-US" w:eastAsia="zh-CN"/>
              </w:rPr>
            </w:pPr>
            <w:r>
              <w:rPr>
                <w:rFonts w:hint="eastAsia" w:ascii="宋体" w:hAnsi="宋体" w:eastAsia="宋体" w:cs="宋体"/>
                <w:b w:val="0"/>
                <w:bCs w:val="0"/>
                <w:kern w:val="0"/>
                <w:sz w:val="22"/>
                <w:lang w:val="en-US" w:eastAsia="zh-CN"/>
              </w:rPr>
              <w:t>十五、商业服务也等支出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0.04</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val="0"/>
                <w:bCs w:val="0"/>
                <w:kern w:val="0"/>
                <w:sz w:val="22"/>
                <w:lang w:val="en-US" w:eastAsia="zh-CN"/>
              </w:rPr>
            </w:pPr>
            <w:r>
              <w:rPr>
                <w:rFonts w:hint="eastAsia" w:ascii="宋体" w:hAnsi="宋体" w:eastAsia="宋体" w:cs="宋体"/>
                <w:b w:val="0"/>
                <w:bCs w:val="0"/>
                <w:kern w:val="0"/>
                <w:sz w:val="22"/>
                <w:lang w:val="en-US" w:eastAsia="zh-CN"/>
              </w:rPr>
              <w:t>二十三、其他支出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27500</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val="0"/>
                <w:bCs w:val="0"/>
                <w:kern w:val="0"/>
                <w:sz w:val="22"/>
                <w:lang w:val="en-US" w:eastAsia="zh-CN"/>
              </w:rPr>
            </w:pPr>
            <w:r>
              <w:rPr>
                <w:rFonts w:hint="eastAsia" w:ascii="宋体" w:hAnsi="宋体" w:eastAsia="宋体" w:cs="宋体"/>
                <w:b w:val="0"/>
                <w:bCs w:val="0"/>
                <w:kern w:val="0"/>
                <w:sz w:val="22"/>
                <w:lang w:val="en-US" w:eastAsia="zh-CN"/>
              </w:rPr>
              <w:t>二十五、债务付息支出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33</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176.18</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val="0"/>
                <w:bCs w:val="0"/>
                <w:kern w:val="0"/>
                <w:sz w:val="22"/>
                <w:lang w:val="en-US" w:eastAsia="zh-CN"/>
              </w:rPr>
            </w:pPr>
            <w:r>
              <w:rPr>
                <w:rFonts w:hint="eastAsia" w:ascii="宋体" w:hAnsi="宋体" w:eastAsia="宋体" w:cs="宋体"/>
                <w:b w:val="0"/>
                <w:bCs w:val="0"/>
                <w:kern w:val="0"/>
                <w:sz w:val="22"/>
                <w:lang w:val="en-US" w:eastAsia="zh-CN"/>
              </w:rPr>
              <w:t>二十六、抗疫特别国债安排的支出</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34</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2187.25</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16</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37054.76</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45</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37054.76</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使用非财政拨款结余</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17</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结余分配</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36</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年初结转和结余</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8</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年末结转和结余</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37</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230" w:type="dxa"/>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37054.76</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3633"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37054.76</w:t>
            </w:r>
          </w:p>
        </w:tc>
      </w:tr>
      <w:tr>
        <w:tblPrEx>
          <w:tblLayout w:type="fixed"/>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7"/>
        <w:tblW w:w="14400" w:type="dxa"/>
        <w:tblInd w:w="0" w:type="dxa"/>
        <w:tblLayout w:type="fixed"/>
        <w:tblCellMar>
          <w:top w:w="0" w:type="dxa"/>
          <w:left w:w="0" w:type="dxa"/>
          <w:bottom w:w="0" w:type="dxa"/>
          <w:right w:w="0" w:type="dxa"/>
        </w:tblCellMar>
      </w:tblPr>
      <w:tblGrid>
        <w:gridCol w:w="315"/>
        <w:gridCol w:w="582"/>
        <w:gridCol w:w="1560"/>
        <w:gridCol w:w="1214"/>
        <w:gridCol w:w="1671"/>
        <w:gridCol w:w="1671"/>
        <w:gridCol w:w="1671"/>
        <w:gridCol w:w="1671"/>
        <w:gridCol w:w="1671"/>
        <w:gridCol w:w="2374"/>
      </w:tblGrid>
      <w:tr>
        <w:tblPrEx>
          <w:tblLayout w:type="fixed"/>
          <w:tblCellMar>
            <w:top w:w="0" w:type="dxa"/>
            <w:left w:w="0" w:type="dxa"/>
            <w:bottom w:w="0" w:type="dxa"/>
            <w:right w:w="0" w:type="dxa"/>
          </w:tblCellMar>
        </w:tblPrEx>
        <w:trPr>
          <w:trHeight w:val="435" w:hRule="atLeast"/>
        </w:trPr>
        <w:tc>
          <w:tcPr>
            <w:tcW w:w="14400" w:type="dxa"/>
            <w:gridSpan w:val="10"/>
            <w:tcBorders>
              <w:top w:val="nil"/>
              <w:left w:val="nil"/>
              <w:bottom w:val="nil"/>
              <w:right w:val="nil"/>
            </w:tcBorders>
            <w:shd w:val="clear" w:color="auto" w:fill="auto"/>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Layout w:type="fixed"/>
          <w:tblCellMar>
            <w:top w:w="0" w:type="dxa"/>
            <w:left w:w="0" w:type="dxa"/>
            <w:bottom w:w="0" w:type="dxa"/>
            <w:right w:w="0" w:type="dxa"/>
          </w:tblCellMar>
        </w:tblPrEx>
        <w:trPr>
          <w:trHeight w:val="285" w:hRule="atLeast"/>
        </w:trPr>
        <w:tc>
          <w:tcPr>
            <w:tcW w:w="315"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82"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0"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1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Layout w:type="fixed"/>
          <w:tblCellMar>
            <w:top w:w="0" w:type="dxa"/>
            <w:left w:w="0" w:type="dxa"/>
            <w:bottom w:w="0" w:type="dxa"/>
            <w:right w:w="0" w:type="dxa"/>
          </w:tblCellMar>
        </w:tblPrEx>
        <w:trPr>
          <w:trHeight w:val="285" w:hRule="atLeast"/>
        </w:trPr>
        <w:tc>
          <w:tcPr>
            <w:tcW w:w="897" w:type="dxa"/>
            <w:gridSpan w:val="2"/>
            <w:tcBorders>
              <w:top w:val="nil"/>
              <w:left w:val="nil"/>
              <w:bottom w:val="nil"/>
              <w:right w:val="nil"/>
            </w:tcBorders>
            <w:shd w:val="clear" w:color="000000" w:fill="FFFFFF"/>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560"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color w:val="000000"/>
                <w:kern w:val="0"/>
                <w:sz w:val="20"/>
                <w:szCs w:val="20"/>
                <w:lang w:val="en-US" w:eastAsia="zh-CN"/>
              </w:rPr>
              <w:t>溆浦工业集中区管理委员会</w:t>
            </w:r>
            <w:r>
              <w:rPr>
                <w:rFonts w:hint="eastAsia"/>
              </w:rPr>
              <w:t>　</w:t>
            </w:r>
          </w:p>
        </w:tc>
        <w:tc>
          <w:tcPr>
            <w:tcW w:w="121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Layout w:type="fixed"/>
          <w:tblCellMar>
            <w:top w:w="0" w:type="dxa"/>
            <w:left w:w="0" w:type="dxa"/>
            <w:bottom w:w="0" w:type="dxa"/>
            <w:right w:w="0" w:type="dxa"/>
          </w:tblCellMar>
        </w:tblPrEx>
        <w:trPr>
          <w:trHeight w:val="450" w:hRule="atLeast"/>
        </w:trPr>
        <w:tc>
          <w:tcPr>
            <w:tcW w:w="245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214" w:type="dxa"/>
            <w:vMerge w:val="restart"/>
            <w:tcBorders>
              <w:top w:val="single" w:color="auto" w:sz="4" w:space="0"/>
              <w:left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4" w:type="dxa"/>
            <w:vMerge w:val="restart"/>
            <w:tcBorders>
              <w:top w:val="single" w:color="auto" w:sz="4" w:space="0"/>
              <w:left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560" w:type="dxa"/>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214" w:type="dxa"/>
            <w:vMerge w:val="continue"/>
            <w:tcBorders>
              <w:left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left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left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left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left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left w:val="single" w:color="auto" w:sz="4" w:space="0"/>
              <w:right w:val="single" w:color="auto" w:sz="4" w:space="0"/>
            </w:tcBorders>
            <w:vAlign w:val="center"/>
          </w:tcPr>
          <w:p>
            <w:pPr>
              <w:rPr>
                <w:rFonts w:ascii="宋体" w:hAnsi="宋体" w:eastAsia="宋体" w:cs="宋体"/>
                <w:sz w:val="24"/>
                <w:szCs w:val="24"/>
              </w:rPr>
            </w:pPr>
          </w:p>
        </w:tc>
        <w:tc>
          <w:tcPr>
            <w:tcW w:w="2374" w:type="dxa"/>
            <w:vMerge w:val="continue"/>
            <w:tcBorders>
              <w:left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245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21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37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Layout w:type="fixed"/>
          <w:tblCellMar>
            <w:top w:w="0" w:type="dxa"/>
            <w:left w:w="0" w:type="dxa"/>
            <w:bottom w:w="0" w:type="dxa"/>
            <w:right w:w="0" w:type="dxa"/>
          </w:tblCellMar>
        </w:tblPrEx>
        <w:trPr>
          <w:trHeight w:val="450" w:hRule="atLeast"/>
        </w:trPr>
        <w:tc>
          <w:tcPr>
            <w:tcW w:w="245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37054.76</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37054.76</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206</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科学技术支出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5733.76</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5733.76</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ascii="宋体" w:hAnsi="宋体" w:eastAsia="宋体" w:cs="宋体"/>
                <w:sz w:val="24"/>
                <w:szCs w:val="24"/>
              </w:rPr>
            </w:pPr>
            <w:r>
              <w:rPr>
                <w:rFonts w:hint="eastAsia"/>
              </w:rPr>
              <w:t>　20699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其他科学技术支出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lang w:val="en-US" w:eastAsia="zh-CN"/>
              </w:rPr>
              <w:t>5733.76</w:t>
            </w:r>
            <w:r>
              <w:rPr>
                <w:rFonts w:hint="eastAsia" w:ascii="华文中宋" w:hAnsi="华文中宋" w:eastAsia="华文中宋"/>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ascii="华文中宋" w:hAnsi="华文中宋" w:eastAsia="华文中宋"/>
                <w:lang w:val="en-US" w:eastAsia="zh-CN"/>
              </w:rPr>
              <w:t>5733.76</w:t>
            </w:r>
            <w:r>
              <w:rPr>
                <w:rFonts w:hint="eastAsia" w:ascii="华文中宋" w:hAnsi="华文中宋" w:eastAsia="华文中宋"/>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ascii="宋体" w:hAnsi="宋体" w:eastAsia="宋体" w:cs="宋体"/>
                <w:sz w:val="24"/>
                <w:szCs w:val="24"/>
              </w:rPr>
            </w:pPr>
            <w:r>
              <w:rPr>
                <w:rFonts w:hint="eastAsia"/>
              </w:rPr>
              <w:t>　2069999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其他科学技术支出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lang w:val="en-US" w:eastAsia="zh-CN"/>
              </w:rPr>
            </w:pPr>
            <w:r>
              <w:rPr>
                <w:rFonts w:hint="eastAsia"/>
                <w:lang w:val="en-US" w:eastAsia="zh-CN"/>
              </w:rPr>
              <w:t>5733.76</w:t>
            </w:r>
          </w:p>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lang w:val="en-US" w:eastAsia="zh-CN"/>
              </w:rPr>
            </w:pPr>
            <w:r>
              <w:rPr>
                <w:rFonts w:hint="eastAsia"/>
                <w:lang w:val="en-US" w:eastAsia="zh-CN"/>
              </w:rPr>
              <w:t>5733.76</w:t>
            </w:r>
          </w:p>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ascii="宋体" w:hAnsi="宋体" w:eastAsia="宋体" w:cs="宋体"/>
                <w:sz w:val="24"/>
                <w:szCs w:val="24"/>
              </w:rPr>
            </w:pPr>
            <w:r>
              <w:rPr>
                <w:rFonts w:hint="eastAsia"/>
              </w:rPr>
              <w:t>　207</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文化旅游体育与传媒支出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31.01</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31.01</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ascii="宋体" w:hAnsi="宋体" w:eastAsia="宋体" w:cs="宋体"/>
                <w:sz w:val="24"/>
                <w:szCs w:val="24"/>
              </w:rPr>
            </w:pPr>
            <w:r>
              <w:rPr>
                <w:rFonts w:hint="eastAsia"/>
              </w:rPr>
              <w:t>　20701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文化和旅游</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1.01</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1.01</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ascii="宋体" w:hAnsi="宋体" w:eastAsia="宋体" w:cs="宋体"/>
                <w:sz w:val="24"/>
                <w:szCs w:val="24"/>
              </w:rPr>
            </w:pPr>
            <w:r>
              <w:rPr>
                <w:rFonts w:hint="eastAsia"/>
              </w:rPr>
              <w:t>　2070199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ascii="宋体" w:hAnsi="宋体" w:eastAsia="宋体" w:cs="宋体"/>
                <w:sz w:val="24"/>
                <w:szCs w:val="24"/>
              </w:rPr>
            </w:pPr>
            <w:r>
              <w:rPr>
                <w:rFonts w:hint="eastAsia"/>
              </w:rPr>
              <w:t>　  其他文化和旅游支出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1.01</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1.01</w:t>
            </w: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20799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其他文化旅游体育与传媒支出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30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30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2079999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其他文化旅游体育与传媒支出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30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30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节能环保支出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268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268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21199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其他节能环保支出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268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268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2119901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其他节能环保支出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268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268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212</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城乡社区支出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1012.9</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1012.9</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21203</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城乡社区公共设施</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1012.9</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1012.9</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2120303</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小城镇基础设施建设</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1012.9</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1012.9</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213</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农林水支出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21305</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扶贫</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2130501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行政运行</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资源勘探工业信息等支出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143.62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143.62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21505</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工业和信息产业监管</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106.02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106.02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2150501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行政运行</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4.2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4.2</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2150510</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工业和信息产业支持</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4.84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4.84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2150599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其他工业和信息产业监管支出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96.98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96.98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21508</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支持中小企业发展和管理支出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37.6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37.6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2150899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其他支持中小企业发展和管理支出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37.6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37.6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216</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商业服务业等支出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0.04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0.04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21606</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涉外发展服务支出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0.04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0.04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2160699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其他涉外发展服务支出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0.04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0.04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229</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其他支出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27500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27500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22904</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其他政府性基金及对应专项债务收入安排的支出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27500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27500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2290402</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其他地方自行试点项目收益专项债券收入安排的支出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27500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27500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232</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债务付息支出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176.18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176.18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23203</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地方政府一般债务付息支出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176.18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176.18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2320304</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地方政府其他一般债务付息支出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176.18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176.18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234</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抗疫特别国债安排的支出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2187.25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2187.25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23401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基础设施建设</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487.25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487.25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2340106</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 xml:space="preserve">  产业链改造升级</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487.25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487.25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23402</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抗疫相关支出</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1700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1700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rPr>
            </w:pPr>
            <w:r>
              <w:rPr>
                <w:rFonts w:hint="eastAsia"/>
              </w:rPr>
              <w:t>2340201</w:t>
            </w:r>
          </w:p>
        </w:tc>
        <w:tc>
          <w:tcPr>
            <w:tcW w:w="156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rPr>
            </w:pPr>
            <w:r>
              <w:rPr>
                <w:rFonts w:hint="eastAsia"/>
              </w:rPr>
              <w:t>减免房租补贴</w:t>
            </w:r>
          </w:p>
        </w:tc>
        <w:tc>
          <w:tcPr>
            <w:tcW w:w="121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eastAsiaTheme="minorEastAsia"/>
                <w:lang w:val="en-US" w:eastAsia="zh-CN"/>
              </w:rPr>
            </w:pPr>
            <w:r>
              <w:rPr>
                <w:rFonts w:hint="eastAsia"/>
                <w:lang w:val="en-US" w:eastAsia="zh-CN"/>
              </w:rPr>
              <w:t>1700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r>
              <w:rPr>
                <w:rFonts w:hint="eastAsia"/>
                <w:lang w:val="en-US" w:eastAsia="zh-CN"/>
              </w:rPr>
              <w:t>1700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615" w:hRule="atLeast"/>
        </w:trPr>
        <w:tc>
          <w:tcPr>
            <w:tcW w:w="14400"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7"/>
        <w:tblW w:w="13183" w:type="dxa"/>
        <w:tblInd w:w="93" w:type="dxa"/>
        <w:tblLayout w:type="fixed"/>
        <w:tblCellMar>
          <w:top w:w="0" w:type="dxa"/>
          <w:left w:w="108" w:type="dxa"/>
          <w:bottom w:w="0" w:type="dxa"/>
          <w:right w:w="108" w:type="dxa"/>
        </w:tblCellMar>
      </w:tblPr>
      <w:tblGrid>
        <w:gridCol w:w="1042"/>
        <w:gridCol w:w="222"/>
        <w:gridCol w:w="1249"/>
        <w:gridCol w:w="1646"/>
        <w:gridCol w:w="1679"/>
        <w:gridCol w:w="1679"/>
        <w:gridCol w:w="1679"/>
        <w:gridCol w:w="1679"/>
        <w:gridCol w:w="2308"/>
      </w:tblGrid>
      <w:tr>
        <w:tblPrEx>
          <w:tblLayout w:type="fixed"/>
          <w:tblCellMar>
            <w:top w:w="0" w:type="dxa"/>
            <w:left w:w="108" w:type="dxa"/>
            <w:bottom w:w="0" w:type="dxa"/>
            <w:right w:w="108" w:type="dxa"/>
          </w:tblCellMar>
        </w:tblPrEx>
        <w:trPr>
          <w:trHeight w:val="435" w:hRule="atLeast"/>
        </w:trPr>
        <w:tc>
          <w:tcPr>
            <w:tcW w:w="13183" w:type="dxa"/>
            <w:gridSpan w:val="9"/>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Layout w:type="fixed"/>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4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Layout w:type="fixed"/>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4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color w:val="000000"/>
                <w:kern w:val="0"/>
                <w:sz w:val="20"/>
                <w:szCs w:val="20"/>
                <w:lang w:val="en-US" w:eastAsia="zh-CN"/>
              </w:rPr>
              <w:t>溆浦工业集中区管理委员会</w:t>
            </w: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50" w:hRule="atLeast"/>
        </w:trPr>
        <w:tc>
          <w:tcPr>
            <w:tcW w:w="251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Layout w:type="fixed"/>
          <w:tblCellMar>
            <w:top w:w="0" w:type="dxa"/>
            <w:left w:w="108" w:type="dxa"/>
            <w:bottom w:w="0" w:type="dxa"/>
            <w:right w:w="108" w:type="dxa"/>
          </w:tblCellMar>
        </w:tblPrEx>
        <w:trPr>
          <w:trHeight w:val="450" w:hRule="atLeast"/>
        </w:trPr>
        <w:tc>
          <w:tcPr>
            <w:tcW w:w="126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24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4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251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4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Layout w:type="fixed"/>
          <w:tblCellMar>
            <w:top w:w="0" w:type="dxa"/>
            <w:left w:w="108" w:type="dxa"/>
            <w:bottom w:w="0" w:type="dxa"/>
            <w:right w:w="108" w:type="dxa"/>
          </w:tblCellMar>
        </w:tblPrEx>
        <w:trPr>
          <w:trHeight w:val="450" w:hRule="atLeast"/>
        </w:trPr>
        <w:tc>
          <w:tcPr>
            <w:tcW w:w="251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37054.76</w:t>
            </w:r>
            <w:r>
              <w:rPr>
                <w:rFonts w:hint="eastAsia"/>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109.07</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36945.68</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206</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科学技术支出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5733.76</w:t>
            </w:r>
            <w:r>
              <w:rPr>
                <w:rFonts w:hint="eastAsia"/>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5733.76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　20699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其他科学技术支出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ascii="华文中宋" w:hAnsi="华文中宋" w:eastAsia="华文中宋"/>
                <w:lang w:val="en-US" w:eastAsia="zh-CN"/>
              </w:rPr>
              <w:t>5733.76</w:t>
            </w:r>
            <w:r>
              <w:rPr>
                <w:rFonts w:hint="eastAsia" w:ascii="华文中宋" w:hAnsi="华文中宋" w:eastAsia="华文中宋"/>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5733.76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　2069999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其他科学技术支出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5733.76</w:t>
            </w:r>
          </w:p>
          <w:p>
            <w:pPr>
              <w:jc w:val="right"/>
              <w:rPr>
                <w:rFonts w:hint="eastAsia" w:ascii="宋体" w:hAnsi="宋体" w:eastAsia="宋体" w:cs="宋体"/>
                <w:kern w:val="0"/>
                <w:sz w:val="24"/>
                <w:szCs w:val="24"/>
              </w:rPr>
            </w:pPr>
            <w:r>
              <w:rPr>
                <w:rFonts w:hint="eastAsia"/>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5733.76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　207</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文化旅游体育与传媒支出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31.01</w:t>
            </w:r>
            <w:r>
              <w:rPr>
                <w:rFonts w:hint="eastAsia"/>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　20701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文化和旅游</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1.01</w:t>
            </w:r>
            <w:r>
              <w:rPr>
                <w:rFonts w:hint="eastAsia"/>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　2070199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其他文化和旅游支出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1.01</w:t>
            </w:r>
            <w:r>
              <w:rPr>
                <w:rFonts w:hint="eastAsia"/>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20799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其他文化旅游体育与传媒支出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30</w:t>
            </w:r>
          </w:p>
        </w:tc>
        <w:tc>
          <w:tcPr>
            <w:tcW w:w="1679"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lang w:val="en-US" w:eastAsia="zh-CN"/>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2079999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其他文化旅游体育与传媒支出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30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节能环保支出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268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268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21199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其他节能环保支出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268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268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2119901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其他节能环保支出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268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268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212</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城乡社区支出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1012.9</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1012.9</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21203</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城乡社区公共设施</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1012.9</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1012.9</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2120303</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小城镇基础设施建设</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1012.9</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1012.9</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213</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农林水支出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21305</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扶贫</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2130501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行政运行</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资源勘探工业信息等支出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143.62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106.02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21505</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工业和信息产业监管</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106.02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106.02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2150501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行政运行</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4.2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2150510</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工业和信息产业支持</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4.84</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4.84</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2150599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其他工业和信息产业监管支出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96.98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96.98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21508</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支持中小企业发展和管理支出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2150899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其他支持中小企业发展和管理支出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37.6</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4"/>
                <w:szCs w:val="24"/>
              </w:rPr>
            </w:pPr>
            <w:r>
              <w:rPr>
                <w:rFonts w:hint="eastAsia"/>
              </w:rPr>
              <w:t>216</w:t>
            </w:r>
          </w:p>
        </w:tc>
        <w:tc>
          <w:tcPr>
            <w:tcW w:w="124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kern w:val="0"/>
                <w:sz w:val="24"/>
                <w:szCs w:val="24"/>
              </w:rPr>
            </w:pPr>
            <w:r>
              <w:rPr>
                <w:rFonts w:hint="eastAsia"/>
              </w:rPr>
              <w:t>商业服务业等支出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0.04</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0.04</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4"/>
                <w:szCs w:val="24"/>
              </w:rPr>
            </w:pPr>
            <w:r>
              <w:rPr>
                <w:rFonts w:hint="eastAsia"/>
              </w:rPr>
              <w:t>21606</w:t>
            </w:r>
          </w:p>
        </w:tc>
        <w:tc>
          <w:tcPr>
            <w:tcW w:w="124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kern w:val="0"/>
                <w:sz w:val="24"/>
                <w:szCs w:val="24"/>
              </w:rPr>
            </w:pPr>
            <w:r>
              <w:rPr>
                <w:rFonts w:hint="eastAsia"/>
              </w:rPr>
              <w:t>涉外发展服务支出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0.04</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0.04</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2160699</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其他涉外发展服务支出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0.04</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0.04</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4"/>
                <w:szCs w:val="24"/>
              </w:rPr>
            </w:pPr>
            <w:r>
              <w:rPr>
                <w:rFonts w:hint="eastAsia"/>
              </w:rPr>
              <w:t>229</w:t>
            </w:r>
          </w:p>
        </w:tc>
        <w:tc>
          <w:tcPr>
            <w:tcW w:w="124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kern w:val="0"/>
                <w:sz w:val="24"/>
                <w:szCs w:val="24"/>
              </w:rPr>
            </w:pPr>
            <w:r>
              <w:rPr>
                <w:rFonts w:hint="eastAsia"/>
              </w:rPr>
              <w:t>其他支出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27500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27500</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4"/>
                <w:szCs w:val="24"/>
              </w:rPr>
            </w:pPr>
            <w:r>
              <w:rPr>
                <w:rFonts w:hint="eastAsia"/>
              </w:rPr>
              <w:t>22904</w:t>
            </w:r>
          </w:p>
        </w:tc>
        <w:tc>
          <w:tcPr>
            <w:tcW w:w="124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kern w:val="0"/>
                <w:sz w:val="24"/>
                <w:szCs w:val="24"/>
              </w:rPr>
            </w:pPr>
            <w:r>
              <w:rPr>
                <w:rFonts w:hint="eastAsia"/>
              </w:rPr>
              <w:t>其他政府性基金及对应专项债务收入安排的支出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27500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27500</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4"/>
                <w:szCs w:val="24"/>
              </w:rPr>
            </w:pPr>
            <w:r>
              <w:rPr>
                <w:rFonts w:hint="eastAsia"/>
              </w:rPr>
              <w:t>2290402</w:t>
            </w:r>
          </w:p>
        </w:tc>
        <w:tc>
          <w:tcPr>
            <w:tcW w:w="124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kern w:val="0"/>
                <w:sz w:val="24"/>
                <w:szCs w:val="24"/>
              </w:rPr>
            </w:pPr>
            <w:r>
              <w:rPr>
                <w:rFonts w:hint="eastAsia"/>
              </w:rPr>
              <w:t xml:space="preserve">  其他地方自行试点项目收益专项债券收入安排的支出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27500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27500</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4"/>
                <w:szCs w:val="24"/>
              </w:rPr>
            </w:pPr>
            <w:r>
              <w:rPr>
                <w:rFonts w:hint="eastAsia"/>
              </w:rPr>
              <w:t>232</w:t>
            </w:r>
          </w:p>
        </w:tc>
        <w:tc>
          <w:tcPr>
            <w:tcW w:w="124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kern w:val="0"/>
                <w:sz w:val="24"/>
                <w:szCs w:val="24"/>
              </w:rPr>
            </w:pPr>
            <w:r>
              <w:rPr>
                <w:rFonts w:hint="eastAsia"/>
              </w:rPr>
              <w:t>债务付息支出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r>
              <w:rPr>
                <w:rFonts w:hint="eastAsia"/>
                <w:lang w:val="en-US" w:eastAsia="zh-CN"/>
              </w:rPr>
              <w:t>176.18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176.18</w:t>
            </w: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23203</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地方政府一般债务付息支出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176.18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176.18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2320304</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地方政府其他一般债务付息支出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176.18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176.18</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234</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抗疫特别国债安排的支出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2187.25</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2187.25</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23401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基础设施建设</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487.25</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487.25</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2340106</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 xml:space="preserve">  产业链改造升级</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487.25</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487.25</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23402</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抗疫相关支出</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1700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4"/>
                <w:szCs w:val="24"/>
              </w:rPr>
            </w:pPr>
            <w:r>
              <w:rPr>
                <w:rFonts w:hint="eastAsia"/>
              </w:rPr>
              <w:t>2340201</w:t>
            </w:r>
          </w:p>
        </w:tc>
        <w:tc>
          <w:tcPr>
            <w:tcW w:w="1249"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0"/>
                <w:sz w:val="24"/>
                <w:szCs w:val="24"/>
              </w:rPr>
            </w:pPr>
            <w:r>
              <w:rPr>
                <w:rFonts w:hint="eastAsia"/>
              </w:rPr>
              <w:t>减免房租补贴</w:t>
            </w:r>
          </w:p>
        </w:tc>
        <w:tc>
          <w:tcPr>
            <w:tcW w:w="1646"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r>
              <w:rPr>
                <w:rFonts w:hint="eastAsia"/>
                <w:lang w:val="en-US" w:eastAsia="zh-CN"/>
              </w:rPr>
              <w:t>1700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1700</w:t>
            </w: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630" w:hRule="atLeast"/>
        </w:trPr>
        <w:tc>
          <w:tcPr>
            <w:tcW w:w="13183"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7"/>
        <w:tblW w:w="15521" w:type="dxa"/>
        <w:tblInd w:w="93" w:type="dxa"/>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Layout w:type="fixed"/>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Layout w:type="fixed"/>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Layout w:type="fixed"/>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溆浦工业集中区管理委员会</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7367.51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both"/>
              <w:rPr>
                <w:rFonts w:hint="eastAsia" w:ascii="宋体" w:hAnsi="宋体" w:eastAsia="宋体" w:cs="宋体"/>
                <w:kern w:val="0"/>
                <w:sz w:val="22"/>
                <w:lang w:val="en-US" w:eastAsia="zh-CN"/>
              </w:rPr>
            </w:pPr>
          </w:p>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29687.25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5733.76</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5733.76</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七、文化旅游体育与传媒支出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31.01</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31.01</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2"/>
                <w:lang w:val="en-US" w:eastAsia="zh-CN"/>
              </w:rPr>
              <w:t>十、节能环保</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268</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268</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both"/>
              <w:rPr>
                <w:rFonts w:hint="eastAsia" w:ascii="宋体" w:hAnsi="宋体" w:eastAsia="宋体" w:cs="宋体"/>
                <w:kern w:val="0"/>
                <w:sz w:val="24"/>
                <w:szCs w:val="24"/>
              </w:rPr>
            </w:pPr>
            <w:r>
              <w:rPr>
                <w:rFonts w:hint="eastAsia" w:ascii="宋体" w:hAnsi="宋体" w:eastAsia="宋体" w:cs="宋体"/>
                <w:kern w:val="0"/>
                <w:sz w:val="20"/>
                <w:szCs w:val="20"/>
                <w:lang w:val="en-US" w:eastAsia="zh-CN"/>
              </w:rPr>
              <w:t>十一、城乡社区支出</w:t>
            </w:r>
            <w:r>
              <w:rPr>
                <w:rFonts w:hint="eastAsia" w:ascii="宋体" w:hAnsi="宋体" w:eastAsia="宋体" w:cs="宋体"/>
                <w:kern w:val="0"/>
                <w:sz w:val="20"/>
                <w:szCs w:val="20"/>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1012.9</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1012.9</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b w:val="0"/>
                <w:bCs w:val="0"/>
                <w:kern w:val="0"/>
                <w:sz w:val="22"/>
                <w:lang w:val="en-US" w:eastAsia="zh-CN"/>
              </w:rPr>
              <w:t>十二、农林水支出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b w:val="0"/>
                <w:bCs w:val="0"/>
                <w:kern w:val="0"/>
                <w:sz w:val="22"/>
                <w:lang w:val="en-US" w:eastAsia="zh-CN"/>
              </w:rPr>
              <w:t>十四、资源勘探工业信息等支出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143.62</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146.62</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b w:val="0"/>
                <w:bCs w:val="0"/>
                <w:kern w:val="0"/>
                <w:sz w:val="22"/>
                <w:lang w:val="en-US" w:eastAsia="zh-CN"/>
              </w:rPr>
              <w:t>十五、商业服务也等支出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33</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0.04</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0.04</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b w:val="0"/>
                <w:bCs w:val="0"/>
                <w:kern w:val="0"/>
                <w:sz w:val="22"/>
                <w:lang w:val="en-US" w:eastAsia="zh-CN"/>
              </w:rPr>
              <w:t>二十三、其他支出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34</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27500</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27500</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b w:val="0"/>
                <w:bCs w:val="0"/>
                <w:kern w:val="0"/>
                <w:sz w:val="22"/>
                <w:lang w:val="en-US" w:eastAsia="zh-CN"/>
              </w:rPr>
              <w:t>二十五、债务付息支出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35</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176.18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176.18</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07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b w:val="0"/>
                <w:bCs w:val="0"/>
                <w:kern w:val="0"/>
                <w:sz w:val="22"/>
                <w:lang w:val="en-US" w:eastAsia="zh-CN"/>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36</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2187.25</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2187.25</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37</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37054.76</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7367.51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29687.25</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39</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40</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41</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37054.76</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42</w:t>
            </w:r>
          </w:p>
        </w:tc>
        <w:tc>
          <w:tcPr>
            <w:tcW w:w="1573"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37054.76</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7367.51</w:t>
            </w:r>
          </w:p>
        </w:tc>
        <w:tc>
          <w:tcPr>
            <w:tcW w:w="1394"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29687.25</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Layout w:type="fixed"/>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溆浦工业集中区管理委员会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7"/>
        <w:tblW w:w="14219" w:type="dxa"/>
        <w:jc w:val="center"/>
        <w:tblInd w:w="0" w:type="dxa"/>
        <w:tblLayout w:type="fixed"/>
        <w:tblCellMar>
          <w:top w:w="0" w:type="dxa"/>
          <w:left w:w="108" w:type="dxa"/>
          <w:bottom w:w="0" w:type="dxa"/>
          <w:right w:w="108" w:type="dxa"/>
        </w:tblCellMar>
      </w:tblPr>
      <w:tblGrid>
        <w:gridCol w:w="1200"/>
        <w:gridCol w:w="3527"/>
        <w:gridCol w:w="3000"/>
        <w:gridCol w:w="3492"/>
        <w:gridCol w:w="3000"/>
      </w:tblGrid>
      <w:tr>
        <w:tblPrEx>
          <w:tblLayout w:type="fixed"/>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7367.51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109.07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宋体" w:hAnsi="宋体" w:eastAsia="宋体" w:cs="宋体"/>
                <w:kern w:val="0"/>
                <w:sz w:val="24"/>
                <w:szCs w:val="24"/>
                <w:lang w:val="en-US" w:eastAsia="zh-CN"/>
              </w:rPr>
              <w:t>7258.43</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206</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科学技术支出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5733.76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5733.76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　20699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其他科学技术支出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ascii="华文中宋" w:hAnsi="华文中宋" w:eastAsia="华文中宋"/>
                <w:lang w:val="en-US" w:eastAsia="zh-CN"/>
              </w:rPr>
              <w:t>5733.76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5733.76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　2069999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其他科学技术支出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lang w:val="en-US" w:eastAsia="zh-CN"/>
              </w:rPr>
            </w:pPr>
            <w:r>
              <w:rPr>
                <w:rFonts w:hint="eastAsia"/>
                <w:lang w:val="en-US" w:eastAsia="zh-CN"/>
              </w:rPr>
              <w:t>5733.76</w:t>
            </w:r>
          </w:p>
          <w:p>
            <w:pPr>
              <w:jc w:val="center"/>
              <w:rPr>
                <w:rFonts w:hint="eastAsia" w:ascii="Times New Roman" w:hAnsi="Times New Roman" w:eastAsia="仿宋_GB2312" w:cs="Times New Roman"/>
                <w:kern w:val="0"/>
                <w:szCs w:val="21"/>
                <w:lang w:val="en-US" w:eastAsia="zh-CN"/>
              </w:rPr>
            </w:pP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5733.76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　207</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31.01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30</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　20701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文化和旅游</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1.01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　2070199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其他文化和旅游支出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1.01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20799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30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30</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2079999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30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30</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节能环保支出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268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268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21199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其他节能环保支出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kern w:val="0"/>
                <w:szCs w:val="21"/>
                <w:lang w:val="en-US" w:eastAsia="zh-CN"/>
              </w:rPr>
            </w:pPr>
            <w:r>
              <w:rPr>
                <w:rFonts w:hint="eastAsia"/>
                <w:lang w:val="en-US" w:eastAsia="zh-CN"/>
              </w:rPr>
              <w:t>268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268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2119901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其他节能环保支出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268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268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212</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城乡社区支出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1012.9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1012.9</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21203</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城乡社区公共设施</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1012.9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1012.9</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2120303</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小城镇基础设施建设</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1012.9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1012.9</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213</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农林水支出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21305</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扶贫</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2130501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143.62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106.02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21505</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工业和信息产业监管</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106.02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106.02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2150501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4.2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2150510</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工业和信息产业支持</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4.84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2150599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其他工业和信息产业监管支出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96.98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96.98</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21508</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支持中小企业发展和管理支出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37.6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2150899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其他支持中小企业发展和管理支出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37.6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37.6</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216</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商业服务业等支出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0.04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0.04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21606</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涉外发展服务支出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0.04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0.04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2160699</w:t>
            </w:r>
          </w:p>
        </w:tc>
        <w:tc>
          <w:tcPr>
            <w:tcW w:w="3527" w:type="dxa"/>
            <w:tcBorders>
              <w:top w:val="nil"/>
              <w:left w:val="nil"/>
              <w:bottom w:val="single" w:color="auto" w:sz="8"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其他涉外发展服务支出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0.04</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0.04</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232</w:t>
            </w:r>
          </w:p>
        </w:tc>
        <w:tc>
          <w:tcPr>
            <w:tcW w:w="3527" w:type="dxa"/>
            <w:tcBorders>
              <w:top w:val="nil"/>
              <w:left w:val="nil"/>
              <w:bottom w:val="single" w:color="auto" w:sz="8"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债务付息支出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176.18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23203</w:t>
            </w:r>
          </w:p>
        </w:tc>
        <w:tc>
          <w:tcPr>
            <w:tcW w:w="3527" w:type="dxa"/>
            <w:tcBorders>
              <w:top w:val="nil"/>
              <w:left w:val="nil"/>
              <w:bottom w:val="single" w:color="auto" w:sz="8"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地方政府一般债务付息支出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176.18</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jc w:val="left"/>
              <w:rPr>
                <w:rFonts w:ascii="Times New Roman" w:hAnsi="Times New Roman" w:eastAsia="仿宋_GB2312" w:cs="Times New Roman"/>
                <w:kern w:val="0"/>
                <w:szCs w:val="21"/>
              </w:rPr>
            </w:pPr>
            <w:r>
              <w:rPr>
                <w:rFonts w:hint="eastAsia"/>
              </w:rPr>
              <w:t>2320304</w:t>
            </w:r>
          </w:p>
        </w:tc>
        <w:tc>
          <w:tcPr>
            <w:tcW w:w="3527" w:type="dxa"/>
            <w:tcBorders>
              <w:top w:val="nil"/>
              <w:left w:val="nil"/>
              <w:bottom w:val="single" w:color="auto" w:sz="8"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xml:space="preserve">  地方政府其他一般债务付息支出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176.18</w:t>
            </w:r>
          </w:p>
        </w:tc>
      </w:tr>
      <w:tr>
        <w:tblPrEx>
          <w:tblLayout w:type="fixed"/>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7"/>
        <w:tblW w:w="15614" w:type="dxa"/>
        <w:tblInd w:w="0" w:type="dxa"/>
        <w:tblLayout w:type="fixed"/>
        <w:tblCellMar>
          <w:top w:w="0" w:type="dxa"/>
          <w:left w:w="108" w:type="dxa"/>
          <w:bottom w:w="0" w:type="dxa"/>
          <w:right w:w="108" w:type="dxa"/>
        </w:tblCellMar>
      </w:tblPr>
      <w:tblGrid>
        <w:gridCol w:w="1339"/>
        <w:gridCol w:w="2636"/>
        <w:gridCol w:w="1463"/>
        <w:gridCol w:w="1254"/>
        <w:gridCol w:w="2008"/>
        <w:gridCol w:w="968"/>
        <w:gridCol w:w="1124"/>
        <w:gridCol w:w="3248"/>
        <w:gridCol w:w="1574"/>
      </w:tblGrid>
      <w:tr>
        <w:tblPrEx>
          <w:tblLayout w:type="fixed"/>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val="en-US" w:eastAsia="zh-CN"/>
              </w:rPr>
              <w:t>溆浦工业集中区管理委员会</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Layout w:type="fixed"/>
          <w:tblCellMar>
            <w:top w:w="0" w:type="dxa"/>
            <w:left w:w="108" w:type="dxa"/>
            <w:bottom w:w="0" w:type="dxa"/>
            <w:right w:w="108" w:type="dxa"/>
          </w:tblCellMar>
        </w:tblPrEx>
        <w:trPr>
          <w:trHeight w:val="113" w:hRule="atLeast"/>
        </w:trPr>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63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0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24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5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25.14</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83.89</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25.14</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0.04</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1.01</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1.18</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39906</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赠与</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0.04</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9"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0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6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79.7</w:t>
            </w:r>
          </w:p>
        </w:tc>
        <w:tc>
          <w:tcPr>
            <w:tcW w:w="112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24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39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46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25.18</w:t>
            </w:r>
          </w:p>
        </w:tc>
        <w:tc>
          <w:tcPr>
            <w:tcW w:w="8602"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574"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83.89</w:t>
            </w:r>
          </w:p>
        </w:tc>
      </w:tr>
      <w:tr>
        <w:tblPrEx>
          <w:tblLayout w:type="fixed"/>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val="en-US" w:eastAsia="zh-CN"/>
        </w:rPr>
        <w:t>溆浦工业集中区管理委员会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640" w:type="dxa"/>
        <w:jc w:val="center"/>
        <w:tblInd w:w="0" w:type="dxa"/>
        <w:tblLayout w:type="fixed"/>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Layout w:type="fixed"/>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Layout w:type="fixed"/>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Layout w:type="fixed"/>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Layout w:type="fixed"/>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1.01</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1.01</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1.01</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single" w:color="auto" w:sz="4" w:space="0"/>
              <w:bottom w:val="single" w:color="auto" w:sz="8" w:space="0"/>
              <w:right w:val="single" w:color="auto" w:sz="8"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1.01</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溆浦工业集中区管理委员会</w:t>
      </w:r>
      <w:r>
        <w:rPr>
          <w:rFonts w:ascii="Times New Roman" w:hAnsi="Times New Roman" w:eastAsia="仿宋_GB2312" w:cs="Times New Roman"/>
          <w:color w:val="000000"/>
          <w:kern w:val="0"/>
          <w:szCs w:val="21"/>
        </w:rPr>
        <w:t xml:space="preserve">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440"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20"/>
        <w:gridCol w:w="1320"/>
        <w:gridCol w:w="200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29687.25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29687.25</w:t>
            </w:r>
          </w:p>
        </w:tc>
        <w:tc>
          <w:tcPr>
            <w:tcW w:w="2000" w:type="dxa"/>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29687.25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229</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其他支出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22904</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其他政府性基金及对应专项债务收入安排的支出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2290402</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 xml:space="preserve">  其他地方自行试点项目收益专项债券收入安排的支出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27500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232</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债务付息支出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23203</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地方政府一般债务付息支出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2320304</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 xml:space="preserve">  地方政府其他一般债务付息支出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176.18</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234</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抗疫特别国债安排的支出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2187.25</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2187.25</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2187.25</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23401</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基础设施建设</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487.25</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487.25</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487.25</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2340106</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 xml:space="preserve">  产业链改造升级</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487.25</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487.25</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487.25</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23402</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抗疫相关支出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1700</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1700</w:t>
            </w:r>
          </w:p>
        </w:tc>
        <w:tc>
          <w:tcPr>
            <w:tcW w:w="2000" w:type="dxa"/>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jc w:val="left"/>
              <w:rPr>
                <w:rFonts w:ascii="Times New Roman" w:hAnsi="Times New Roman" w:eastAsia="仿宋_GB2312" w:cs="Times New Roman"/>
                <w:kern w:val="0"/>
                <w:szCs w:val="21"/>
              </w:rPr>
            </w:pPr>
            <w:r>
              <w:rPr>
                <w:rFonts w:hint="eastAsia"/>
              </w:rPr>
              <w:t>2340201</w:t>
            </w:r>
          </w:p>
        </w:tc>
        <w:tc>
          <w:tcPr>
            <w:tcW w:w="1320" w:type="dxa"/>
            <w:shd w:val="clear" w:color="auto" w:fill="auto"/>
            <w:vAlign w:val="center"/>
          </w:tcPr>
          <w:p>
            <w:pPr>
              <w:rPr>
                <w:rFonts w:ascii="Times New Roman" w:hAnsi="Times New Roman" w:eastAsia="仿宋_GB2312" w:cs="Times New Roman"/>
                <w:kern w:val="0"/>
                <w:szCs w:val="21"/>
              </w:rPr>
            </w:pPr>
            <w:r>
              <w:rPr>
                <w:rFonts w:hint="eastAsia"/>
              </w:rPr>
              <w:t>减免房租补贴</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1700</w:t>
            </w: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1700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7"/>
        <w:tblW w:w="14190" w:type="dxa"/>
        <w:tblInd w:w="93" w:type="dxa"/>
        <w:tblLayout w:type="fixed"/>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Layout w:type="fixed"/>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Layout w:type="fixed"/>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Layout w:type="fixed"/>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color w:val="000000"/>
                <w:kern w:val="0"/>
                <w:sz w:val="20"/>
                <w:szCs w:val="20"/>
                <w:lang w:val="en-US" w:eastAsia="zh-CN"/>
              </w:rPr>
              <w:t>溆浦工业集中区管理委员会</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Layout w:type="fixed"/>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Layout w:type="fixed"/>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Layout w:type="fixed"/>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0</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10"/>
        <w:rPr>
          <w:sz w:val="72"/>
          <w:szCs w:val="72"/>
        </w:rPr>
        <w:sectPr>
          <w:pgSz w:w="16838" w:h="11906" w:orient="landscape"/>
          <w:pgMar w:top="720" w:right="720" w:bottom="720" w:left="720" w:header="851" w:footer="992" w:gutter="0"/>
          <w:cols w:space="425" w:num="1"/>
          <w:docGrid w:type="lines" w:linePitch="312" w:charSpace="0"/>
        </w:sectPr>
      </w:pPr>
    </w:p>
    <w:p>
      <w:pPr>
        <w:pStyle w:val="10"/>
        <w:rPr>
          <w:sz w:val="72"/>
          <w:szCs w:val="72"/>
        </w:rPr>
      </w:pPr>
    </w:p>
    <w:p>
      <w:pPr>
        <w:pStyle w:val="10"/>
        <w:rPr>
          <w:sz w:val="72"/>
          <w:szCs w:val="72"/>
        </w:rPr>
      </w:pPr>
    </w:p>
    <w:p>
      <w:pPr>
        <w:pStyle w:val="10"/>
        <w:rPr>
          <w:sz w:val="72"/>
          <w:szCs w:val="72"/>
        </w:rPr>
      </w:pPr>
    </w:p>
    <w:p>
      <w:pPr>
        <w:pStyle w:val="10"/>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第三部分</w:t>
      </w:r>
    </w:p>
    <w:p>
      <w:pPr>
        <w:pStyle w:val="10"/>
        <w:jc w:val="center"/>
        <w:rPr>
          <w:sz w:val="70"/>
          <w:szCs w:val="70"/>
        </w:rPr>
      </w:pPr>
    </w:p>
    <w:p>
      <w:pPr>
        <w:pStyle w:val="10"/>
        <w:jc w:val="center"/>
        <w:rPr>
          <w:sz w:val="70"/>
          <w:szCs w:val="70"/>
        </w:rPr>
      </w:pPr>
      <w:r>
        <w:rPr>
          <w:sz w:val="70"/>
          <w:szCs w:val="70"/>
        </w:rPr>
        <w:t>20</w:t>
      </w:r>
      <w:r>
        <w:rPr>
          <w:rFonts w:hint="eastAsia"/>
          <w:sz w:val="70"/>
          <w:szCs w:val="70"/>
        </w:rPr>
        <w:t>20年度部门决算情况说明</w:t>
      </w:r>
    </w:p>
    <w:p>
      <w:pPr>
        <w:widowControl/>
        <w:jc w:val="left"/>
        <w:rPr>
          <w:rFonts w:ascii="黑体" w:eastAsia="黑体" w:cs="黑体"/>
          <w:color w:val="000000"/>
          <w:kern w:val="0"/>
          <w:sz w:val="70"/>
          <w:szCs w:val="70"/>
        </w:rPr>
      </w:pPr>
      <w:r>
        <w:rPr>
          <w:sz w:val="70"/>
          <w:szCs w:val="70"/>
        </w:rPr>
        <w:br w:type="page"/>
      </w:r>
    </w:p>
    <w:p>
      <w:pPr>
        <w:pStyle w:val="10"/>
        <w:rPr>
          <w:rFonts w:asciiTheme="minorEastAsia" w:hAnsiTheme="minorEastAsia" w:eastAsiaTheme="minorEastAsia"/>
          <w:sz w:val="32"/>
          <w:szCs w:val="32"/>
        </w:rPr>
      </w:pPr>
    </w:p>
    <w:p>
      <w:pPr>
        <w:pStyle w:val="10"/>
        <w:rPr>
          <w:rFonts w:hAnsi="黑体"/>
          <w:b/>
          <w:sz w:val="32"/>
          <w:szCs w:val="32"/>
        </w:rPr>
      </w:pPr>
      <w:r>
        <w:rPr>
          <w:rFonts w:hint="eastAsia" w:hAnsi="黑体"/>
          <w:b/>
          <w:sz w:val="32"/>
          <w:szCs w:val="32"/>
        </w:rPr>
        <w:t>一、收入支出决算总体情况说明</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2020年度收、支总计</w:t>
      </w:r>
      <w:r>
        <w:rPr>
          <w:rFonts w:hint="eastAsia" w:asciiTheme="minorEastAsia" w:hAnsiTheme="minorEastAsia" w:eastAsiaTheme="minorEastAsia"/>
          <w:sz w:val="32"/>
          <w:szCs w:val="32"/>
          <w:lang w:val="en-US" w:eastAsia="zh-CN"/>
        </w:rPr>
        <w:t>37054.76</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29210.86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372</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债务还本付息支出、标准厂房补贴、产业链改造升级项目等支出。</w:t>
      </w:r>
    </w:p>
    <w:p>
      <w:pPr>
        <w:pStyle w:val="10"/>
        <w:rPr>
          <w:rFonts w:hAnsi="黑体"/>
          <w:b/>
          <w:sz w:val="32"/>
          <w:szCs w:val="32"/>
        </w:rPr>
      </w:pPr>
      <w:r>
        <w:rPr>
          <w:rFonts w:hint="eastAsia" w:hAnsi="黑体"/>
          <w:b/>
          <w:sz w:val="32"/>
          <w:szCs w:val="32"/>
        </w:rPr>
        <w:t>二、收入决算情况说明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本年收入合计</w:t>
      </w:r>
      <w:r>
        <w:rPr>
          <w:rFonts w:hint="eastAsia" w:asciiTheme="minorEastAsia" w:hAnsiTheme="minorEastAsia" w:eastAsiaTheme="minorEastAsia"/>
          <w:sz w:val="32"/>
          <w:szCs w:val="32"/>
          <w:lang w:val="en-US" w:eastAsia="zh-CN"/>
        </w:rPr>
        <w:t>37054.76</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7367.51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19.88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政府性基金预算收入29687.25万元，占80.12%；</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三、支出决算情况说明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本年支出合计</w:t>
      </w:r>
      <w:r>
        <w:rPr>
          <w:rFonts w:hint="eastAsia" w:asciiTheme="minorEastAsia" w:hAnsiTheme="minorEastAsia" w:eastAsiaTheme="minorEastAsia"/>
          <w:sz w:val="32"/>
          <w:szCs w:val="32"/>
          <w:lang w:val="en-US" w:eastAsia="zh-CN"/>
        </w:rPr>
        <w:t>37054.76</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109.07</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0.03</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36945.68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99.97</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四、财政拨款收入支出决算总体情况说明</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 xml:space="preserve">    2020年度财政拨款收、支总计</w:t>
      </w:r>
      <w:r>
        <w:rPr>
          <w:rFonts w:hint="eastAsia" w:asciiTheme="minorEastAsia" w:hAnsiTheme="minorEastAsia" w:eastAsiaTheme="minorEastAsia"/>
          <w:sz w:val="32"/>
          <w:szCs w:val="32"/>
          <w:lang w:val="en-US" w:eastAsia="zh-CN"/>
        </w:rPr>
        <w:t>37054.76</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29210.86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372</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债务还本付息支出、标准厂房补贴、产业链改造升级项目等支出。</w:t>
      </w:r>
    </w:p>
    <w:p>
      <w:pPr>
        <w:pStyle w:val="10"/>
        <w:rPr>
          <w:rFonts w:hAnsi="黑体"/>
          <w:b/>
          <w:sz w:val="32"/>
          <w:szCs w:val="32"/>
        </w:rPr>
      </w:pPr>
      <w:r>
        <w:rPr>
          <w:rFonts w:hint="eastAsia" w:hAnsi="黑体"/>
          <w:b/>
          <w:sz w:val="32"/>
          <w:szCs w:val="32"/>
        </w:rPr>
        <w:t>五、一般公共预算财政拨款支出决算情况说明</w:t>
      </w:r>
    </w:p>
    <w:p>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2020年度财政拨款支出</w:t>
      </w:r>
      <w:r>
        <w:rPr>
          <w:rFonts w:hint="eastAsia" w:asciiTheme="minorEastAsia" w:hAnsiTheme="minorEastAsia" w:eastAsiaTheme="minorEastAsia"/>
          <w:sz w:val="32"/>
          <w:szCs w:val="32"/>
          <w:lang w:val="en-US" w:eastAsia="zh-CN"/>
        </w:rPr>
        <w:t>7367.51</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19.88</w:t>
      </w:r>
      <w:r>
        <w:rPr>
          <w:rFonts w:hint="eastAsia" w:asciiTheme="minorEastAsia" w:hAnsiTheme="minorEastAsia" w:eastAsiaTheme="minorEastAsia"/>
          <w:sz w:val="32"/>
          <w:szCs w:val="32"/>
        </w:rPr>
        <w:t>%，与上年相比，财政拨款支出</w:t>
      </w:r>
      <w:r>
        <w:rPr>
          <w:rFonts w:hint="eastAsia" w:asciiTheme="minorEastAsia" w:hAnsiTheme="minorEastAsia" w:eastAsiaTheme="minorEastAsia"/>
          <w:sz w:val="32"/>
          <w:szCs w:val="32"/>
          <w:lang w:val="en-US" w:eastAsia="zh-CN"/>
        </w:rPr>
        <w:t>增加1223.6</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增加19.92</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各项事宜的增加。</w:t>
      </w:r>
    </w:p>
    <w:p>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2020年度财政拨款支出</w:t>
      </w:r>
      <w:r>
        <w:rPr>
          <w:rFonts w:hint="eastAsia" w:asciiTheme="minorEastAsia" w:hAnsiTheme="minorEastAsia" w:eastAsiaTheme="minorEastAsia"/>
          <w:sz w:val="32"/>
          <w:szCs w:val="32"/>
          <w:lang w:val="en-US" w:eastAsia="zh-CN"/>
        </w:rPr>
        <w:t>7367.51</w:t>
      </w:r>
      <w:r>
        <w:rPr>
          <w:rFonts w:hint="eastAsia" w:asciiTheme="minorEastAsia" w:hAnsiTheme="minorEastAsia" w:eastAsiaTheme="minorEastAsia"/>
          <w:sz w:val="32"/>
          <w:szCs w:val="32"/>
        </w:rPr>
        <w:t>万元，主要用于以下方面：</w:t>
      </w:r>
      <w:r>
        <w:rPr>
          <w:rFonts w:hint="eastAsia" w:asciiTheme="minorEastAsia" w:hAnsiTheme="minorEastAsia" w:eastAsiaTheme="minorEastAsia"/>
          <w:sz w:val="32"/>
          <w:szCs w:val="32"/>
          <w:lang w:val="en-US" w:eastAsia="zh-CN"/>
        </w:rPr>
        <w:t>科学技术支出</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5733.76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77.82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文化旅游体育与传媒支出</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31.01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0.42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节能环保支出268万元，占3.63%；城乡社区支出1012.9万元，占13.75%；农林水支出2万元，占0.027%；资源勘探工业信息等支出143.62万元，占1.95%；商业服务业等支出0.04万元，0.0005%；债务付息支出176.18万元，占2.39%。</w:t>
      </w:r>
    </w:p>
    <w:p>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2020年度财政拨款支出年初预算数为</w:t>
      </w:r>
      <w:r>
        <w:rPr>
          <w:rFonts w:hint="eastAsia" w:asciiTheme="minorEastAsia" w:hAnsiTheme="minorEastAsia" w:eastAsiaTheme="minorEastAsia"/>
          <w:sz w:val="32"/>
          <w:szCs w:val="32"/>
          <w:lang w:val="en-US" w:eastAsia="zh-CN"/>
        </w:rPr>
        <w:t>7367.51</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7367.51</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科学技术支出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其他科学技术支出（款）其他科学技术支出（项）</w:t>
      </w:r>
    </w:p>
    <w:p>
      <w:pPr>
        <w:pStyle w:val="10"/>
        <w:numPr>
          <w:ilvl w:val="0"/>
          <w:numId w:val="0"/>
        </w:numPr>
        <w:ind w:firstLine="960" w:firstLineChars="3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5733.76</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文化旅游体育与传媒支出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文化和旅游（款）其他文化和旅游支出（项）</w:t>
      </w:r>
    </w:p>
    <w:p>
      <w:pPr>
        <w:pStyle w:val="10"/>
        <w:numPr>
          <w:ilvl w:val="0"/>
          <w:numId w:val="0"/>
        </w:numPr>
        <w:ind w:firstLine="960" w:firstLineChars="3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30</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文化旅游体育与传媒支出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文化和旅游（款）其他文化旅游体育与传媒支出（项）。</w:t>
      </w:r>
    </w:p>
    <w:p>
      <w:pPr>
        <w:pStyle w:val="10"/>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30</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节能环保支出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其他节能环保支出（款）其他节能环保支出（项）。</w:t>
      </w:r>
    </w:p>
    <w:p>
      <w:pPr>
        <w:pStyle w:val="10"/>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268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268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0"/>
        </w:numPr>
        <w:ind w:firstLine="960" w:firstLineChars="300"/>
        <w:rPr>
          <w:rFonts w:hint="eastAsia" w:asciiTheme="minorEastAsia" w:hAnsiTheme="minorEastAsia" w:eastAsiaTheme="minorEastAsia"/>
          <w:sz w:val="32"/>
          <w:szCs w:val="32"/>
          <w:lang w:val="en-US" w:eastAsia="zh-CN"/>
        </w:rPr>
      </w:pP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城乡社区支出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城乡社区公共设施支出（款）小城镇基础设施建设（项）。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1012.9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1012.9</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 xml:space="preserve"> 农林水支出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扶贫（款）行政运行（项）。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资源勘探工业信息等支出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工业和信息产业监管（款）行政运行（项）。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4.2</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资源勘探工业信息等支出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工业和信息产业监管（款）工业和信息产业支出（项）。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4.84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4.84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资源勘探工业信息等支出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工业和信息产业监管（款）其他工业和信息产业监管支出（项）。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96.98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96.98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资源勘探工业信息等支出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支持中小企业发展和管理支出（款）其他支持中小企业发展和管理支出（项）。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37.6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37.6</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0"/>
        </w:numPr>
        <w:rPr>
          <w:rFonts w:hint="eastAsia" w:asciiTheme="minorEastAsia" w:hAnsiTheme="minorEastAsia" w:eastAsiaTheme="minorEastAsia"/>
          <w:sz w:val="32"/>
          <w:szCs w:val="32"/>
        </w:rPr>
      </w:pP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商业服务业等支出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涉外发展服务支出（款）其他涉外发展服务支出（项）。</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0.04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0.04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numPr>
          <w:ilvl w:val="0"/>
          <w:numId w:val="3"/>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债务付息支出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地方政府一般债务付息支出（款）地方政府其他一般债务付息支出（项）。</w:t>
      </w:r>
    </w:p>
    <w:p>
      <w:pPr>
        <w:pStyle w:val="1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176.18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176.18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六、一般公共预算财政拨款基本支出决算情况说明</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2020年度财政拨款基本支出</w:t>
      </w:r>
      <w:r>
        <w:rPr>
          <w:rFonts w:hint="eastAsia" w:asciiTheme="minorEastAsia" w:hAnsiTheme="minorEastAsia" w:eastAsiaTheme="minorEastAsia"/>
          <w:sz w:val="32"/>
          <w:szCs w:val="32"/>
          <w:lang w:val="en-US" w:eastAsia="zh-CN"/>
        </w:rPr>
        <w:t>109.07</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25.18</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23.08</w:t>
      </w:r>
      <w:r>
        <w:rPr>
          <w:rFonts w:hint="eastAsia" w:asciiTheme="minorEastAsia" w:hAnsiTheme="minorEastAsia" w:eastAsiaTheme="minorEastAsia"/>
          <w:sz w:val="32"/>
          <w:szCs w:val="32"/>
        </w:rPr>
        <w:t>%,主要包括</w:t>
      </w:r>
      <w:r>
        <w:rPr>
          <w:rFonts w:hint="eastAsia" w:asciiTheme="minorEastAsia" w:hAnsiTheme="minorEastAsia" w:eastAsiaTheme="minorEastAsia"/>
          <w:sz w:val="32"/>
          <w:szCs w:val="32"/>
          <w:lang w:val="en-US" w:eastAsia="zh-CN"/>
        </w:rPr>
        <w:t>奖金25.14万元、奖励金0.04万元</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83.89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76.92</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2万元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公务接待费1.01万元、劳务费1.18万元、其他商品和服务支出79.7万元。</w:t>
      </w:r>
    </w:p>
    <w:p>
      <w:pPr>
        <w:pStyle w:val="10"/>
        <w:rPr>
          <w:rFonts w:hAnsi="黑体"/>
          <w:b/>
          <w:sz w:val="32"/>
          <w:szCs w:val="32"/>
        </w:rPr>
      </w:pPr>
      <w:r>
        <w:rPr>
          <w:rFonts w:hint="eastAsia" w:hAnsi="黑体"/>
          <w:b/>
          <w:sz w:val="32"/>
          <w:szCs w:val="32"/>
        </w:rPr>
        <w:t>七、一般公共预算财政拨款三公经费支出决算情况说明</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“三公”经费财政拨款支出预算为</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%，与上年相比减少（增加）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万元，减少（增长）</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等于预算数</w:t>
      </w:r>
      <w:r>
        <w:rPr>
          <w:rFonts w:hint="eastAsia" w:asciiTheme="minorEastAsia" w:hAnsiTheme="minorEastAsia" w:eastAsiaTheme="minorEastAsia"/>
          <w:sz w:val="32"/>
          <w:szCs w:val="32"/>
        </w:rPr>
        <w:t>，与上年相比增加</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%,增长的主要原因是</w:t>
      </w:r>
      <w:r>
        <w:rPr>
          <w:rFonts w:hint="eastAsia" w:asciiTheme="minorEastAsia" w:hAnsiTheme="minorEastAsia" w:eastAsiaTheme="minorEastAsia"/>
          <w:sz w:val="32"/>
          <w:szCs w:val="32"/>
          <w:lang w:val="en-US" w:eastAsia="zh-CN"/>
        </w:rPr>
        <w:t>各项事宜增加</w:t>
      </w:r>
      <w:r>
        <w:rPr>
          <w:rFonts w:hint="eastAsia" w:asciiTheme="minorEastAsia" w:hAnsiTheme="minorEastAsia" w:eastAsiaTheme="minorEastAsia"/>
          <w:sz w:val="32"/>
          <w:szCs w:val="32"/>
        </w:rPr>
        <w:t>。</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公务用车购置费及运行维护费支出预算为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等于</w:t>
      </w:r>
      <w:r>
        <w:rPr>
          <w:rFonts w:hint="eastAsia" w:asciiTheme="minorEastAsia" w:hAnsiTheme="minorEastAsia" w:eastAsiaTheme="minorEastAsia"/>
          <w:sz w:val="32"/>
          <w:szCs w:val="32"/>
        </w:rPr>
        <w:t>预算数，与上年相比减少（增加）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万元，减少（增长）</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2020年度“三公”经费财政拨款支出决算中，公务接待费支出决算</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pPr>
        <w:pStyle w:val="10"/>
        <w:ind w:firstLine="640" w:firstLineChars="200"/>
        <w:rPr>
          <w:rFonts w:hint="eastAsia" w:asciiTheme="minorEastAsia" w:hAnsiTheme="minorEastAsia" w:eastAsiaTheme="minorEastAsia"/>
          <w:b/>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11</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83</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val="en-US" w:eastAsia="zh-CN"/>
        </w:rPr>
        <w:t>接待来访人员</w:t>
      </w:r>
      <w:r>
        <w:rPr>
          <w:rFonts w:hint="eastAsia" w:asciiTheme="minorEastAsia" w:hAnsiTheme="minorEastAsia" w:eastAsiaTheme="minorEastAsia"/>
          <w:sz w:val="32"/>
          <w:szCs w:val="32"/>
        </w:rPr>
        <w:t>发生的接待支出。</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万元，单位本级更新公务用车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万元，截止2020年12月31日，我单位开支财政拨款的公务用车保有量为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p>
    <w:p>
      <w:pPr>
        <w:pStyle w:val="10"/>
        <w:rPr>
          <w:rFonts w:hAnsi="黑体"/>
          <w:b/>
          <w:sz w:val="32"/>
          <w:szCs w:val="32"/>
        </w:rPr>
      </w:pPr>
      <w:r>
        <w:rPr>
          <w:rFonts w:hint="eastAsia" w:hAnsi="黑体"/>
          <w:b/>
          <w:sz w:val="32"/>
          <w:szCs w:val="32"/>
        </w:rPr>
        <w:t>八、政府性基金预算收入支出决算情况</w:t>
      </w:r>
    </w:p>
    <w:p>
      <w:pPr>
        <w:pStyle w:val="1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     2020年度政府性基金预算财政拨款收入</w:t>
      </w:r>
      <w:r>
        <w:rPr>
          <w:rFonts w:hint="eastAsia" w:asciiTheme="minorEastAsia" w:hAnsiTheme="minorEastAsia" w:eastAsiaTheme="minorEastAsia"/>
          <w:sz w:val="32"/>
          <w:szCs w:val="32"/>
          <w:lang w:val="en-US" w:eastAsia="zh-CN"/>
        </w:rPr>
        <w:t>29687.25</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29687.25</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29687.25</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pPr>
        <w:pStyle w:val="10"/>
        <w:rPr>
          <w:rFonts w:hAnsi="黑体"/>
          <w:b/>
          <w:sz w:val="32"/>
          <w:szCs w:val="32"/>
        </w:rPr>
      </w:pPr>
      <w:r>
        <w:rPr>
          <w:rFonts w:hint="eastAsia" w:hAnsi="黑体"/>
          <w:b/>
          <w:sz w:val="32"/>
          <w:szCs w:val="32"/>
        </w:rPr>
        <w:t>九、关于机关运行经费支出说明</w:t>
      </w:r>
    </w:p>
    <w:p>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本部门2020年度机关运行经费支出</w:t>
      </w:r>
      <w:r>
        <w:rPr>
          <w:rFonts w:hint="eastAsia" w:asciiTheme="minorEastAsia" w:hAnsiTheme="minorEastAsia" w:eastAsiaTheme="minorEastAsia"/>
          <w:sz w:val="32"/>
          <w:szCs w:val="32"/>
          <w:lang w:val="en-US" w:eastAsia="zh-CN"/>
        </w:rPr>
        <w:t>83.89</w:t>
      </w:r>
      <w:r>
        <w:rPr>
          <w:rFonts w:hint="eastAsia" w:asciiTheme="minorEastAsia" w:hAnsiTheme="minorEastAsia" w:eastAsiaTheme="minorEastAsia"/>
          <w:sz w:val="32"/>
          <w:szCs w:val="32"/>
        </w:rPr>
        <w:t>万元，比年初预算数（或者上年决算数）增加</w:t>
      </w:r>
      <w:r>
        <w:rPr>
          <w:rFonts w:hint="eastAsia" w:asciiTheme="minorEastAsia" w:hAnsiTheme="minorEastAsia" w:eastAsiaTheme="minorEastAsia"/>
          <w:sz w:val="32"/>
          <w:szCs w:val="32"/>
          <w:lang w:val="en-US" w:eastAsia="zh-CN"/>
        </w:rPr>
        <w:t>77.99</w:t>
      </w:r>
      <w:r>
        <w:rPr>
          <w:rFonts w:hint="eastAsia" w:asciiTheme="minorEastAsia" w:hAnsiTheme="minorEastAsia" w:eastAsiaTheme="minorEastAsia"/>
          <w:sz w:val="32"/>
          <w:szCs w:val="32"/>
        </w:rPr>
        <w:t xml:space="preserve"> 万元，增长</w:t>
      </w:r>
      <w:r>
        <w:rPr>
          <w:rFonts w:hint="eastAsia" w:asciiTheme="minorEastAsia" w:hAnsiTheme="minorEastAsia" w:eastAsiaTheme="minorEastAsia"/>
          <w:sz w:val="32"/>
          <w:szCs w:val="32"/>
          <w:lang w:val="en-US" w:eastAsia="zh-CN"/>
        </w:rPr>
        <w:t>1321.86</w:t>
      </w:r>
      <w:r>
        <w:rPr>
          <w:rFonts w:hint="eastAsia" w:asciiTheme="minorEastAsia" w:hAnsiTheme="minorEastAsia" w:eastAsiaTheme="minorEastAsia"/>
          <w:sz w:val="32"/>
          <w:szCs w:val="32"/>
        </w:rPr>
        <w:t>%。主要原因是：</w:t>
      </w:r>
      <w:r>
        <w:rPr>
          <w:rFonts w:hint="eastAsia" w:asciiTheme="minorEastAsia" w:hAnsiTheme="minorEastAsia" w:eastAsiaTheme="minorEastAsia"/>
          <w:sz w:val="32"/>
          <w:szCs w:val="32"/>
          <w:lang w:val="en-US" w:eastAsia="zh-CN"/>
        </w:rPr>
        <w:t>本年度各项支出增加。</w:t>
      </w:r>
    </w:p>
    <w:p>
      <w:pPr>
        <w:pStyle w:val="10"/>
        <w:rPr>
          <w:rFonts w:hAnsi="黑体"/>
          <w:b/>
          <w:sz w:val="32"/>
          <w:szCs w:val="32"/>
        </w:rPr>
      </w:pPr>
      <w:r>
        <w:rPr>
          <w:rFonts w:hint="eastAsia" w:hAnsi="黑体"/>
          <w:b/>
          <w:sz w:val="32"/>
          <w:szCs w:val="32"/>
        </w:rPr>
        <w:t>十、一般性支出情况</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2020年本部门开支会议费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未</w:t>
      </w:r>
      <w:r>
        <w:rPr>
          <w:rFonts w:hint="eastAsia" w:asciiTheme="minorEastAsia" w:hAnsiTheme="minorEastAsia" w:eastAsiaTheme="minorEastAsia"/>
          <w:sz w:val="32"/>
          <w:szCs w:val="32"/>
        </w:rPr>
        <w:t>用于召开会议，人数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未</w:t>
      </w:r>
      <w:r>
        <w:rPr>
          <w:rFonts w:hint="eastAsia" w:asciiTheme="minorEastAsia" w:hAnsiTheme="minorEastAsia" w:eastAsiaTheme="minorEastAsia"/>
          <w:sz w:val="32"/>
          <w:szCs w:val="32"/>
        </w:rPr>
        <w:t>用于开展培训，人数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人，内容</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未</w:t>
      </w:r>
      <w:r>
        <w:rPr>
          <w:rFonts w:hint="eastAsia" w:asciiTheme="minorEastAsia" w:hAnsiTheme="minorEastAsia" w:eastAsiaTheme="minorEastAsia"/>
          <w:sz w:val="32"/>
          <w:szCs w:val="32"/>
        </w:rPr>
        <w:t>举办节庆、晚会、论坛、赛事活动，开支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十一、关于政府采购支出说明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本部门2020年度政府采购支出总额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十二、关于国有资产占用情况说明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截至2020年12月31日，本单位共有车辆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pPr>
        <w:pStyle w:val="10"/>
        <w:rPr>
          <w:rFonts w:hAnsi="黑体"/>
          <w:b/>
          <w:sz w:val="32"/>
          <w:szCs w:val="32"/>
        </w:rPr>
      </w:pPr>
      <w:r>
        <w:rPr>
          <w:rFonts w:hint="eastAsia" w:hAnsi="黑体"/>
          <w:b/>
          <w:sz w:val="32"/>
          <w:szCs w:val="32"/>
        </w:rPr>
        <w:t>十三、关于2020年度预算绩效情况的说明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为做好预算绩效管理工作，我单位重点在以下几个方面上下功夫：一是注重提高认识，转变观念，形成共识；二是注重建立健全预算绩效管理制度体系，夯实工作基础；三是注重绩效管理与业务管理相结合，促进绩效与业务深度融合；四是注重政策、制度评价，促进科学决策、完善制度；五是注重评价结果应用，强化预算绩效约束；六是注重利用信息化手段，提高工作效率；七是注重推动绩效管理信息公开，发挥倒逼效应。</w:t>
      </w:r>
    </w:p>
    <w:p>
      <w:pPr>
        <w:pStyle w:val="10"/>
        <w:rPr>
          <w:rFonts w:hAnsi="黑体"/>
          <w:b/>
          <w:sz w:val="32"/>
          <w:szCs w:val="3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1、财政拨款收入：指县财政当年拨付的资金。</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2、基本支出：指部门为保障其机构正常运转、完成日常工作任务的年度基本支出，包括人员经费和公用经费两部分。</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3、</w:t>
      </w:r>
      <w:r>
        <w:rPr>
          <w:rFonts w:asciiTheme="minorEastAsia" w:hAnsiTheme="minorEastAsia" w:eastAsiaTheme="minorEastAsia"/>
          <w:sz w:val="32"/>
          <w:szCs w:val="32"/>
        </w:rPr>
        <w:t>“三公”经费:包括因公出国（境）费、公务接待费和公务用车购置及运行费</w:t>
      </w:r>
      <w:r>
        <w:rPr>
          <w:rFonts w:hint="eastAsia" w:asciiTheme="minorEastAsia" w:hAnsiTheme="minorEastAsia" w:eastAsiaTheme="minorEastAsia"/>
          <w:sz w:val="32"/>
          <w:szCs w:val="32"/>
        </w:rPr>
        <w:t>。</w:t>
      </w:r>
      <w:r>
        <w:rPr>
          <w:rFonts w:asciiTheme="minorEastAsia" w:hAnsiTheme="minorEastAsia" w:eastAsiaTheme="minorEastAsia"/>
          <w:sz w:val="32"/>
          <w:szCs w:val="32"/>
        </w:rPr>
        <w:t>因公出国（境）费，指单位工作人员公务出国（境）的住宿费、旅费、伙食补助费、杂费、培训费等支出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公务接待费，指单位按规定开支的各类公务接待（含外宾接待）支出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公务用车购置及运行费，指单位公务用车购置费及租用费、燃料费、维修费、过路过桥费、保险费、安全奖励费用等支出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公务用车指用于履行公务的机动车辆。</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4、机关运行经费：</w:t>
      </w:r>
      <w:r>
        <w:rPr>
          <w:rFonts w:asciiTheme="minorEastAsia" w:hAnsiTheme="minorEastAsia" w:eastAsiaTheme="minorEastAsia"/>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jc w:val="center"/>
        <w:textAlignment w:val="auto"/>
        <w:rPr>
          <w:rFonts w:ascii="方正大标宋简体" w:hAnsi="汉仪旗黑-55S" w:eastAsia="方正大标宋简体" w:cs="汉仪旗黑-55S"/>
          <w:bCs/>
          <w:sz w:val="44"/>
          <w:szCs w:val="44"/>
        </w:rPr>
      </w:pPr>
      <w:r>
        <w:rPr>
          <w:rFonts w:asciiTheme="minorEastAsia" w:hAnsiTheme="minorEastAsia"/>
          <w:i/>
          <w:color w:val="FF0000"/>
          <w:sz w:val="32"/>
          <w:szCs w:val="32"/>
        </w:rPr>
        <w:br w:type="page"/>
      </w:r>
      <w:r>
        <w:rPr>
          <w:rFonts w:hint="eastAsia" w:ascii="方正大标宋简体" w:hAnsi="汉仪旗黑-55S" w:eastAsia="方正大标宋简体" w:cs="汉仪旗黑-55S"/>
          <w:bCs/>
          <w:sz w:val="44"/>
          <w:szCs w:val="44"/>
        </w:rPr>
        <w:t>县</w:t>
      </w:r>
      <w:r>
        <w:rPr>
          <w:rFonts w:hint="eastAsia" w:ascii="方正大标宋简体" w:hAnsi="汉仪旗黑-55S" w:eastAsia="方正大标宋简体" w:cs="汉仪旗黑-55S"/>
          <w:bCs/>
          <w:sz w:val="44"/>
          <w:szCs w:val="44"/>
          <w:lang w:eastAsia="zh-CN"/>
        </w:rPr>
        <w:t>工业集中区</w:t>
      </w:r>
      <w:r>
        <w:rPr>
          <w:rFonts w:ascii="方正大标宋简体" w:hAnsi="汉仪旗黑-55S" w:eastAsia="方正大标宋简体" w:cs="汉仪旗黑-55S"/>
          <w:bCs/>
          <w:sz w:val="44"/>
          <w:szCs w:val="44"/>
        </w:rPr>
        <w:t>20</w:t>
      </w:r>
      <w:r>
        <w:rPr>
          <w:rFonts w:hint="eastAsia" w:ascii="方正大标宋简体" w:hAnsi="汉仪旗黑-55S" w:eastAsia="方正大标宋简体" w:cs="汉仪旗黑-55S"/>
          <w:bCs/>
          <w:sz w:val="44"/>
          <w:szCs w:val="44"/>
          <w:lang w:val="en-US" w:eastAsia="zh-CN"/>
        </w:rPr>
        <w:t>20</w:t>
      </w:r>
      <w:r>
        <w:rPr>
          <w:rFonts w:hint="eastAsia" w:ascii="方正大标宋简体" w:hAnsi="汉仪旗黑-55S" w:eastAsia="方正大标宋简体" w:cs="汉仪旗黑-55S"/>
          <w:bCs/>
          <w:sz w:val="44"/>
          <w:szCs w:val="44"/>
        </w:rPr>
        <w:t>年部门整体支出绩效</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jc w:val="center"/>
        <w:textAlignment w:val="auto"/>
        <w:rPr>
          <w:rFonts w:ascii="方正大标宋简体" w:hAnsi="汉仪旗黑-55S" w:eastAsia="方正大标宋简体" w:cs="汉仪旗黑-55S"/>
          <w:bCs/>
          <w:sz w:val="44"/>
          <w:szCs w:val="44"/>
        </w:rPr>
      </w:pPr>
      <w:r>
        <w:rPr>
          <w:rFonts w:hint="eastAsia" w:ascii="方正大标宋简体" w:hAnsi="汉仪旗黑-55S" w:eastAsia="方正大标宋简体" w:cs="汉仪旗黑-55S"/>
          <w:bCs/>
          <w:sz w:val="44"/>
          <w:szCs w:val="44"/>
        </w:rPr>
        <w:t>自</w:t>
      </w:r>
      <w:r>
        <w:rPr>
          <w:rFonts w:ascii="方正大标宋简体" w:hAnsi="汉仪旗黑-55S" w:eastAsia="方正大标宋简体" w:cs="汉仪旗黑-55S"/>
          <w:bCs/>
          <w:sz w:val="44"/>
          <w:szCs w:val="44"/>
        </w:rPr>
        <w:t xml:space="preserve"> </w:t>
      </w:r>
      <w:r>
        <w:rPr>
          <w:rFonts w:hint="eastAsia" w:ascii="方正大标宋简体" w:hAnsi="汉仪旗黑-55S" w:eastAsia="方正大标宋简体" w:cs="汉仪旗黑-55S"/>
          <w:bCs/>
          <w:sz w:val="44"/>
          <w:szCs w:val="44"/>
        </w:rPr>
        <w:t>评</w:t>
      </w:r>
      <w:r>
        <w:rPr>
          <w:rFonts w:ascii="方正大标宋简体" w:hAnsi="汉仪旗黑-55S" w:eastAsia="方正大标宋简体" w:cs="汉仪旗黑-55S"/>
          <w:bCs/>
          <w:sz w:val="44"/>
          <w:szCs w:val="44"/>
        </w:rPr>
        <w:t xml:space="preserve"> </w:t>
      </w:r>
      <w:r>
        <w:rPr>
          <w:rFonts w:hint="eastAsia" w:ascii="方正大标宋简体" w:hAnsi="汉仪旗黑-55S" w:eastAsia="方正大标宋简体" w:cs="汉仪旗黑-55S"/>
          <w:bCs/>
          <w:sz w:val="44"/>
          <w:szCs w:val="44"/>
        </w:rPr>
        <w:t>报</w:t>
      </w:r>
      <w:r>
        <w:rPr>
          <w:rFonts w:ascii="方正大标宋简体" w:hAnsi="汉仪旗黑-55S" w:eastAsia="方正大标宋简体" w:cs="汉仪旗黑-55S"/>
          <w:bCs/>
          <w:sz w:val="44"/>
          <w:szCs w:val="44"/>
        </w:rPr>
        <w:t xml:space="preserve"> </w:t>
      </w:r>
      <w:r>
        <w:rPr>
          <w:rFonts w:hint="eastAsia" w:ascii="方正大标宋简体" w:hAnsi="汉仪旗黑-55S" w:eastAsia="方正大标宋简体" w:cs="汉仪旗黑-55S"/>
          <w:bCs/>
          <w:sz w:val="44"/>
          <w:szCs w:val="44"/>
        </w:rPr>
        <w:t>告</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880" w:firstLineChars="200"/>
        <w:textAlignment w:val="auto"/>
        <w:outlineLvl w:val="9"/>
        <w:rPr>
          <w:rFonts w:ascii="仿宋_GB2312" w:eastAsia="仿宋_GB2312" w:cs="宋体"/>
          <w:b/>
          <w:bCs/>
          <w:sz w:val="44"/>
          <w:szCs w:val="44"/>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一、单位基本情况</w:t>
      </w:r>
    </w:p>
    <w:p>
      <w:pPr>
        <w:widowControl/>
        <w:spacing w:line="600" w:lineRule="exact"/>
        <w:ind w:firstLine="640" w:firstLineChars="200"/>
        <w:rPr>
          <w:rFonts w:asciiTheme="minorEastAsia" w:hAnsiTheme="minorEastAsia"/>
          <w:sz w:val="32"/>
          <w:szCs w:val="32"/>
        </w:rPr>
      </w:pPr>
      <w:r>
        <w:rPr>
          <w:rFonts w:hint="eastAsia" w:asciiTheme="minorEastAsia" w:hAnsiTheme="minorEastAsia"/>
          <w:sz w:val="32"/>
          <w:szCs w:val="32"/>
        </w:rPr>
        <w:t>溆浦县工业集中区党工委、管委会作为溆浦县委、县人民政府派出机构，行使派出职能职权，属正科级事业单位。其内设部门如下：（一）行政事务部（党政办）、（二）人力资源部、（三）工程部、（四）征地安置部、（五）招商服务部、（六）产业发展部、（七）财务部、（八）安保协调部（保安）、（九）警务室。</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二、部门整体支出管理及使用情况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（一）基本支出情况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主要用于在职和退休人员的工资福利，保障正常运转的公用支出和业务支出。</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年单位基本支出</w:t>
      </w:r>
      <w:r>
        <w:rPr>
          <w:rFonts w:hint="eastAsia" w:ascii="仿宋_GB2312" w:hAnsi="仿宋_GB2312" w:eastAsia="仿宋_GB2312" w:cs="仿宋_GB2312"/>
          <w:sz w:val="32"/>
          <w:szCs w:val="32"/>
          <w:lang w:val="en-US" w:eastAsia="zh-CN"/>
        </w:rPr>
        <w:t>109.07</w:t>
      </w:r>
      <w:r>
        <w:rPr>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2"/>
          <w:lang w:val="en-US" w:eastAsia="zh-CN"/>
        </w:rPr>
        <w:t>25.18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主要包括：基本工资、津贴补贴、奖金、其他工资福利支出等。</w:t>
      </w:r>
      <w:r>
        <w:rPr>
          <w:rFonts w:hint="eastAsia" w:ascii="仿宋_GB2312" w:hAnsi="仿宋_GB2312" w:eastAsia="仿宋_GB2312" w:cs="仿宋_GB2312"/>
          <w:sz w:val="32"/>
          <w:szCs w:val="32"/>
        </w:rPr>
        <w:t>商品服务支出</w:t>
      </w:r>
      <w:r>
        <w:rPr>
          <w:rFonts w:hint="eastAsia" w:ascii="仿宋_GB2312" w:hAnsi="仿宋_GB2312" w:eastAsia="仿宋_GB2312" w:cs="仿宋_GB2312"/>
          <w:sz w:val="32"/>
          <w:szCs w:val="32"/>
          <w:lang w:val="en-US" w:eastAsia="zh-CN"/>
        </w:rPr>
        <w:t>83.89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主要包括：办公费、印刷费、水电费、差旅费等；“三公经费”严格按照上级有关规定从严管理，从严控制，</w:t>
      </w:r>
      <w:r>
        <w:rPr>
          <w:rFonts w:hint="eastAsia" w:ascii="仿宋_GB2312" w:hAnsi="仿宋_GB2312" w:eastAsia="仿宋_GB2312" w:cs="仿宋_GB2312"/>
          <w:sz w:val="32"/>
          <w:szCs w:val="32"/>
          <w:lang w:val="en-US" w:eastAsia="zh-CN"/>
        </w:rPr>
        <w:t>2020年度单位</w:t>
      </w:r>
      <w:r>
        <w:rPr>
          <w:rFonts w:hint="eastAsia" w:ascii="仿宋_GB2312" w:hAnsi="仿宋_GB2312" w:eastAsia="仿宋_GB2312" w:cs="仿宋_GB2312"/>
          <w:sz w:val="32"/>
          <w:szCs w:val="32"/>
        </w:rPr>
        <w:t>“三公”经费</w:t>
      </w:r>
      <w:r>
        <w:rPr>
          <w:rFonts w:hint="eastAsia" w:ascii="仿宋_GB2312" w:hAnsi="仿宋_GB2312" w:eastAsia="仿宋_GB2312" w:cs="仿宋_GB2312"/>
          <w:sz w:val="32"/>
          <w:szCs w:val="32"/>
          <w:lang w:val="en-US" w:eastAsia="zh-CN"/>
        </w:rPr>
        <w:t>公务接待费为1.01万元。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（二）项目支出情况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2020年单位项目支出36945.68万元。项目资金用于相关工作的开展，保障了既定工作任务的完成，保障了社会和谐稳定和公平公正。</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三、资产管理情况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本单位固定资产</w:t>
      </w:r>
      <w:r>
        <w:rPr>
          <w:rFonts w:hint="eastAsia" w:ascii="仿宋_GB2312" w:hAnsi="仿宋_GB2312" w:eastAsia="仿宋_GB2312" w:cs="仿宋_GB2312"/>
          <w:sz w:val="32"/>
          <w:szCs w:val="32"/>
        </w:rPr>
        <w:t>主要由办公用房及设备等组成，存放在机关保障工作正常开展。本年度无自用国有资产对外投资、出租出借或处置国有资产取得收益。资产管理体制和制度建设方面，根据财政部门和主管部门的要求，建立完善了本单位资产管理制度，确定了资产管理员，安排专人履行职能，并要求财务人员予以配合。同时，按程序购置和处置相关资产，并及时录入到系统。</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部门整体支出绩效情况</w:t>
      </w:r>
    </w:p>
    <w:p>
      <w:pPr>
        <w:keepNext w:val="0"/>
        <w:keepLines w:val="0"/>
        <w:pageBreakBefore w:val="0"/>
        <w:numPr>
          <w:ilvl w:val="0"/>
          <w:numId w:val="0"/>
        </w:numPr>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sz w:val="32"/>
          <w:szCs w:val="32"/>
          <w:lang w:eastAsia="zh-CN"/>
        </w:rPr>
        <w:t>根据溆浦县财政局</w:t>
      </w:r>
      <w:r>
        <w:rPr>
          <w:rFonts w:hint="eastAsia" w:ascii="仿宋_GB2312" w:hAnsi="仿宋_GB2312" w:eastAsia="仿宋_GB2312" w:cs="仿宋_GB2312"/>
          <w:sz w:val="32"/>
          <w:szCs w:val="32"/>
          <w:lang w:val="en-US" w:eastAsia="zh-CN"/>
        </w:rPr>
        <w:t>2020年度部门整体支出绩效评价指标考评，此次自评综合得分为96</w:t>
      </w:r>
      <w:bookmarkStart w:id="3" w:name="_GoBack"/>
      <w:bookmarkEnd w:id="3"/>
      <w:r>
        <w:rPr>
          <w:rFonts w:hint="eastAsia" w:ascii="仿宋_GB2312" w:hAnsi="仿宋_GB2312" w:eastAsia="仿宋_GB2312" w:cs="仿宋_GB2312"/>
          <w:sz w:val="32"/>
          <w:szCs w:val="32"/>
          <w:lang w:val="en-US" w:eastAsia="zh-CN"/>
        </w:rPr>
        <w:t>分，从整体上</w:t>
      </w:r>
      <w:r>
        <w:rPr>
          <w:rFonts w:hint="eastAsia" w:ascii="仿宋_GB2312" w:hAnsi="仿宋_GB2312" w:eastAsia="仿宋_GB2312" w:cs="仿宋_GB2312"/>
          <w:i w:val="0"/>
          <w:caps w:val="0"/>
          <w:color w:val="000000"/>
          <w:spacing w:val="0"/>
          <w:sz w:val="32"/>
          <w:szCs w:val="32"/>
          <w:shd w:val="clear" w:fill="FFFFFF"/>
        </w:rPr>
        <w:t>看，我</w:t>
      </w:r>
      <w:r>
        <w:rPr>
          <w:rFonts w:hint="eastAsia" w:ascii="仿宋_GB2312" w:hAnsi="仿宋_GB2312" w:eastAsia="仿宋_GB2312" w:cs="仿宋_GB2312"/>
          <w:i w:val="0"/>
          <w:caps w:val="0"/>
          <w:color w:val="000000"/>
          <w:spacing w:val="0"/>
          <w:sz w:val="32"/>
          <w:szCs w:val="32"/>
          <w:shd w:val="clear" w:fill="FFFFFF"/>
          <w:lang w:eastAsia="zh-CN"/>
        </w:rPr>
        <w:t>单位</w:t>
      </w:r>
      <w:r>
        <w:rPr>
          <w:rFonts w:hint="eastAsia" w:ascii="仿宋_GB2312" w:hAnsi="仿宋_GB2312" w:eastAsia="仿宋_GB2312" w:cs="仿宋_GB2312"/>
          <w:i w:val="0"/>
          <w:caps w:val="0"/>
          <w:color w:val="000000"/>
          <w:spacing w:val="0"/>
          <w:sz w:val="32"/>
          <w:szCs w:val="32"/>
          <w:shd w:val="clear" w:fill="FFFFFF"/>
        </w:rPr>
        <w:t>资金运行维护决策正确，资金管理规范，项目管理到位，政策执行有力，有效发挥了财政资金的使用效率。我</w:t>
      </w:r>
      <w:r>
        <w:rPr>
          <w:rFonts w:hint="eastAsia" w:ascii="仿宋_GB2312" w:hAnsi="仿宋_GB2312" w:eastAsia="仿宋_GB2312" w:cs="仿宋_GB2312"/>
          <w:i w:val="0"/>
          <w:caps w:val="0"/>
          <w:color w:val="000000"/>
          <w:spacing w:val="0"/>
          <w:sz w:val="32"/>
          <w:szCs w:val="32"/>
          <w:shd w:val="clear" w:fill="FFFFFF"/>
          <w:lang w:eastAsia="zh-CN"/>
        </w:rPr>
        <w:t>单位</w:t>
      </w:r>
      <w:r>
        <w:rPr>
          <w:rFonts w:hint="eastAsia" w:ascii="仿宋_GB2312" w:hAnsi="仿宋_GB2312" w:eastAsia="仿宋_GB2312" w:cs="仿宋_GB2312"/>
          <w:i w:val="0"/>
          <w:caps w:val="0"/>
          <w:color w:val="000000"/>
          <w:spacing w:val="0"/>
          <w:sz w:val="32"/>
          <w:szCs w:val="32"/>
          <w:shd w:val="clear" w:fill="FFFFFF"/>
        </w:rPr>
        <w:t>项目资金其主要用途是</w:t>
      </w:r>
      <w:r>
        <w:rPr>
          <w:rFonts w:hint="eastAsia" w:ascii="仿宋_GB2312" w:hAnsi="仿宋_GB2312" w:eastAsia="仿宋_GB2312" w:cs="仿宋_GB2312"/>
          <w:i w:val="0"/>
          <w:caps w:val="0"/>
          <w:color w:val="000000"/>
          <w:spacing w:val="0"/>
          <w:sz w:val="32"/>
          <w:szCs w:val="32"/>
          <w:shd w:val="clear" w:fill="FFFFFF"/>
          <w:lang w:eastAsia="zh-CN"/>
        </w:rPr>
        <w:t>招商引资，</w:t>
      </w:r>
      <w:r>
        <w:rPr>
          <w:rFonts w:hint="eastAsia" w:ascii="仿宋_GB2312" w:hAnsi="仿宋_GB2312" w:eastAsia="仿宋_GB2312" w:cs="仿宋_GB2312"/>
          <w:sz w:val="32"/>
          <w:szCs w:val="32"/>
        </w:rPr>
        <w:t>优化</w:t>
      </w:r>
      <w:r>
        <w:rPr>
          <w:rFonts w:hint="eastAsia" w:ascii="仿宋_GB2312" w:hAnsi="仿宋_GB2312" w:eastAsia="仿宋_GB2312" w:cs="仿宋_GB2312"/>
          <w:sz w:val="32"/>
          <w:szCs w:val="32"/>
          <w:lang w:eastAsia="zh-CN"/>
        </w:rPr>
        <w:t>投资</w:t>
      </w:r>
      <w:r>
        <w:rPr>
          <w:rFonts w:hint="eastAsia" w:ascii="仿宋_GB2312" w:hAnsi="仿宋_GB2312" w:eastAsia="仿宋_GB2312" w:cs="仿宋_GB2312"/>
          <w:sz w:val="32"/>
          <w:szCs w:val="32"/>
        </w:rPr>
        <w:t>环境</w:t>
      </w:r>
      <w:r>
        <w:rPr>
          <w:rFonts w:hint="eastAsia" w:ascii="仿宋_GB2312" w:hAnsi="仿宋_GB2312" w:eastAsia="仿宋_GB2312" w:cs="仿宋_GB2312"/>
          <w:i w:val="0"/>
          <w:caps w:val="0"/>
          <w:color w:val="000000"/>
          <w:spacing w:val="0"/>
          <w:sz w:val="32"/>
          <w:szCs w:val="32"/>
          <w:shd w:val="clear" w:fill="FFFFFF"/>
        </w:rPr>
        <w:t>；在人员经费支出、公共支出严格执行</w:t>
      </w:r>
      <w:r>
        <w:rPr>
          <w:rFonts w:hint="eastAsia" w:ascii="仿宋_GB2312" w:hAnsi="仿宋_GB2312" w:eastAsia="仿宋_GB2312" w:cs="仿宋_GB2312"/>
          <w:i w:val="0"/>
          <w:caps w:val="0"/>
          <w:color w:val="000000"/>
          <w:spacing w:val="0"/>
          <w:sz w:val="32"/>
          <w:szCs w:val="32"/>
          <w:shd w:val="clear" w:fill="FFFFFF"/>
          <w:lang w:eastAsia="zh-CN"/>
        </w:rPr>
        <w:t>上级</w:t>
      </w:r>
      <w:r>
        <w:rPr>
          <w:rFonts w:hint="eastAsia" w:ascii="仿宋_GB2312" w:hAnsi="仿宋_GB2312" w:eastAsia="仿宋_GB2312" w:cs="仿宋_GB2312"/>
          <w:i w:val="0"/>
          <w:caps w:val="0"/>
          <w:color w:val="000000"/>
          <w:spacing w:val="0"/>
          <w:sz w:val="32"/>
          <w:szCs w:val="32"/>
          <w:shd w:val="clear" w:fill="FFFFFF"/>
        </w:rPr>
        <w:t>的各项制度；在项目经费的使用上，在保证各项任务顺利完成的同时，严格落实厉行节约的原则；三公经费的使用严格控制在预算申报的范围内。</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五、存在的主要问题</w:t>
      </w:r>
    </w:p>
    <w:p>
      <w:pPr>
        <w:pStyle w:val="5"/>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jc w:val="both"/>
        <w:textAlignment w:val="auto"/>
        <w:outlineLvl w:val="9"/>
        <w:rPr>
          <w:rFonts w:hint="eastAsia" w:ascii="仿宋_GB2312" w:hAnsi="仿宋_GB2312" w:eastAsia="仿宋_GB2312" w:cs="仿宋_GB2312"/>
          <w:color w:val="000000"/>
          <w:spacing w:val="-4"/>
          <w:kern w:val="2"/>
          <w:sz w:val="32"/>
          <w:szCs w:val="32"/>
        </w:rPr>
      </w:pPr>
      <w:r>
        <w:rPr>
          <w:rFonts w:hint="eastAsia" w:ascii="仿宋_GB2312" w:hAnsi="仿宋_GB2312" w:eastAsia="仿宋_GB2312" w:cs="仿宋_GB2312"/>
          <w:color w:val="000000"/>
          <w:spacing w:val="-4"/>
          <w:kern w:val="2"/>
          <w:sz w:val="32"/>
          <w:szCs w:val="32"/>
          <w:lang w:eastAsia="zh-CN"/>
        </w:rPr>
        <w:t>　　</w:t>
      </w:r>
      <w:r>
        <w:rPr>
          <w:rFonts w:hint="eastAsia" w:ascii="仿宋_GB2312" w:hAnsi="仿宋_GB2312" w:eastAsia="仿宋_GB2312" w:cs="仿宋_GB2312"/>
          <w:color w:val="000000"/>
          <w:spacing w:val="-4"/>
          <w:kern w:val="2"/>
          <w:sz w:val="32"/>
          <w:szCs w:val="32"/>
        </w:rPr>
        <w:t>资金安排难以有效满足工作需要，由于市场设施存</w:t>
      </w:r>
      <w:r>
        <w:rPr>
          <w:rFonts w:hint="eastAsia" w:ascii="仿宋_GB2312" w:hAnsi="仿宋_GB2312" w:eastAsia="仿宋_GB2312" w:cs="仿宋_GB2312"/>
          <w:bCs/>
          <w:color w:val="333333"/>
          <w:sz w:val="32"/>
          <w:szCs w:val="32"/>
        </w:rPr>
        <w:t>在</w:t>
      </w:r>
      <w:r>
        <w:rPr>
          <w:rFonts w:hint="eastAsia" w:ascii="仿宋_GB2312" w:hAnsi="仿宋_GB2312" w:eastAsia="仿宋_GB2312" w:cs="仿宋_GB2312"/>
          <w:color w:val="000000"/>
          <w:spacing w:val="-4"/>
          <w:kern w:val="2"/>
          <w:sz w:val="32"/>
          <w:szCs w:val="32"/>
        </w:rPr>
        <w:t>很多不确定因素，我中心要投入大量人力、财务、物力。</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六、有关建议</w:t>
      </w:r>
    </w:p>
    <w:p>
      <w:pPr>
        <w:keepNext w:val="0"/>
        <w:keepLines w:val="0"/>
        <w:pageBreakBefore w:val="0"/>
        <w:widowControl/>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shd w:val="clear" w:color="auto" w:fill="FFFFFF"/>
        </w:rPr>
        <w:t>　　一是加强财务管理，严格财务审核。加强单位财务管理，健全单位财务管理制度体系，规范单位财务行为。在费用报账支付时，按照预算规定的费用项目和用途进行资金使用审核、列报支付、财务核算，杜绝超支现象的发生。</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outlineLvl w:val="9"/>
        <w:rPr>
          <w:rFonts w:ascii="仿宋_GB2312" w:hAnsi="新宋体" w:eastAsia="仿宋_GB2312" w:cs="新宋体"/>
          <w:color w:val="333333"/>
          <w:sz w:val="32"/>
          <w:szCs w:val="32"/>
        </w:rPr>
      </w:pPr>
      <w:r>
        <w:rPr>
          <w:rFonts w:hint="eastAsia" w:ascii="仿宋_GB2312" w:hAnsi="仿宋_GB2312" w:eastAsia="仿宋_GB2312" w:cs="仿宋_GB2312"/>
          <w:kern w:val="0"/>
          <w:sz w:val="32"/>
          <w:szCs w:val="32"/>
          <w:shd w:val="clear" w:color="auto" w:fill="FFFFFF"/>
        </w:rPr>
        <w:t>　　二是对相关人员加强培训，特别是针对《预算法》、《行政事业单位会计制度》等学习培训，规范部门预算收支核算，切实提高部门预算收支管理水平。</w:t>
      </w:r>
      <w:r>
        <w:rPr>
          <w:rFonts w:ascii="新宋体" w:hAnsi="新宋体" w:eastAsia="仿宋_GB2312" w:cs="新宋体"/>
          <w:color w:val="333333"/>
          <w:sz w:val="32"/>
          <w:szCs w:val="32"/>
        </w:rPr>
        <w:t>                   </w:t>
      </w:r>
    </w:p>
    <w:p>
      <w:pPr>
        <w:pStyle w:val="5"/>
        <w:widowControl/>
        <w:spacing w:beforeAutospacing="0" w:afterAutospacing="0" w:line="400" w:lineRule="atLeast"/>
        <w:ind w:left="480"/>
        <w:jc w:val="both"/>
        <w:rPr>
          <w:rFonts w:ascii="仿宋_GB2312" w:hAnsi="新宋体" w:eastAsia="仿宋_GB2312" w:cs="新宋体"/>
          <w:color w:val="333333"/>
          <w:sz w:val="32"/>
          <w:szCs w:val="32"/>
        </w:rPr>
      </w:pPr>
    </w:p>
    <w:p>
      <w:pPr>
        <w:ind w:firstLine="600"/>
        <w:rPr>
          <w:rFonts w:ascii="仿宋_GB2312" w:hAnsi="新宋体" w:eastAsia="仿宋_GB2312" w:cs="新宋体"/>
          <w:color w:val="000000"/>
          <w:spacing w:val="-4"/>
          <w:sz w:val="32"/>
          <w:szCs w:val="32"/>
        </w:rPr>
      </w:pPr>
    </w:p>
    <w:p>
      <w:pPr>
        <w:jc w:val="left"/>
        <w:rPr>
          <w:rFonts w:cs="黑体" w:asciiTheme="minorEastAsia" w:hAnsiTheme="minorEastAsia"/>
          <w:color w:val="000000"/>
          <w:kern w:val="0"/>
          <w:sz w:val="32"/>
          <w:szCs w:val="32"/>
        </w:rPr>
      </w:pPr>
    </w:p>
    <w:p>
      <w:pPr>
        <w:pStyle w:val="10"/>
        <w:jc w:val="center"/>
        <w:rPr>
          <w:sz w:val="72"/>
          <w:szCs w:val="72"/>
        </w:rPr>
      </w:pPr>
    </w:p>
    <w:p>
      <w:pPr>
        <w:pStyle w:val="10"/>
        <w:ind w:firstLine="640" w:firstLineChars="200"/>
        <w:rPr>
          <w:rFonts w:asciiTheme="minorEastAsia" w:hAnsiTheme="minorEastAsia"/>
          <w:i/>
          <w:color w:val="FF000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3000509000000000000"/>
    <w:charset w:val="86"/>
    <w:family w:val="script"/>
    <w:pitch w:val="default"/>
    <w:sig w:usb0="00000000" w:usb1="00000000" w:usb2="00000000" w:usb3="00000000" w:csb0="00040000" w:csb1="00000000"/>
  </w:font>
  <w:font w:name="汉仪旗黑-55S">
    <w:altName w:val="黑体"/>
    <w:panose1 w:val="00020600040101010101"/>
    <w:charset w:val="86"/>
    <w:family w:val="auto"/>
    <w:pitch w:val="default"/>
    <w:sig w:usb0="00000000" w:usb1="00000000" w:usb2="00000016"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68AA7C"/>
    <w:multiLevelType w:val="singleLevel"/>
    <w:tmpl w:val="B968AA7C"/>
    <w:lvl w:ilvl="0" w:tentative="0">
      <w:start w:val="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CE4A847"/>
    <w:multiLevelType w:val="singleLevel"/>
    <w:tmpl w:val="5CE4A847"/>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15B7"/>
    <w:rsid w:val="00041E3F"/>
    <w:rsid w:val="00055DAA"/>
    <w:rsid w:val="00061F7B"/>
    <w:rsid w:val="000658A3"/>
    <w:rsid w:val="00074155"/>
    <w:rsid w:val="000A3F69"/>
    <w:rsid w:val="00103957"/>
    <w:rsid w:val="00152C6D"/>
    <w:rsid w:val="00162D39"/>
    <w:rsid w:val="001678BD"/>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7E6"/>
    <w:rsid w:val="003C4FC2"/>
    <w:rsid w:val="00416E61"/>
    <w:rsid w:val="0042790C"/>
    <w:rsid w:val="004506F9"/>
    <w:rsid w:val="004717A2"/>
    <w:rsid w:val="00473DF3"/>
    <w:rsid w:val="00487911"/>
    <w:rsid w:val="00491741"/>
    <w:rsid w:val="00500E5F"/>
    <w:rsid w:val="005122EF"/>
    <w:rsid w:val="0051441A"/>
    <w:rsid w:val="00517C33"/>
    <w:rsid w:val="00523644"/>
    <w:rsid w:val="0054069E"/>
    <w:rsid w:val="00544866"/>
    <w:rsid w:val="005767CC"/>
    <w:rsid w:val="00590D9F"/>
    <w:rsid w:val="00595D26"/>
    <w:rsid w:val="005A74E6"/>
    <w:rsid w:val="005B404E"/>
    <w:rsid w:val="005D4D55"/>
    <w:rsid w:val="005E2CFB"/>
    <w:rsid w:val="005F3D1C"/>
    <w:rsid w:val="0062378F"/>
    <w:rsid w:val="00641842"/>
    <w:rsid w:val="00651EEC"/>
    <w:rsid w:val="00691E8C"/>
    <w:rsid w:val="006A22C4"/>
    <w:rsid w:val="006A351B"/>
    <w:rsid w:val="006B0422"/>
    <w:rsid w:val="006C1B53"/>
    <w:rsid w:val="006D7730"/>
    <w:rsid w:val="006E5284"/>
    <w:rsid w:val="006F3EB5"/>
    <w:rsid w:val="00702E34"/>
    <w:rsid w:val="00704395"/>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44EE"/>
    <w:rsid w:val="00DD06FF"/>
    <w:rsid w:val="00DD5FE9"/>
    <w:rsid w:val="00E00C7A"/>
    <w:rsid w:val="00E37D6C"/>
    <w:rsid w:val="00E55B68"/>
    <w:rsid w:val="00E67BE6"/>
    <w:rsid w:val="00E8683C"/>
    <w:rsid w:val="00EA2B72"/>
    <w:rsid w:val="00F74360"/>
    <w:rsid w:val="00FB462F"/>
    <w:rsid w:val="00FE16FA"/>
    <w:rsid w:val="00FE328A"/>
    <w:rsid w:val="00FE6269"/>
    <w:rsid w:val="08B92ACE"/>
    <w:rsid w:val="2FB75962"/>
    <w:rsid w:val="467A699C"/>
    <w:rsid w:val="52CD0317"/>
    <w:rsid w:val="53D63C48"/>
    <w:rsid w:val="5A8E29AE"/>
    <w:rsid w:val="69593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Autospacing="1" w:afterAutospacing="1"/>
      <w:jc w:val="left"/>
    </w:pPr>
    <w:rPr>
      <w:kern w:val="0"/>
      <w:sz w:val="24"/>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8E8E99-0876-4457-84BE-74A901AF77D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1308</Words>
  <Characters>7462</Characters>
  <Lines>62</Lines>
  <Paragraphs>17</Paragraphs>
  <TotalTime>7</TotalTime>
  <ScaleCrop>false</ScaleCrop>
  <LinksUpToDate>false</LinksUpToDate>
  <CharactersWithSpaces>8753</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2021-07-28T00:12:00Z</cp:lastPrinted>
  <dcterms:modified xsi:type="dcterms:W3CDTF">2021-10-26T01:32:04Z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