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jc w:val="center"/>
        <w:rPr>
          <w:sz w:val="56"/>
          <w:szCs w:val="56"/>
        </w:rPr>
      </w:pPr>
    </w:p>
    <w:p>
      <w:pPr>
        <w:pStyle w:val="10"/>
        <w:jc w:val="center"/>
        <w:rPr>
          <w:sz w:val="56"/>
          <w:szCs w:val="56"/>
        </w:rPr>
      </w:pPr>
    </w:p>
    <w:p>
      <w:pPr>
        <w:pStyle w:val="10"/>
        <w:jc w:val="center"/>
        <w:rPr>
          <w:sz w:val="84"/>
          <w:szCs w:val="84"/>
        </w:rPr>
      </w:pPr>
    </w:p>
    <w:p>
      <w:pPr>
        <w:pStyle w:val="10"/>
        <w:jc w:val="center"/>
        <w:rPr>
          <w:sz w:val="84"/>
          <w:szCs w:val="84"/>
        </w:rPr>
      </w:pPr>
    </w:p>
    <w:p>
      <w:pPr>
        <w:pStyle w:val="10"/>
        <w:jc w:val="center"/>
        <w:rPr>
          <w:sz w:val="84"/>
          <w:szCs w:val="84"/>
        </w:rPr>
      </w:pPr>
      <w:r>
        <w:rPr>
          <w:rFonts w:hint="eastAsia"/>
          <w:sz w:val="84"/>
          <w:szCs w:val="84"/>
        </w:rPr>
        <w:t>2019年度</w:t>
      </w:r>
    </w:p>
    <w:p>
      <w:pPr>
        <w:pStyle w:val="10"/>
        <w:jc w:val="center"/>
        <w:rPr>
          <w:sz w:val="84"/>
          <w:szCs w:val="84"/>
        </w:rPr>
      </w:pPr>
      <w:r>
        <w:rPr>
          <w:rFonts w:hint="eastAsia"/>
          <w:sz w:val="84"/>
          <w:szCs w:val="84"/>
        </w:rPr>
        <w:t>溆浦县工业集中区管理委员会部门决算</w:t>
      </w:r>
    </w:p>
    <w:p>
      <w:pPr>
        <w:pStyle w:val="10"/>
        <w:jc w:val="center"/>
        <w:rPr>
          <w:sz w:val="56"/>
          <w:szCs w:val="56"/>
        </w:rPr>
      </w:pPr>
    </w:p>
    <w:p>
      <w:pPr>
        <w:pStyle w:val="10"/>
        <w:jc w:val="center"/>
        <w:rPr>
          <w:sz w:val="56"/>
          <w:szCs w:val="56"/>
        </w:rPr>
      </w:pPr>
    </w:p>
    <w:p>
      <w:pPr>
        <w:pStyle w:val="10"/>
        <w:jc w:val="center"/>
        <w:rPr>
          <w:sz w:val="56"/>
          <w:szCs w:val="56"/>
        </w:rPr>
      </w:pPr>
    </w:p>
    <w:p>
      <w:pPr>
        <w:pStyle w:val="10"/>
        <w:jc w:val="center"/>
        <w:rPr>
          <w:sz w:val="56"/>
          <w:szCs w:val="56"/>
        </w:rPr>
      </w:pPr>
    </w:p>
    <w:p>
      <w:pPr>
        <w:pStyle w:val="10"/>
        <w:jc w:val="center"/>
        <w:rPr>
          <w:sz w:val="56"/>
          <w:szCs w:val="56"/>
        </w:rPr>
      </w:pPr>
    </w:p>
    <w:p>
      <w:pPr>
        <w:pStyle w:val="10"/>
        <w:jc w:val="both"/>
        <w:rPr>
          <w:sz w:val="56"/>
          <w:szCs w:val="56"/>
        </w:rPr>
      </w:pPr>
    </w:p>
    <w:p>
      <w:pPr>
        <w:pStyle w:val="10"/>
        <w:spacing w:line="540" w:lineRule="exact"/>
        <w:jc w:val="center"/>
        <w:rPr>
          <w:sz w:val="56"/>
          <w:szCs w:val="56"/>
        </w:rPr>
      </w:pPr>
    </w:p>
    <w:p>
      <w:pPr>
        <w:pStyle w:val="10"/>
        <w:spacing w:line="520" w:lineRule="exact"/>
        <w:jc w:val="center"/>
        <w:rPr>
          <w:sz w:val="56"/>
          <w:szCs w:val="56"/>
        </w:rPr>
      </w:pPr>
      <w:r>
        <w:rPr>
          <w:rFonts w:hint="eastAsia"/>
          <w:sz w:val="56"/>
          <w:szCs w:val="56"/>
        </w:rPr>
        <w:t>目录</w:t>
      </w:r>
    </w:p>
    <w:p>
      <w:pPr>
        <w:pStyle w:val="10"/>
        <w:spacing w:line="520" w:lineRule="exact"/>
        <w:rPr>
          <w:rFonts w:ascii="仿宋_GB2312" w:hAnsi="仿宋_GB2312" w:cs="仿宋_GB2312"/>
          <w:b/>
          <w:sz w:val="28"/>
          <w:szCs w:val="28"/>
        </w:rPr>
      </w:pPr>
      <w:r>
        <w:rPr>
          <w:rFonts w:hint="eastAsia"/>
          <w:b/>
          <w:sz w:val="28"/>
          <w:szCs w:val="28"/>
        </w:rPr>
        <w:t>第一部分溆浦县工业集中区管理委员会单位概况</w:t>
      </w:r>
    </w:p>
    <w:p>
      <w:pPr>
        <w:pStyle w:val="10"/>
        <w:spacing w:line="52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pPr>
        <w:pStyle w:val="10"/>
        <w:spacing w:line="52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pPr>
        <w:pStyle w:val="10"/>
        <w:spacing w:line="520" w:lineRule="exact"/>
        <w:rPr>
          <w:rFonts w:ascii="仿宋_GB2312" w:hAnsi="仿宋_GB2312" w:cs="仿宋_GB2312"/>
          <w:b/>
          <w:sz w:val="28"/>
          <w:szCs w:val="28"/>
        </w:rPr>
      </w:pPr>
      <w:r>
        <w:rPr>
          <w:rFonts w:hint="eastAsia" w:hAnsi="仿宋_GB2312"/>
          <w:b/>
          <w:sz w:val="28"/>
          <w:szCs w:val="28"/>
        </w:rPr>
        <w:t>第二部分</w:t>
      </w:r>
      <w:r>
        <w:rPr>
          <w:rFonts w:hAnsi="仿宋_GB2312"/>
          <w:b/>
          <w:sz w:val="28"/>
          <w:szCs w:val="28"/>
        </w:rPr>
        <w:t>2019</w:t>
      </w:r>
      <w:r>
        <w:rPr>
          <w:rFonts w:hint="eastAsia" w:hAnsi="仿宋_GB2312"/>
          <w:b/>
          <w:sz w:val="28"/>
          <w:szCs w:val="28"/>
        </w:rPr>
        <w:t>年度部门决算表</w:t>
      </w:r>
    </w:p>
    <w:p>
      <w:pPr>
        <w:pStyle w:val="10"/>
        <w:spacing w:line="52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一、收入支出决算总表</w:t>
      </w:r>
    </w:p>
    <w:p>
      <w:pPr>
        <w:pStyle w:val="10"/>
        <w:spacing w:line="52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二、收入决算表</w:t>
      </w:r>
    </w:p>
    <w:p>
      <w:pPr>
        <w:pStyle w:val="10"/>
        <w:spacing w:line="52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三、支出决算表</w:t>
      </w:r>
    </w:p>
    <w:p>
      <w:pPr>
        <w:pStyle w:val="10"/>
        <w:spacing w:line="52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四、财政拨款收入支出决算总表</w:t>
      </w:r>
    </w:p>
    <w:p>
      <w:pPr>
        <w:pStyle w:val="10"/>
        <w:spacing w:line="52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五、一般公共预算财政拨款支出决算表</w:t>
      </w:r>
    </w:p>
    <w:p>
      <w:pPr>
        <w:pStyle w:val="10"/>
        <w:spacing w:line="52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六、一般公共预算财政拨款基本支出决算表</w:t>
      </w:r>
    </w:p>
    <w:p>
      <w:pPr>
        <w:pStyle w:val="10"/>
        <w:spacing w:line="52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七、一般公共预算财政拨款“三公”经费支出决算表</w:t>
      </w:r>
    </w:p>
    <w:p>
      <w:pPr>
        <w:pStyle w:val="10"/>
        <w:spacing w:line="52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八、政府性基金预算财政拨款收入支出决算表</w:t>
      </w:r>
    </w:p>
    <w:p>
      <w:pPr>
        <w:pStyle w:val="10"/>
        <w:spacing w:line="520" w:lineRule="exact"/>
        <w:rPr>
          <w:rFonts w:ascii="仿宋_GB2312" w:hAnsi="仿宋_GB2312" w:cs="仿宋_GB2312"/>
          <w:b/>
          <w:sz w:val="28"/>
          <w:szCs w:val="28"/>
        </w:rPr>
      </w:pPr>
      <w:r>
        <w:rPr>
          <w:rFonts w:hint="eastAsia" w:hAnsi="仿宋_GB2312"/>
          <w:b/>
          <w:sz w:val="28"/>
          <w:szCs w:val="28"/>
        </w:rPr>
        <w:t>第三部分</w:t>
      </w:r>
      <w:r>
        <w:rPr>
          <w:rFonts w:hAnsi="仿宋_GB2312"/>
          <w:b/>
          <w:sz w:val="28"/>
          <w:szCs w:val="28"/>
        </w:rPr>
        <w:t>2019</w:t>
      </w:r>
      <w:r>
        <w:rPr>
          <w:rFonts w:hint="eastAsia" w:hAnsi="仿宋_GB2312"/>
          <w:b/>
          <w:sz w:val="28"/>
          <w:szCs w:val="28"/>
        </w:rPr>
        <w:t>年度部门决算情况说明</w:t>
      </w:r>
    </w:p>
    <w:p>
      <w:pPr>
        <w:pStyle w:val="10"/>
        <w:spacing w:line="52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一、收入支出决算总体情况说明</w:t>
      </w:r>
    </w:p>
    <w:p>
      <w:pPr>
        <w:spacing w:line="520" w:lineRule="exact"/>
        <w:ind w:firstLine="700" w:firstLineChars="250"/>
        <w:jc w:val="left"/>
        <w:rPr>
          <w:rFonts w:ascii="仿宋_GB2312" w:hAnsi="仿宋_GB2312" w:cs="仿宋_GB2312"/>
          <w:sz w:val="28"/>
          <w:szCs w:val="28"/>
        </w:rPr>
      </w:pPr>
      <w:r>
        <w:rPr>
          <w:rFonts w:ascii="仿宋_GB2312" w:hAnsi="仿宋_GB2312" w:cs="仿宋_GB2312"/>
          <w:sz w:val="28"/>
          <w:szCs w:val="28"/>
        </w:rPr>
        <w:t>二、收入决算情况说明</w:t>
      </w:r>
    </w:p>
    <w:p>
      <w:pPr>
        <w:autoSpaceDE w:val="0"/>
        <w:autoSpaceDN w:val="0"/>
        <w:adjustRightInd w:val="0"/>
        <w:spacing w:line="52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三、支出决算情况说明</w:t>
      </w:r>
    </w:p>
    <w:p>
      <w:pPr>
        <w:autoSpaceDE w:val="0"/>
        <w:autoSpaceDN w:val="0"/>
        <w:adjustRightInd w:val="0"/>
        <w:spacing w:line="52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四、财政拨款收入支出决算总体情况说明</w:t>
      </w:r>
    </w:p>
    <w:p>
      <w:pPr>
        <w:autoSpaceDE w:val="0"/>
        <w:autoSpaceDN w:val="0"/>
        <w:adjustRightInd w:val="0"/>
        <w:spacing w:line="52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五、一般公共预算财政拨款支出决算情况说明</w:t>
      </w:r>
    </w:p>
    <w:p>
      <w:pPr>
        <w:autoSpaceDE w:val="0"/>
        <w:autoSpaceDN w:val="0"/>
        <w:adjustRightInd w:val="0"/>
        <w:spacing w:line="52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六、一般公共预算财政拨款基本支出决算情况说明</w:t>
      </w:r>
    </w:p>
    <w:p>
      <w:pPr>
        <w:autoSpaceDE w:val="0"/>
        <w:autoSpaceDN w:val="0"/>
        <w:adjustRightInd w:val="0"/>
        <w:spacing w:line="52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七、一般公共预算财政拨款三公经费支出决算情况说明</w:t>
      </w:r>
    </w:p>
    <w:p>
      <w:pPr>
        <w:autoSpaceDE w:val="0"/>
        <w:autoSpaceDN w:val="0"/>
        <w:adjustRightInd w:val="0"/>
        <w:spacing w:line="52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八</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政府性基金预算收入支出决算情况</w:t>
      </w:r>
    </w:p>
    <w:p>
      <w:pPr>
        <w:autoSpaceDE w:val="0"/>
        <w:autoSpaceDN w:val="0"/>
        <w:adjustRightInd w:val="0"/>
        <w:spacing w:line="52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九</w:t>
      </w:r>
      <w:r>
        <w:rPr>
          <w:rFonts w:ascii="仿宋_GB2312" w:hAnsi="仿宋_GB2312" w:cs="仿宋_GB2312"/>
          <w:color w:val="000000"/>
          <w:kern w:val="0"/>
          <w:sz w:val="28"/>
          <w:szCs w:val="28"/>
        </w:rPr>
        <w:t>、预算绩效情况说明</w:t>
      </w:r>
    </w:p>
    <w:p>
      <w:pPr>
        <w:autoSpaceDE w:val="0"/>
        <w:autoSpaceDN w:val="0"/>
        <w:adjustRightInd w:val="0"/>
        <w:spacing w:line="52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w:t>
      </w:r>
      <w:r>
        <w:rPr>
          <w:rFonts w:ascii="仿宋_GB2312" w:hAnsi="仿宋_GB2312" w:cs="仿宋_GB2312"/>
          <w:color w:val="000000"/>
          <w:kern w:val="0"/>
          <w:sz w:val="28"/>
          <w:szCs w:val="28"/>
        </w:rPr>
        <w:t>、其他重要事项情况说明</w:t>
      </w:r>
    </w:p>
    <w:p>
      <w:pPr>
        <w:autoSpaceDE w:val="0"/>
        <w:autoSpaceDN w:val="0"/>
        <w:adjustRightInd w:val="0"/>
        <w:spacing w:line="520" w:lineRule="exact"/>
        <w:jc w:val="left"/>
        <w:rPr>
          <w:rFonts w:ascii="黑体" w:hAnsi="黑体" w:eastAsia="黑体" w:cs="仿宋_GB2312"/>
          <w:b/>
          <w:color w:val="000000"/>
          <w:kern w:val="0"/>
          <w:sz w:val="28"/>
          <w:szCs w:val="28"/>
        </w:rPr>
      </w:pPr>
      <w:r>
        <w:rPr>
          <w:rFonts w:ascii="黑体" w:hAnsi="黑体" w:eastAsia="黑体" w:cs="黑体"/>
          <w:b/>
          <w:color w:val="000000"/>
          <w:kern w:val="0"/>
          <w:sz w:val="28"/>
          <w:szCs w:val="28"/>
        </w:rPr>
        <w:t>第四部分名词解释</w:t>
      </w:r>
    </w:p>
    <w:p>
      <w:pPr>
        <w:spacing w:line="520" w:lineRule="exact"/>
        <w:jc w:val="left"/>
        <w:rPr>
          <w:rFonts w:ascii="黑体" w:hAnsi="黑体" w:eastAsia="黑体" w:cs="仿宋_GB2312"/>
          <w:b/>
          <w:color w:val="000000"/>
          <w:kern w:val="0"/>
          <w:sz w:val="28"/>
          <w:szCs w:val="28"/>
        </w:rPr>
      </w:pPr>
      <w:r>
        <w:rPr>
          <w:rFonts w:ascii="黑体" w:hAnsi="黑体" w:eastAsia="黑体" w:cs="黑体"/>
          <w:b/>
          <w:color w:val="000000"/>
          <w:kern w:val="0"/>
          <w:sz w:val="28"/>
          <w:szCs w:val="28"/>
        </w:rPr>
        <w:t>第五部分附件</w:t>
      </w:r>
    </w:p>
    <w:p>
      <w:pPr>
        <w:jc w:val="center"/>
        <w:rPr>
          <w:sz w:val="72"/>
          <w:szCs w:val="72"/>
        </w:rPr>
      </w:pPr>
    </w:p>
    <w:p>
      <w:pPr>
        <w:jc w:val="center"/>
        <w:rPr>
          <w:sz w:val="72"/>
          <w:szCs w:val="72"/>
        </w:rPr>
      </w:pPr>
    </w:p>
    <w:p>
      <w:pPr>
        <w:jc w:val="center"/>
        <w:rPr>
          <w:sz w:val="72"/>
          <w:szCs w:val="72"/>
        </w:rPr>
      </w:pPr>
    </w:p>
    <w:p>
      <w:pPr>
        <w:jc w:val="center"/>
        <w:rPr>
          <w:sz w:val="72"/>
          <w:szCs w:val="72"/>
        </w:rPr>
      </w:pPr>
    </w:p>
    <w:p>
      <w:pPr>
        <w:rPr>
          <w:sz w:val="72"/>
          <w:szCs w:val="72"/>
        </w:rPr>
      </w:pPr>
    </w:p>
    <w:p>
      <w:pPr>
        <w:pStyle w:val="10"/>
        <w:jc w:val="center"/>
        <w:rPr>
          <w:sz w:val="84"/>
          <w:szCs w:val="84"/>
        </w:rPr>
      </w:pPr>
      <w:r>
        <w:rPr>
          <w:rFonts w:hint="eastAsia"/>
          <w:sz w:val="84"/>
          <w:szCs w:val="84"/>
        </w:rPr>
        <w:t>第一部分</w:t>
      </w:r>
    </w:p>
    <w:p>
      <w:pPr>
        <w:pStyle w:val="10"/>
        <w:jc w:val="center"/>
        <w:rPr>
          <w:sz w:val="84"/>
          <w:szCs w:val="84"/>
        </w:rPr>
      </w:pPr>
    </w:p>
    <w:p>
      <w:pPr>
        <w:pStyle w:val="10"/>
        <w:jc w:val="center"/>
        <w:rPr>
          <w:sz w:val="84"/>
          <w:szCs w:val="84"/>
        </w:rPr>
      </w:pPr>
      <w:r>
        <w:rPr>
          <w:rFonts w:hint="eastAsia"/>
          <w:sz w:val="84"/>
          <w:szCs w:val="84"/>
        </w:rPr>
        <w:t>溆浦县工业集中区管理委员会概况</w:t>
      </w:r>
    </w:p>
    <w:p>
      <w:pPr>
        <w:jc w:val="center"/>
        <w:rPr>
          <w:sz w:val="72"/>
          <w:szCs w:val="72"/>
        </w:rPr>
      </w:pPr>
    </w:p>
    <w:p>
      <w:pPr>
        <w:rPr>
          <w:sz w:val="72"/>
          <w:szCs w:val="72"/>
        </w:rPr>
      </w:pPr>
    </w:p>
    <w:p>
      <w:pPr>
        <w:pStyle w:val="11"/>
        <w:ind w:firstLine="0" w:firstLineChars="0"/>
        <w:jc w:val="left"/>
        <w:rPr>
          <w:rFonts w:ascii="黑体" w:hAnsi="黑体" w:eastAsia="黑体"/>
          <w:sz w:val="32"/>
          <w:szCs w:val="32"/>
        </w:rPr>
      </w:pPr>
    </w:p>
    <w:p>
      <w:pPr>
        <w:pStyle w:val="11"/>
        <w:ind w:firstLine="0" w:firstLineChars="0"/>
        <w:jc w:val="left"/>
        <w:rPr>
          <w:rFonts w:ascii="黑体" w:hAnsi="黑体" w:eastAsia="黑体"/>
          <w:sz w:val="32"/>
          <w:szCs w:val="32"/>
        </w:rPr>
      </w:pPr>
    </w:p>
    <w:p>
      <w:pPr>
        <w:pStyle w:val="11"/>
        <w:ind w:firstLine="0" w:firstLineChars="0"/>
        <w:jc w:val="left"/>
        <w:rPr>
          <w:rFonts w:ascii="黑体" w:hAnsi="黑体" w:eastAsia="黑体"/>
          <w:sz w:val="32"/>
          <w:szCs w:val="32"/>
        </w:rPr>
      </w:pPr>
    </w:p>
    <w:p>
      <w:pPr>
        <w:pStyle w:val="11"/>
        <w:numPr>
          <w:ilvl w:val="0"/>
          <w:numId w:val="1"/>
        </w:numPr>
        <w:ind w:firstLineChars="0"/>
        <w:jc w:val="left"/>
        <w:rPr>
          <w:rFonts w:ascii="黑体" w:hAnsi="黑体" w:eastAsia="黑体"/>
          <w:bCs/>
          <w:kern w:val="0"/>
          <w:sz w:val="32"/>
          <w:szCs w:val="32"/>
        </w:rPr>
      </w:pPr>
      <w:r>
        <w:rPr>
          <w:rFonts w:hint="eastAsia" w:ascii="黑体" w:hAnsi="黑体" w:eastAsia="黑体"/>
          <w:bCs/>
          <w:kern w:val="0"/>
          <w:sz w:val="32"/>
          <w:szCs w:val="32"/>
        </w:rPr>
        <w:t>部门职责</w:t>
      </w:r>
    </w:p>
    <w:p>
      <w:pPr>
        <w:widowControl/>
        <w:spacing w:line="600" w:lineRule="exact"/>
        <w:ind w:firstLine="640" w:firstLineChars="200"/>
        <w:rPr>
          <w:rFonts w:asciiTheme="minorEastAsia" w:hAnsiTheme="minorEastAsia"/>
          <w:sz w:val="32"/>
          <w:szCs w:val="32"/>
        </w:rPr>
      </w:pPr>
      <w:r>
        <w:rPr>
          <w:rFonts w:hint="eastAsia" w:asciiTheme="minorEastAsia" w:hAnsiTheme="minorEastAsia"/>
          <w:sz w:val="32"/>
          <w:szCs w:val="32"/>
        </w:rPr>
        <w:t>溆浦县工业集中区党工委、管委会作为溆浦县委、县人民政府派出机构，行使派出职能职权，属正科级事业单位。其内设部门如下：（一）行政事务部（党政办）、（二）人力资源部、（三）工程部、（四）征地安置部、（五）招商服务部、（六）产业发展部、（七）财务部、（八）安保协调部（保安）、（九）警务室。</w:t>
      </w:r>
    </w:p>
    <w:p>
      <w:pPr>
        <w:widowControl/>
        <w:spacing w:line="600" w:lineRule="exact"/>
        <w:rPr>
          <w:rFonts w:ascii="黑体" w:hAnsi="黑体" w:eastAsia="黑体"/>
          <w:bCs/>
          <w:kern w:val="0"/>
          <w:sz w:val="32"/>
          <w:szCs w:val="32"/>
        </w:rPr>
      </w:pPr>
      <w:r>
        <w:rPr>
          <w:rFonts w:hint="eastAsia" w:ascii="黑体" w:hAnsi="黑体" w:eastAsia="黑体"/>
          <w:bCs/>
          <w:kern w:val="0"/>
          <w:sz w:val="32"/>
          <w:szCs w:val="32"/>
        </w:rPr>
        <w:t>二、机构设置及决算单位构成</w:t>
      </w:r>
    </w:p>
    <w:p>
      <w:pPr>
        <w:ind w:firstLine="320" w:firstLineChars="100"/>
        <w:jc w:val="left"/>
        <w:rPr>
          <w:rFonts w:cs="黑体" w:asciiTheme="minorEastAsia" w:hAnsiTheme="minorEastAsia"/>
          <w:color w:val="000000"/>
          <w:kern w:val="0"/>
          <w:sz w:val="32"/>
          <w:szCs w:val="32"/>
        </w:rPr>
      </w:pPr>
      <w:r>
        <w:rPr>
          <w:rFonts w:hint="eastAsia" w:asciiTheme="minorEastAsia" w:hAnsiTheme="minorEastAsia"/>
          <w:sz w:val="32"/>
          <w:szCs w:val="32"/>
        </w:rPr>
        <w:t>（一）内设机构设置。</w:t>
      </w:r>
      <w:r>
        <w:rPr>
          <w:rFonts w:hint="eastAsia" w:cs="黑体" w:asciiTheme="minorEastAsia" w:hAnsiTheme="minorEastAsia"/>
          <w:color w:val="000000"/>
          <w:kern w:val="0"/>
          <w:sz w:val="32"/>
          <w:szCs w:val="32"/>
        </w:rPr>
        <w:t>内设行政事务部（党政办）、人力资源部、工程部、征地安置部、招商服务部、产业发展部、财务部、安保协调部（保安）、警务室。</w:t>
      </w:r>
    </w:p>
    <w:p>
      <w:pPr>
        <w:ind w:firstLine="320" w:firstLineChars="100"/>
        <w:jc w:val="left"/>
        <w:rPr>
          <w:rFonts w:asciiTheme="minorEastAsia" w:hAnsiTheme="minorEastAsia"/>
          <w:sz w:val="32"/>
          <w:szCs w:val="32"/>
        </w:rPr>
      </w:pPr>
      <w:r>
        <w:rPr>
          <w:rFonts w:hint="eastAsia" w:asciiTheme="minorEastAsia" w:hAnsiTheme="minorEastAsia"/>
          <w:sz w:val="32"/>
          <w:szCs w:val="32"/>
        </w:rPr>
        <w:t>（二）决算单位构成。</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1、溆浦县工业园集中区管理委员会</w:t>
      </w:r>
      <w:r>
        <w:rPr>
          <w:rFonts w:asciiTheme="minorEastAsia" w:hAnsiTheme="minorEastAsia" w:eastAsiaTheme="minorEastAsia"/>
          <w:sz w:val="32"/>
          <w:szCs w:val="32"/>
        </w:rPr>
        <w:t>2019</w:t>
      </w:r>
      <w:r>
        <w:rPr>
          <w:rFonts w:hint="eastAsia" w:asciiTheme="minorEastAsia" w:hAnsiTheme="minorEastAsia" w:eastAsiaTheme="minorEastAsia"/>
          <w:sz w:val="32"/>
          <w:szCs w:val="32"/>
        </w:rPr>
        <w:t>年部门决算汇总公开单位构成包括：溆浦县工业园集中区管理委员会单位本级。</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2、本单位无二级机构。</w:t>
      </w: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r>
        <w:rPr>
          <w:rFonts w:hint="eastAsia"/>
          <w:sz w:val="72"/>
          <w:szCs w:val="72"/>
        </w:rPr>
        <w:t>第二部分</w:t>
      </w:r>
    </w:p>
    <w:p>
      <w:pPr>
        <w:jc w:val="center"/>
        <w:rPr>
          <w:sz w:val="72"/>
          <w:szCs w:val="72"/>
        </w:rPr>
      </w:pPr>
    </w:p>
    <w:p>
      <w:pPr>
        <w:jc w:val="center"/>
        <w:rPr>
          <w:sz w:val="72"/>
          <w:szCs w:val="72"/>
        </w:rPr>
      </w:pPr>
      <w:r>
        <w:rPr>
          <w:rFonts w:hint="eastAsia"/>
          <w:sz w:val="72"/>
          <w:szCs w:val="72"/>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rFonts w:asciiTheme="minorEastAsia" w:hAnsiTheme="minorEastAsia"/>
          <w:sz w:val="32"/>
          <w:szCs w:val="32"/>
        </w:rPr>
        <w:sectPr>
          <w:pgSz w:w="11906" w:h="16838"/>
          <w:pgMar w:top="1440" w:right="1800" w:bottom="1440" w:left="1800" w:header="851" w:footer="992" w:gutter="0"/>
          <w:cols w:space="425" w:num="1"/>
          <w:docGrid w:type="lines" w:linePitch="312" w:charSpace="0"/>
        </w:sectPr>
      </w:pPr>
    </w:p>
    <w:p>
      <w:pPr>
        <w:jc w:val="center"/>
        <w:rPr>
          <w:rFonts w:ascii="黑体" w:hAnsi="黑体" w:eastAsia="黑体"/>
          <w:sz w:val="36"/>
          <w:szCs w:val="32"/>
        </w:rPr>
      </w:pPr>
      <w:r>
        <w:rPr>
          <w:rFonts w:hint="eastAsia" w:ascii="黑体" w:hAnsi="黑体" w:eastAsia="黑体"/>
          <w:sz w:val="36"/>
          <w:szCs w:val="32"/>
        </w:rPr>
        <w:t>收入支出决算总表</w:t>
      </w:r>
    </w:p>
    <w:p>
      <w:pPr>
        <w:widowControl/>
        <w:spacing w:line="320" w:lineRule="exact"/>
        <w:ind w:right="198"/>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部门：溆浦县工业集中区管理委员会 公开</w:t>
      </w:r>
      <w:r>
        <w:rPr>
          <w:rFonts w:ascii="Times New Roman" w:hAnsi="Times New Roman" w:eastAsia="仿宋_GB2312" w:cs="Times New Roman"/>
          <w:color w:val="000000"/>
          <w:kern w:val="0"/>
          <w:szCs w:val="21"/>
        </w:rPr>
        <w:t>01</w:t>
      </w:r>
      <w:r>
        <w:rPr>
          <w:rFonts w:hint="eastAsia" w:ascii="Times New Roman" w:hAnsi="Times New Roman" w:eastAsia="仿宋_GB2312" w:cs="Times New Roman"/>
          <w:color w:val="000000"/>
          <w:kern w:val="0"/>
          <w:szCs w:val="21"/>
        </w:rPr>
        <w:t>表</w:t>
      </w:r>
    </w:p>
    <w:p>
      <w:pPr>
        <w:widowControl/>
        <w:spacing w:line="320" w:lineRule="exact"/>
        <w:ind w:right="198"/>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单位：万元</w:t>
      </w:r>
    </w:p>
    <w:tbl>
      <w:tblPr>
        <w:tblStyle w:val="6"/>
        <w:tblW w:w="14061" w:type="dxa"/>
        <w:jc w:val="center"/>
        <w:tblLayout w:type="autofit"/>
        <w:tblCellMar>
          <w:top w:w="0" w:type="dxa"/>
          <w:left w:w="108" w:type="dxa"/>
          <w:bottom w:w="0" w:type="dxa"/>
          <w:right w:w="108" w:type="dxa"/>
        </w:tblCellMar>
      </w:tblPr>
      <w:tblGrid>
        <w:gridCol w:w="4932"/>
        <w:gridCol w:w="702"/>
        <w:gridCol w:w="1224"/>
        <w:gridCol w:w="4820"/>
        <w:gridCol w:w="702"/>
        <w:gridCol w:w="1681"/>
      </w:tblGrid>
      <w:tr>
        <w:tblPrEx>
          <w:tblCellMar>
            <w:top w:w="0" w:type="dxa"/>
            <w:left w:w="108" w:type="dxa"/>
            <w:bottom w:w="0" w:type="dxa"/>
            <w:right w:w="108" w:type="dxa"/>
          </w:tblCellMar>
        </w:tblPrEx>
        <w:trPr>
          <w:trHeight w:val="340" w:hRule="atLeast"/>
          <w:jc w:val="center"/>
        </w:trPr>
        <w:tc>
          <w:tcPr>
            <w:tcW w:w="6858" w:type="dxa"/>
            <w:gridSpan w:val="3"/>
            <w:tcBorders>
              <w:top w:val="single" w:color="auto" w:sz="4" w:space="0"/>
              <w:left w:val="single" w:color="auto" w:sz="4" w:space="0"/>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收入</w:t>
            </w:r>
          </w:p>
        </w:tc>
        <w:tc>
          <w:tcPr>
            <w:tcW w:w="7203" w:type="dxa"/>
            <w:gridSpan w:val="3"/>
            <w:tcBorders>
              <w:top w:val="single" w:color="auto" w:sz="4" w:space="0"/>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支出</w:t>
            </w:r>
          </w:p>
        </w:tc>
      </w:tr>
      <w:tr>
        <w:tblPrEx>
          <w:tblCellMar>
            <w:top w:w="0" w:type="dxa"/>
            <w:left w:w="108" w:type="dxa"/>
            <w:bottom w:w="0" w:type="dxa"/>
            <w:right w:w="108" w:type="dxa"/>
          </w:tblCellMar>
        </w:tblPrEx>
        <w:trPr>
          <w:trHeight w:val="340" w:hRule="atLeast"/>
          <w:jc w:val="center"/>
        </w:trPr>
        <w:tc>
          <w:tcPr>
            <w:tcW w:w="4932" w:type="dxa"/>
            <w:tcBorders>
              <w:top w:val="nil"/>
              <w:left w:val="single" w:color="auto" w:sz="4" w:space="0"/>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项目</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行次</w:t>
            </w:r>
          </w:p>
        </w:tc>
        <w:tc>
          <w:tcPr>
            <w:tcW w:w="1224"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决算数</w:t>
            </w:r>
          </w:p>
        </w:tc>
        <w:tc>
          <w:tcPr>
            <w:tcW w:w="4820"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项目</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行次</w:t>
            </w:r>
          </w:p>
        </w:tc>
        <w:tc>
          <w:tcPr>
            <w:tcW w:w="1681"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决算数</w:t>
            </w:r>
          </w:p>
        </w:tc>
      </w:tr>
      <w:tr>
        <w:tblPrEx>
          <w:tblCellMar>
            <w:top w:w="0" w:type="dxa"/>
            <w:left w:w="108" w:type="dxa"/>
            <w:bottom w:w="0" w:type="dxa"/>
            <w:right w:w="108" w:type="dxa"/>
          </w:tblCellMar>
        </w:tblPrEx>
        <w:trPr>
          <w:trHeight w:val="340" w:hRule="atLeast"/>
          <w:jc w:val="center"/>
        </w:trPr>
        <w:tc>
          <w:tcPr>
            <w:tcW w:w="4932" w:type="dxa"/>
            <w:tcBorders>
              <w:top w:val="nil"/>
              <w:left w:val="single" w:color="auto" w:sz="4" w:space="0"/>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栏次</w:t>
            </w:r>
          </w:p>
        </w:tc>
        <w:tc>
          <w:tcPr>
            <w:tcW w:w="702" w:type="dxa"/>
            <w:tcBorders>
              <w:top w:val="nil"/>
              <w:left w:val="nil"/>
              <w:bottom w:val="single" w:color="auto" w:sz="4" w:space="0"/>
              <w:right w:val="single" w:color="auto" w:sz="4" w:space="0"/>
            </w:tcBorders>
            <w:noWrap/>
            <w:vAlign w:val="center"/>
          </w:tcPr>
          <w:p>
            <w:pP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w:t>
            </w:r>
          </w:p>
        </w:tc>
        <w:tc>
          <w:tcPr>
            <w:tcW w:w="1224"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4820"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栏次</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w:t>
            </w:r>
          </w:p>
        </w:tc>
        <w:tc>
          <w:tcPr>
            <w:tcW w:w="1681"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r>
      <w:tr>
        <w:tblPrEx>
          <w:tblCellMar>
            <w:top w:w="0" w:type="dxa"/>
            <w:left w:w="108" w:type="dxa"/>
            <w:bottom w:w="0" w:type="dxa"/>
            <w:right w:w="108" w:type="dxa"/>
          </w:tblCellMar>
        </w:tblPrEx>
        <w:trPr>
          <w:trHeight w:val="340" w:hRule="atLeast"/>
          <w:jc w:val="center"/>
        </w:trPr>
        <w:tc>
          <w:tcPr>
            <w:tcW w:w="4932" w:type="dxa"/>
            <w:tcBorders>
              <w:top w:val="nil"/>
              <w:left w:val="single" w:color="auto" w:sz="4" w:space="0"/>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一、一般公共预算财政拨款收入</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4"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6143.9</w:t>
            </w:r>
          </w:p>
        </w:tc>
        <w:tc>
          <w:tcPr>
            <w:tcW w:w="4820" w:type="dxa"/>
            <w:tcBorders>
              <w:top w:val="nil"/>
              <w:left w:val="nil"/>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一、一般公共服务支出</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r>
              <w:rPr>
                <w:rFonts w:hint="eastAsia" w:ascii="Times New Roman" w:hAnsi="Times New Roman" w:eastAsia="仿宋_GB2312" w:cs="Times New Roman"/>
                <w:kern w:val="0"/>
                <w:szCs w:val="21"/>
              </w:rPr>
              <w:t>5</w:t>
            </w:r>
          </w:p>
        </w:tc>
        <w:tc>
          <w:tcPr>
            <w:tcW w:w="1681" w:type="dxa"/>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340" w:hRule="atLeast"/>
          <w:jc w:val="center"/>
        </w:trPr>
        <w:tc>
          <w:tcPr>
            <w:tcW w:w="4932" w:type="dxa"/>
            <w:tcBorders>
              <w:top w:val="nil"/>
              <w:left w:val="single" w:color="auto" w:sz="4" w:space="0"/>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二、政府性基金预算财政拨款收入</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4"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1700</w:t>
            </w:r>
          </w:p>
        </w:tc>
        <w:tc>
          <w:tcPr>
            <w:tcW w:w="4820" w:type="dxa"/>
            <w:tcBorders>
              <w:top w:val="nil"/>
              <w:left w:val="nil"/>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六、科学技术支出</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16</w:t>
            </w:r>
          </w:p>
        </w:tc>
        <w:tc>
          <w:tcPr>
            <w:tcW w:w="1681"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2451</w:t>
            </w:r>
          </w:p>
        </w:tc>
      </w:tr>
      <w:tr>
        <w:tblPrEx>
          <w:tblCellMar>
            <w:top w:w="0" w:type="dxa"/>
            <w:left w:w="108" w:type="dxa"/>
            <w:bottom w:w="0" w:type="dxa"/>
            <w:right w:w="108" w:type="dxa"/>
          </w:tblCellMar>
        </w:tblPrEx>
        <w:trPr>
          <w:trHeight w:val="340" w:hRule="atLeast"/>
          <w:jc w:val="center"/>
        </w:trPr>
        <w:tc>
          <w:tcPr>
            <w:tcW w:w="4932" w:type="dxa"/>
            <w:tcBorders>
              <w:top w:val="nil"/>
              <w:left w:val="single" w:color="auto" w:sz="4" w:space="0"/>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三、上级补助收入</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4"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p>
        </w:tc>
        <w:tc>
          <w:tcPr>
            <w:tcW w:w="4820" w:type="dxa"/>
            <w:tcBorders>
              <w:top w:val="nil"/>
              <w:left w:val="nil"/>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七、文化旅游体育与传媒支出</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w:t>
            </w:r>
          </w:p>
        </w:tc>
        <w:tc>
          <w:tcPr>
            <w:tcW w:w="1681"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14.7</w:t>
            </w:r>
          </w:p>
        </w:tc>
      </w:tr>
      <w:tr>
        <w:tblPrEx>
          <w:tblCellMar>
            <w:top w:w="0" w:type="dxa"/>
            <w:left w:w="108" w:type="dxa"/>
            <w:bottom w:w="0" w:type="dxa"/>
            <w:right w:w="108" w:type="dxa"/>
          </w:tblCellMar>
        </w:tblPrEx>
        <w:trPr>
          <w:trHeight w:val="340" w:hRule="atLeast"/>
          <w:jc w:val="center"/>
        </w:trPr>
        <w:tc>
          <w:tcPr>
            <w:tcW w:w="4932" w:type="dxa"/>
            <w:tcBorders>
              <w:top w:val="nil"/>
              <w:left w:val="single" w:color="auto" w:sz="4" w:space="0"/>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四、事业收入</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4"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p>
        </w:tc>
        <w:tc>
          <w:tcPr>
            <w:tcW w:w="4820" w:type="dxa"/>
            <w:tcBorders>
              <w:top w:val="nil"/>
              <w:left w:val="nil"/>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十、节能环保支出</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18</w:t>
            </w:r>
          </w:p>
        </w:tc>
        <w:tc>
          <w:tcPr>
            <w:tcW w:w="1681"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502</w:t>
            </w:r>
          </w:p>
        </w:tc>
      </w:tr>
      <w:tr>
        <w:tblPrEx>
          <w:tblCellMar>
            <w:top w:w="0" w:type="dxa"/>
            <w:left w:w="108" w:type="dxa"/>
            <w:bottom w:w="0" w:type="dxa"/>
            <w:right w:w="108" w:type="dxa"/>
          </w:tblCellMar>
        </w:tblPrEx>
        <w:trPr>
          <w:trHeight w:val="340" w:hRule="atLeast"/>
          <w:jc w:val="center"/>
        </w:trPr>
        <w:tc>
          <w:tcPr>
            <w:tcW w:w="4932" w:type="dxa"/>
            <w:tcBorders>
              <w:top w:val="nil"/>
              <w:left w:val="single" w:color="auto" w:sz="4" w:space="0"/>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五、经营收入</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4"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p>
        </w:tc>
        <w:tc>
          <w:tcPr>
            <w:tcW w:w="4820" w:type="dxa"/>
            <w:tcBorders>
              <w:top w:val="nil"/>
              <w:left w:val="nil"/>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十一、城乡社区支出</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19</w:t>
            </w:r>
          </w:p>
        </w:tc>
        <w:tc>
          <w:tcPr>
            <w:tcW w:w="1681"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2533.1</w:t>
            </w:r>
          </w:p>
        </w:tc>
      </w:tr>
      <w:tr>
        <w:tblPrEx>
          <w:tblCellMar>
            <w:top w:w="0" w:type="dxa"/>
            <w:left w:w="108" w:type="dxa"/>
            <w:bottom w:w="0" w:type="dxa"/>
            <w:right w:w="108" w:type="dxa"/>
          </w:tblCellMar>
        </w:tblPrEx>
        <w:trPr>
          <w:trHeight w:val="340" w:hRule="atLeast"/>
          <w:jc w:val="center"/>
        </w:trPr>
        <w:tc>
          <w:tcPr>
            <w:tcW w:w="4932" w:type="dxa"/>
            <w:tcBorders>
              <w:top w:val="nil"/>
              <w:left w:val="single" w:color="auto" w:sz="4" w:space="0"/>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六、附属单位上缴收入</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4"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p>
        </w:tc>
        <w:tc>
          <w:tcPr>
            <w:tcW w:w="4820" w:type="dxa"/>
            <w:tcBorders>
              <w:top w:val="nil"/>
              <w:left w:val="nil"/>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十二、农林水支出</w:t>
            </w:r>
          </w:p>
        </w:tc>
        <w:tc>
          <w:tcPr>
            <w:tcW w:w="702" w:type="dxa"/>
            <w:tcBorders>
              <w:top w:val="nil"/>
              <w:left w:val="nil"/>
              <w:bottom w:val="single" w:color="auto" w:sz="4" w:space="0"/>
              <w:right w:val="single" w:color="auto" w:sz="4" w:space="0"/>
            </w:tcBorders>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xml:space="preserve"> 20</w:t>
            </w:r>
          </w:p>
        </w:tc>
        <w:tc>
          <w:tcPr>
            <w:tcW w:w="1681"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574.1</w:t>
            </w:r>
          </w:p>
        </w:tc>
      </w:tr>
      <w:tr>
        <w:tblPrEx>
          <w:tblCellMar>
            <w:top w:w="0" w:type="dxa"/>
            <w:left w:w="108" w:type="dxa"/>
            <w:bottom w:w="0" w:type="dxa"/>
            <w:right w:w="108" w:type="dxa"/>
          </w:tblCellMar>
        </w:tblPrEx>
        <w:trPr>
          <w:trHeight w:val="340" w:hRule="atLeast"/>
          <w:jc w:val="center"/>
        </w:trPr>
        <w:tc>
          <w:tcPr>
            <w:tcW w:w="4932" w:type="dxa"/>
            <w:tcBorders>
              <w:top w:val="nil"/>
              <w:left w:val="single" w:color="auto" w:sz="4" w:space="0"/>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七、其他收入</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4"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p>
        </w:tc>
        <w:tc>
          <w:tcPr>
            <w:tcW w:w="4820" w:type="dxa"/>
            <w:tcBorders>
              <w:top w:val="nil"/>
              <w:left w:val="nil"/>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十四、资源勘探信息等支出</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w:t>
            </w:r>
          </w:p>
        </w:tc>
        <w:tc>
          <w:tcPr>
            <w:tcW w:w="1681"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41.1</w:t>
            </w:r>
          </w:p>
        </w:tc>
      </w:tr>
      <w:tr>
        <w:tblPrEx>
          <w:tblCellMar>
            <w:top w:w="0" w:type="dxa"/>
            <w:left w:w="108" w:type="dxa"/>
            <w:bottom w:w="0" w:type="dxa"/>
            <w:right w:w="108" w:type="dxa"/>
          </w:tblCellMar>
        </w:tblPrEx>
        <w:trPr>
          <w:trHeight w:val="340" w:hRule="atLeast"/>
          <w:jc w:val="center"/>
        </w:trPr>
        <w:tc>
          <w:tcPr>
            <w:tcW w:w="4932" w:type="dxa"/>
            <w:tcBorders>
              <w:top w:val="nil"/>
              <w:left w:val="single" w:color="auto" w:sz="4" w:space="0"/>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w:t>
            </w:r>
          </w:p>
        </w:tc>
        <w:tc>
          <w:tcPr>
            <w:tcW w:w="1224"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p>
        </w:tc>
        <w:tc>
          <w:tcPr>
            <w:tcW w:w="4820" w:type="dxa"/>
            <w:tcBorders>
              <w:top w:val="nil"/>
              <w:left w:val="nil"/>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十五、商业服务业等支出</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22</w:t>
            </w:r>
          </w:p>
        </w:tc>
        <w:tc>
          <w:tcPr>
            <w:tcW w:w="1681"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27.8</w:t>
            </w:r>
          </w:p>
        </w:tc>
      </w:tr>
      <w:tr>
        <w:tblPrEx>
          <w:tblCellMar>
            <w:top w:w="0" w:type="dxa"/>
            <w:left w:w="108" w:type="dxa"/>
            <w:bottom w:w="0" w:type="dxa"/>
            <w:right w:w="108" w:type="dxa"/>
          </w:tblCellMar>
        </w:tblPrEx>
        <w:trPr>
          <w:trHeight w:val="340" w:hRule="atLeast"/>
          <w:jc w:val="center"/>
        </w:trPr>
        <w:tc>
          <w:tcPr>
            <w:tcW w:w="4932" w:type="dxa"/>
            <w:tcBorders>
              <w:top w:val="nil"/>
              <w:left w:val="single" w:color="auto" w:sz="4" w:space="0"/>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9</w:t>
            </w:r>
          </w:p>
        </w:tc>
        <w:tc>
          <w:tcPr>
            <w:tcW w:w="1224"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p>
        </w:tc>
        <w:tc>
          <w:tcPr>
            <w:tcW w:w="4820" w:type="dxa"/>
            <w:tcBorders>
              <w:top w:val="nil"/>
              <w:left w:val="nil"/>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二十二、其他支出</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23</w:t>
            </w:r>
          </w:p>
        </w:tc>
        <w:tc>
          <w:tcPr>
            <w:tcW w:w="1681"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1700</w:t>
            </w:r>
          </w:p>
        </w:tc>
      </w:tr>
      <w:tr>
        <w:tblPrEx>
          <w:tblCellMar>
            <w:top w:w="0" w:type="dxa"/>
            <w:left w:w="108" w:type="dxa"/>
            <w:bottom w:w="0" w:type="dxa"/>
            <w:right w:w="108" w:type="dxa"/>
          </w:tblCellMar>
        </w:tblPrEx>
        <w:trPr>
          <w:trHeight w:val="340" w:hRule="atLeast"/>
          <w:jc w:val="center"/>
        </w:trPr>
        <w:tc>
          <w:tcPr>
            <w:tcW w:w="4932" w:type="dxa"/>
            <w:tcBorders>
              <w:top w:val="nil"/>
              <w:left w:val="single" w:color="auto" w:sz="4" w:space="0"/>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Cs w:val="21"/>
              </w:rPr>
            </w:pPr>
            <w:r>
              <w:rPr>
                <w:rFonts w:hint="eastAsia" w:ascii="Times New Roman" w:hAnsi="Times New Roman" w:eastAsia="仿宋_GB2312" w:cs="Times New Roman"/>
                <w:b/>
                <w:bCs/>
                <w:kern w:val="0"/>
                <w:szCs w:val="21"/>
              </w:rPr>
              <w:t>本年收入合计</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w:t>
            </w:r>
          </w:p>
        </w:tc>
        <w:tc>
          <w:tcPr>
            <w:tcW w:w="1224"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7834.9</w:t>
            </w:r>
          </w:p>
        </w:tc>
        <w:tc>
          <w:tcPr>
            <w:tcW w:w="4820"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Cs w:val="21"/>
              </w:rPr>
            </w:pPr>
            <w:r>
              <w:rPr>
                <w:rFonts w:hint="eastAsia" w:ascii="Times New Roman" w:hAnsi="Times New Roman" w:eastAsia="仿宋_GB2312" w:cs="Times New Roman"/>
                <w:b/>
                <w:bCs/>
                <w:kern w:val="0"/>
                <w:szCs w:val="21"/>
              </w:rPr>
              <w:t>本年支出合计</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w:t>
            </w:r>
          </w:p>
        </w:tc>
        <w:tc>
          <w:tcPr>
            <w:tcW w:w="1681"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Cs w:val="21"/>
              </w:rPr>
            </w:pPr>
            <w:r>
              <w:rPr>
                <w:rFonts w:hint="eastAsia" w:ascii="Times New Roman" w:hAnsi="Times New Roman" w:eastAsia="仿宋_GB2312" w:cs="Times New Roman"/>
                <w:b/>
                <w:bCs/>
                <w:kern w:val="0"/>
                <w:szCs w:val="21"/>
              </w:rPr>
              <w:t>7834.9</w:t>
            </w:r>
          </w:p>
        </w:tc>
      </w:tr>
      <w:tr>
        <w:tblPrEx>
          <w:tblCellMar>
            <w:top w:w="0" w:type="dxa"/>
            <w:left w:w="108" w:type="dxa"/>
            <w:bottom w:w="0" w:type="dxa"/>
            <w:right w:w="108" w:type="dxa"/>
          </w:tblCellMar>
        </w:tblPrEx>
        <w:trPr>
          <w:trHeight w:val="340" w:hRule="atLeast"/>
          <w:jc w:val="center"/>
        </w:trPr>
        <w:tc>
          <w:tcPr>
            <w:tcW w:w="4932" w:type="dxa"/>
            <w:tcBorders>
              <w:top w:val="nil"/>
              <w:left w:val="single" w:color="auto" w:sz="4" w:space="0"/>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用事业基金弥补收支差额</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w:t>
            </w:r>
          </w:p>
        </w:tc>
        <w:tc>
          <w:tcPr>
            <w:tcW w:w="1224" w:type="dxa"/>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w:t>
            </w:r>
          </w:p>
        </w:tc>
        <w:tc>
          <w:tcPr>
            <w:tcW w:w="4820" w:type="dxa"/>
            <w:tcBorders>
              <w:top w:val="nil"/>
              <w:left w:val="nil"/>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结余分配</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w:t>
            </w:r>
          </w:p>
        </w:tc>
        <w:tc>
          <w:tcPr>
            <w:tcW w:w="1681" w:type="dxa"/>
            <w:tcBorders>
              <w:top w:val="nil"/>
              <w:left w:val="nil"/>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340" w:hRule="atLeast"/>
          <w:jc w:val="center"/>
        </w:trPr>
        <w:tc>
          <w:tcPr>
            <w:tcW w:w="4932" w:type="dxa"/>
            <w:tcBorders>
              <w:top w:val="nil"/>
              <w:left w:val="single" w:color="auto" w:sz="4" w:space="0"/>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年初结转和结余</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w:t>
            </w:r>
          </w:p>
        </w:tc>
        <w:tc>
          <w:tcPr>
            <w:tcW w:w="1224" w:type="dxa"/>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w:t>
            </w:r>
          </w:p>
        </w:tc>
        <w:tc>
          <w:tcPr>
            <w:tcW w:w="4820" w:type="dxa"/>
            <w:tcBorders>
              <w:top w:val="nil"/>
              <w:left w:val="nil"/>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年末结转和结余</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26</w:t>
            </w:r>
          </w:p>
        </w:tc>
        <w:tc>
          <w:tcPr>
            <w:tcW w:w="1681" w:type="dxa"/>
            <w:tcBorders>
              <w:top w:val="nil"/>
              <w:left w:val="nil"/>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340" w:hRule="atLeast"/>
          <w:jc w:val="center"/>
        </w:trPr>
        <w:tc>
          <w:tcPr>
            <w:tcW w:w="4932" w:type="dxa"/>
            <w:tcBorders>
              <w:top w:val="nil"/>
              <w:left w:val="single" w:color="auto" w:sz="4" w:space="0"/>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r>
              <w:rPr>
                <w:rFonts w:hint="eastAsia" w:ascii="Times New Roman" w:hAnsi="Times New Roman" w:eastAsia="仿宋_GB2312" w:cs="Times New Roman"/>
                <w:kern w:val="0"/>
                <w:szCs w:val="21"/>
              </w:rPr>
              <w:t>3</w:t>
            </w:r>
          </w:p>
        </w:tc>
        <w:tc>
          <w:tcPr>
            <w:tcW w:w="1224" w:type="dxa"/>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w:t>
            </w:r>
          </w:p>
        </w:tc>
        <w:tc>
          <w:tcPr>
            <w:tcW w:w="4820" w:type="dxa"/>
            <w:tcBorders>
              <w:top w:val="nil"/>
              <w:left w:val="nil"/>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27</w:t>
            </w:r>
          </w:p>
        </w:tc>
        <w:tc>
          <w:tcPr>
            <w:tcW w:w="1681" w:type="dxa"/>
            <w:tcBorders>
              <w:top w:val="nil"/>
              <w:left w:val="nil"/>
              <w:bottom w:val="single" w:color="auto" w:sz="4" w:space="0"/>
              <w:right w:val="single" w:color="auto" w:sz="4" w:space="0"/>
            </w:tcBorders>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340" w:hRule="atLeast"/>
          <w:jc w:val="center"/>
        </w:trPr>
        <w:tc>
          <w:tcPr>
            <w:tcW w:w="4932" w:type="dxa"/>
            <w:tcBorders>
              <w:top w:val="nil"/>
              <w:left w:val="single" w:color="auto" w:sz="4" w:space="0"/>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Cs w:val="21"/>
              </w:rPr>
            </w:pPr>
            <w:r>
              <w:rPr>
                <w:rFonts w:hint="eastAsia" w:ascii="Times New Roman" w:hAnsi="Times New Roman" w:eastAsia="仿宋_GB2312" w:cs="Times New Roman"/>
                <w:b/>
                <w:bCs/>
                <w:kern w:val="0"/>
                <w:szCs w:val="21"/>
              </w:rPr>
              <w:t>总计</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r>
              <w:rPr>
                <w:rFonts w:hint="eastAsia" w:ascii="Times New Roman" w:hAnsi="Times New Roman" w:eastAsia="仿宋_GB2312" w:cs="Times New Roman"/>
                <w:kern w:val="0"/>
                <w:szCs w:val="21"/>
              </w:rPr>
              <w:t>4</w:t>
            </w:r>
          </w:p>
        </w:tc>
        <w:tc>
          <w:tcPr>
            <w:tcW w:w="1224" w:type="dxa"/>
            <w:tcBorders>
              <w:top w:val="nil"/>
              <w:left w:val="nil"/>
              <w:bottom w:val="single" w:color="auto" w:sz="4" w:space="0"/>
              <w:right w:val="single" w:color="auto" w:sz="4" w:space="0"/>
            </w:tcBorders>
            <w:noWrap/>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7843.9　</w:t>
            </w:r>
          </w:p>
        </w:tc>
        <w:tc>
          <w:tcPr>
            <w:tcW w:w="4820"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b/>
                <w:bCs/>
                <w:kern w:val="0"/>
                <w:szCs w:val="21"/>
              </w:rPr>
            </w:pPr>
            <w:r>
              <w:rPr>
                <w:rFonts w:hint="eastAsia" w:ascii="Times New Roman" w:hAnsi="Times New Roman" w:eastAsia="仿宋_GB2312" w:cs="Times New Roman"/>
                <w:b/>
                <w:bCs/>
                <w:kern w:val="0"/>
                <w:szCs w:val="21"/>
              </w:rPr>
              <w:t>总计</w:t>
            </w:r>
          </w:p>
        </w:tc>
        <w:tc>
          <w:tcPr>
            <w:tcW w:w="702"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28</w:t>
            </w:r>
          </w:p>
        </w:tc>
        <w:tc>
          <w:tcPr>
            <w:tcW w:w="1681" w:type="dxa"/>
            <w:tcBorders>
              <w:top w:val="nil"/>
              <w:left w:val="nil"/>
              <w:bottom w:val="single" w:color="auto" w:sz="4" w:space="0"/>
              <w:right w:val="single" w:color="auto" w:sz="4" w:space="0"/>
            </w:tcBorders>
            <w:noWrap/>
            <w:vAlign w:val="center"/>
          </w:tcPr>
          <w:p>
            <w:pPr>
              <w:widowControl/>
              <w:jc w:val="left"/>
              <w:rPr>
                <w:rFonts w:ascii="Times New Roman" w:hAnsi="Times New Roman" w:eastAsia="仿宋_GB2312" w:cs="Times New Roman"/>
                <w:b/>
                <w:bCs/>
                <w:kern w:val="0"/>
                <w:szCs w:val="21"/>
              </w:rPr>
            </w:pPr>
            <w:r>
              <w:rPr>
                <w:rFonts w:hint="eastAsia" w:ascii="Times New Roman" w:hAnsi="Times New Roman" w:eastAsia="仿宋_GB2312" w:cs="Times New Roman"/>
                <w:b/>
                <w:bCs/>
                <w:kern w:val="0"/>
                <w:szCs w:val="21"/>
              </w:rPr>
              <w:t>　7834.9</w:t>
            </w:r>
          </w:p>
        </w:tc>
      </w:tr>
    </w:tbl>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注：本表反映部门本年度的总收支和年末结转结余情况。</w:t>
      </w:r>
    </w:p>
    <w:p>
      <w:pPr>
        <w:widowControl/>
        <w:jc w:val="left"/>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r>
        <w:rPr>
          <w:rFonts w:ascii="Times New Roman" w:hAnsi="Times New Roman" w:eastAsia="黑体" w:cs="Times New Roman"/>
          <w:bCs/>
          <w:kern w:val="0"/>
          <w:sz w:val="32"/>
          <w:szCs w:val="32"/>
        </w:rPr>
        <w:br w:type="page"/>
      </w:r>
    </w:p>
    <w:p>
      <w:pPr>
        <w:widowControl/>
        <w:jc w:val="center"/>
        <w:rPr>
          <w:rFonts w:ascii="Times New Roman" w:hAnsi="Times New Roman" w:eastAsia="方正小标宋_GBK" w:cs="Times New Roman"/>
          <w:color w:val="000000"/>
          <w:kern w:val="0"/>
          <w:sz w:val="36"/>
          <w:szCs w:val="36"/>
        </w:rPr>
      </w:pPr>
      <w:r>
        <w:rPr>
          <w:rFonts w:ascii="Times New Roman" w:hAnsi="Times New Roman" w:eastAsia="方正小标宋_GBK" w:cs="Times New Roman"/>
          <w:color w:val="000000"/>
          <w:kern w:val="0"/>
          <w:sz w:val="36"/>
          <w:szCs w:val="36"/>
        </w:rPr>
        <w:t>收入决算表</w:t>
      </w:r>
    </w:p>
    <w:p>
      <w:pPr>
        <w:widowControl/>
        <w:ind w:firstLine="630" w:firstLineChars="3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rPr>
        <w:t>溆浦县工业集中区管理委员会</w:t>
      </w:r>
      <w:r>
        <w:rPr>
          <w:rFonts w:ascii="Times New Roman" w:hAnsi="Times New Roman" w:eastAsia="仿宋_GB2312" w:cs="Times New Roman"/>
          <w:color w:val="000000"/>
          <w:kern w:val="0"/>
          <w:szCs w:val="21"/>
        </w:rPr>
        <w:t xml:space="preserve"> 公开02表</w:t>
      </w:r>
    </w:p>
    <w:p>
      <w:pPr>
        <w:widowControl/>
        <w:ind w:right="63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6"/>
        <w:tblW w:w="12457" w:type="dxa"/>
        <w:jc w:val="center"/>
        <w:tblLayout w:type="fixed"/>
        <w:tblCellMar>
          <w:top w:w="0" w:type="dxa"/>
          <w:left w:w="108" w:type="dxa"/>
          <w:bottom w:w="0" w:type="dxa"/>
          <w:right w:w="108" w:type="dxa"/>
        </w:tblCellMar>
      </w:tblPr>
      <w:tblGrid>
        <w:gridCol w:w="1197"/>
        <w:gridCol w:w="3202"/>
        <w:gridCol w:w="1116"/>
        <w:gridCol w:w="1068"/>
        <w:gridCol w:w="876"/>
        <w:gridCol w:w="1255"/>
        <w:gridCol w:w="1412"/>
        <w:gridCol w:w="1473"/>
        <w:gridCol w:w="858"/>
      </w:tblGrid>
      <w:tr>
        <w:tblPrEx>
          <w:tblCellMar>
            <w:top w:w="0" w:type="dxa"/>
            <w:left w:w="108" w:type="dxa"/>
            <w:bottom w:w="0" w:type="dxa"/>
            <w:right w:w="108" w:type="dxa"/>
          </w:tblCellMar>
        </w:tblPrEx>
        <w:trPr>
          <w:trHeight w:val="254" w:hRule="atLeast"/>
          <w:jc w:val="center"/>
        </w:trPr>
        <w:tc>
          <w:tcPr>
            <w:tcW w:w="4399" w:type="dxa"/>
            <w:gridSpan w:val="2"/>
            <w:tcBorders>
              <w:top w:val="single" w:color="auto" w:sz="8" w:space="0"/>
              <w:left w:val="single" w:color="auto" w:sz="8" w:space="0"/>
              <w:bottom w:val="single" w:color="auto" w:sz="4" w:space="0"/>
              <w:right w:val="nil"/>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项    目</w:t>
            </w:r>
          </w:p>
        </w:tc>
        <w:tc>
          <w:tcPr>
            <w:tcW w:w="1116" w:type="dxa"/>
            <w:vMerge w:val="restart"/>
            <w:tcBorders>
              <w:top w:val="single" w:color="auto" w:sz="8" w:space="0"/>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本年收入合计</w:t>
            </w:r>
          </w:p>
        </w:tc>
        <w:tc>
          <w:tcPr>
            <w:tcW w:w="1068" w:type="dxa"/>
            <w:vMerge w:val="restart"/>
            <w:tcBorders>
              <w:top w:val="single" w:color="auto" w:sz="8" w:space="0"/>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财政拨款收入</w:t>
            </w:r>
          </w:p>
        </w:tc>
        <w:tc>
          <w:tcPr>
            <w:tcW w:w="876" w:type="dxa"/>
            <w:vMerge w:val="restart"/>
            <w:tcBorders>
              <w:top w:val="single" w:color="auto" w:sz="8" w:space="0"/>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上级补助收入</w:t>
            </w:r>
          </w:p>
        </w:tc>
        <w:tc>
          <w:tcPr>
            <w:tcW w:w="1255" w:type="dxa"/>
            <w:vMerge w:val="restart"/>
            <w:tcBorders>
              <w:top w:val="single" w:color="auto" w:sz="8" w:space="0"/>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事业收入</w:t>
            </w:r>
          </w:p>
        </w:tc>
        <w:tc>
          <w:tcPr>
            <w:tcW w:w="1412" w:type="dxa"/>
            <w:vMerge w:val="restart"/>
            <w:tcBorders>
              <w:top w:val="single" w:color="auto" w:sz="8" w:space="0"/>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经营收入</w:t>
            </w:r>
          </w:p>
        </w:tc>
        <w:tc>
          <w:tcPr>
            <w:tcW w:w="1473" w:type="dxa"/>
            <w:vMerge w:val="restart"/>
            <w:tcBorders>
              <w:top w:val="single" w:color="auto" w:sz="8" w:space="0"/>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附属单位上缴收入</w:t>
            </w:r>
          </w:p>
        </w:tc>
        <w:tc>
          <w:tcPr>
            <w:tcW w:w="858" w:type="dxa"/>
            <w:vMerge w:val="restart"/>
            <w:tcBorders>
              <w:top w:val="single" w:color="auto" w:sz="8" w:space="0"/>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其他收入</w:t>
            </w:r>
          </w:p>
        </w:tc>
      </w:tr>
      <w:tr>
        <w:tblPrEx>
          <w:tblCellMar>
            <w:top w:w="0" w:type="dxa"/>
            <w:left w:w="108" w:type="dxa"/>
            <w:bottom w:w="0" w:type="dxa"/>
            <w:right w:w="108" w:type="dxa"/>
          </w:tblCellMar>
        </w:tblPrEx>
        <w:trPr>
          <w:trHeight w:val="450" w:hRule="atLeast"/>
          <w:jc w:val="center"/>
        </w:trPr>
        <w:tc>
          <w:tcPr>
            <w:tcW w:w="1197" w:type="dxa"/>
            <w:vMerge w:val="restart"/>
            <w:tcBorders>
              <w:top w:val="single" w:color="auto" w:sz="4" w:space="0"/>
              <w:left w:val="single" w:color="auto" w:sz="8" w:space="0"/>
              <w:bottom w:val="single" w:color="000000" w:sz="4" w:space="0"/>
              <w:right w:val="nil"/>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功能分类科目编码</w:t>
            </w:r>
          </w:p>
        </w:tc>
        <w:tc>
          <w:tcPr>
            <w:tcW w:w="320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科目名称</w:t>
            </w:r>
          </w:p>
        </w:tc>
        <w:tc>
          <w:tcPr>
            <w:tcW w:w="1116" w:type="dxa"/>
            <w:vMerge w:val="continue"/>
            <w:tcBorders>
              <w:top w:val="single" w:color="auto" w:sz="8" w:space="0"/>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068" w:type="dxa"/>
            <w:vMerge w:val="continue"/>
            <w:tcBorders>
              <w:top w:val="single" w:color="auto" w:sz="8" w:space="0"/>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876" w:type="dxa"/>
            <w:vMerge w:val="continue"/>
            <w:tcBorders>
              <w:top w:val="single" w:color="auto" w:sz="8" w:space="0"/>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55" w:type="dxa"/>
            <w:vMerge w:val="continue"/>
            <w:tcBorders>
              <w:top w:val="single" w:color="auto" w:sz="8" w:space="0"/>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412" w:type="dxa"/>
            <w:vMerge w:val="continue"/>
            <w:tcBorders>
              <w:top w:val="single" w:color="auto" w:sz="8" w:space="0"/>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473" w:type="dxa"/>
            <w:vMerge w:val="continue"/>
            <w:tcBorders>
              <w:top w:val="single" w:color="auto" w:sz="8" w:space="0"/>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858" w:type="dxa"/>
            <w:vMerge w:val="continue"/>
            <w:tcBorders>
              <w:top w:val="single" w:color="auto" w:sz="8" w:space="0"/>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197" w:type="dxa"/>
            <w:vMerge w:val="continue"/>
            <w:tcBorders>
              <w:top w:val="single" w:color="auto" w:sz="4" w:space="0"/>
              <w:left w:val="single" w:color="auto" w:sz="8" w:space="0"/>
              <w:bottom w:val="single" w:color="000000" w:sz="4" w:space="0"/>
              <w:right w:val="nil"/>
            </w:tcBorders>
            <w:vAlign w:val="center"/>
          </w:tcPr>
          <w:p>
            <w:pPr>
              <w:widowControl/>
              <w:jc w:val="left"/>
              <w:rPr>
                <w:rFonts w:ascii="Times New Roman" w:hAnsi="Times New Roman" w:eastAsia="仿宋_GB2312" w:cs="Times New Roman"/>
                <w:kern w:val="0"/>
                <w:szCs w:val="21"/>
              </w:rPr>
            </w:pPr>
          </w:p>
        </w:tc>
        <w:tc>
          <w:tcPr>
            <w:tcW w:w="320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116" w:type="dxa"/>
            <w:vMerge w:val="continue"/>
            <w:tcBorders>
              <w:top w:val="single" w:color="auto" w:sz="8" w:space="0"/>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068" w:type="dxa"/>
            <w:vMerge w:val="continue"/>
            <w:tcBorders>
              <w:top w:val="single" w:color="auto" w:sz="8" w:space="0"/>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876" w:type="dxa"/>
            <w:vMerge w:val="continue"/>
            <w:tcBorders>
              <w:top w:val="single" w:color="auto" w:sz="8" w:space="0"/>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55" w:type="dxa"/>
            <w:vMerge w:val="continue"/>
            <w:tcBorders>
              <w:top w:val="single" w:color="auto" w:sz="8" w:space="0"/>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412" w:type="dxa"/>
            <w:vMerge w:val="continue"/>
            <w:tcBorders>
              <w:top w:val="single" w:color="auto" w:sz="8" w:space="0"/>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473" w:type="dxa"/>
            <w:vMerge w:val="continue"/>
            <w:tcBorders>
              <w:top w:val="single" w:color="auto" w:sz="8" w:space="0"/>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858" w:type="dxa"/>
            <w:vMerge w:val="continue"/>
            <w:tcBorders>
              <w:top w:val="single" w:color="auto" w:sz="8" w:space="0"/>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54" w:hRule="atLeast"/>
          <w:jc w:val="center"/>
        </w:trPr>
        <w:tc>
          <w:tcPr>
            <w:tcW w:w="4399" w:type="dxa"/>
            <w:gridSpan w:val="2"/>
            <w:tcBorders>
              <w:top w:val="single" w:color="auto" w:sz="4" w:space="0"/>
              <w:left w:val="single" w:color="auto" w:sz="8" w:space="0"/>
              <w:bottom w:val="single" w:color="auto" w:sz="4" w:space="0"/>
              <w:right w:val="single" w:color="000000"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87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5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4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47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858" w:type="dxa"/>
            <w:tcBorders>
              <w:top w:val="nil"/>
              <w:left w:val="nil"/>
              <w:bottom w:val="single" w:color="auto" w:sz="4" w:space="0"/>
              <w:right w:val="single" w:color="auto" w:sz="8" w:space="0"/>
            </w:tcBorders>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r>
      <w:tr>
        <w:tblPrEx>
          <w:tblCellMar>
            <w:top w:w="0" w:type="dxa"/>
            <w:left w:w="108" w:type="dxa"/>
            <w:bottom w:w="0" w:type="dxa"/>
            <w:right w:w="108" w:type="dxa"/>
          </w:tblCellMar>
        </w:tblPrEx>
        <w:trPr>
          <w:trHeight w:val="90" w:hRule="atLeast"/>
          <w:jc w:val="center"/>
        </w:trPr>
        <w:tc>
          <w:tcPr>
            <w:tcW w:w="4399" w:type="dxa"/>
            <w:gridSpan w:val="2"/>
            <w:tcBorders>
              <w:top w:val="nil"/>
              <w:left w:val="single" w:color="auto" w:sz="8" w:space="0"/>
              <w:bottom w:val="single" w:color="auto" w:sz="4" w:space="0"/>
              <w:right w:val="single" w:color="000000"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7843.9</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7843.9</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385"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206</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科学技术支出</w:t>
            </w:r>
          </w:p>
        </w:tc>
        <w:tc>
          <w:tcPr>
            <w:tcW w:w="1116" w:type="dxa"/>
            <w:tcBorders>
              <w:top w:val="nil"/>
              <w:left w:val="nil"/>
              <w:bottom w:val="single" w:color="auto" w:sz="4" w:space="0"/>
              <w:right w:val="single" w:color="auto" w:sz="4" w:space="0"/>
            </w:tcBorders>
            <w:shd w:val="clear" w:color="auto" w:fill="auto"/>
            <w:noWrap/>
            <w:vAlign w:val="center"/>
          </w:tcPr>
          <w:p>
            <w:pPr>
              <w:widowControl/>
              <w:tabs>
                <w:tab w:val="center" w:pos="730"/>
                <w:tab w:val="right" w:pos="1790"/>
              </w:tabs>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2451</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2451</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6"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20699</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其他科学技术支出</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2451</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2451</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2069999</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其他科学技术支出</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2451</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2451</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207</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文化旅游体育与传媒支出</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14.7</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14.7</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20701</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文化和旅游</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14.7</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14.7</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2070199</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其他文化和旅游支出</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14.7</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14.7</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211</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节能环保支出</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502</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502</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21101</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环境保护管理事务</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2110199</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其他环境保护管理事务支出</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21103</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污染防治</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490</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490</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2110302</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水体</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490</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490</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212</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城乡社区支出</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2533.1</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2533.1</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21203</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城乡社区公共设施</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2533.1</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2533.1</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2120303</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小城镇基础设施建设</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2533.1</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2533.1</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213</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农林水支出</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574.1</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574.1</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21305</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扶贫</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574.1</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574.1</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2130501</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行政运行</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2130505</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生产发展</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530</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530</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2130599</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其他扶贫支出</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42.1</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42.1</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215</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资源勘探信息等支出</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41.1</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41.1</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21505</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工业和信息产业监管</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10.1</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10.1</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2150501</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行政运行</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2150502</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一般行政管理事务</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0.1</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0.1</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2150599</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其他工业和信息产业监管支出</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21508</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支持中小企业发展和管理支出</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31</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31</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2150899</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其他支持中小企业发展和管理支出</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31</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31</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216</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商业服务业等支出</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27.8</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27.8</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21602</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商业流通事务</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2160299</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其他商业流通事务支出</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21606</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涉外发展服务支出</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7.8</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7.8</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2160699</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其他涉外发展服务支出</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7.8</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7.8</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229</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其他支出</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1700</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1700</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22904</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其他政府性基金及对应专项债务收入安排的支出</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1300</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1300</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2290402</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其他地方自行试点项目收益专项债券收入安排的支出</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1300</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1300</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22960</w:t>
            </w:r>
          </w:p>
        </w:tc>
        <w:tc>
          <w:tcPr>
            <w:tcW w:w="32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彩票公益金安排的支出</w:t>
            </w:r>
          </w:p>
        </w:tc>
        <w:tc>
          <w:tcPr>
            <w:tcW w:w="11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400</w:t>
            </w:r>
          </w:p>
        </w:tc>
        <w:tc>
          <w:tcPr>
            <w:tcW w:w="106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400</w:t>
            </w:r>
          </w:p>
        </w:tc>
        <w:tc>
          <w:tcPr>
            <w:tcW w:w="87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25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4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858" w:type="dxa"/>
            <w:tcBorders>
              <w:top w:val="nil"/>
              <w:left w:val="nil"/>
              <w:bottom w:val="single" w:color="auto" w:sz="4"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197" w:type="dxa"/>
            <w:tcBorders>
              <w:top w:val="single" w:color="auto" w:sz="4" w:space="0"/>
              <w:left w:val="single" w:color="auto" w:sz="8" w:space="0"/>
              <w:bottom w:val="single" w:color="auto" w:sz="8"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2296002</w:t>
            </w:r>
          </w:p>
        </w:tc>
        <w:tc>
          <w:tcPr>
            <w:tcW w:w="3202" w:type="dxa"/>
            <w:tcBorders>
              <w:top w:val="nil"/>
              <w:left w:val="nil"/>
              <w:bottom w:val="single" w:color="auto" w:sz="8"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用于社会福利的彩票公益金支出</w:t>
            </w:r>
          </w:p>
        </w:tc>
        <w:tc>
          <w:tcPr>
            <w:tcW w:w="1116" w:type="dxa"/>
            <w:tcBorders>
              <w:top w:val="nil"/>
              <w:left w:val="nil"/>
              <w:bottom w:val="single" w:color="auto" w:sz="8"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400</w:t>
            </w:r>
          </w:p>
        </w:tc>
        <w:tc>
          <w:tcPr>
            <w:tcW w:w="1068" w:type="dxa"/>
            <w:tcBorders>
              <w:top w:val="nil"/>
              <w:left w:val="nil"/>
              <w:bottom w:val="single" w:color="auto" w:sz="8"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400</w:t>
            </w:r>
          </w:p>
        </w:tc>
        <w:tc>
          <w:tcPr>
            <w:tcW w:w="876" w:type="dxa"/>
            <w:tcBorders>
              <w:top w:val="nil"/>
              <w:left w:val="nil"/>
              <w:bottom w:val="single" w:color="auto" w:sz="8"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55" w:type="dxa"/>
            <w:tcBorders>
              <w:top w:val="nil"/>
              <w:left w:val="nil"/>
              <w:bottom w:val="single" w:color="auto" w:sz="8"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412" w:type="dxa"/>
            <w:tcBorders>
              <w:top w:val="nil"/>
              <w:left w:val="nil"/>
              <w:bottom w:val="single" w:color="auto" w:sz="8"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473" w:type="dxa"/>
            <w:tcBorders>
              <w:top w:val="nil"/>
              <w:left w:val="nil"/>
              <w:bottom w:val="single" w:color="auto" w:sz="8"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858" w:type="dxa"/>
            <w:tcBorders>
              <w:top w:val="nil"/>
              <w:left w:val="nil"/>
              <w:bottom w:val="single" w:color="auto" w:sz="8" w:space="0"/>
              <w:right w:val="single" w:color="auto" w:sz="8"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615" w:hRule="atLeast"/>
          <w:jc w:val="center"/>
        </w:trPr>
        <w:tc>
          <w:tcPr>
            <w:tcW w:w="12457" w:type="dxa"/>
            <w:gridSpan w:val="9"/>
            <w:tcBorders>
              <w:top w:val="single" w:color="auto" w:sz="8" w:space="0"/>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p>
      <w:pPr>
        <w:widowControl/>
        <w:jc w:val="center"/>
        <w:rPr>
          <w:rFonts w:ascii="Times New Roman" w:hAnsi="Times New Roman" w:eastAsia="方正小标宋_GBK" w:cs="Times New Roman"/>
          <w:color w:val="000000"/>
          <w:kern w:val="0"/>
          <w:sz w:val="36"/>
          <w:szCs w:val="36"/>
        </w:rPr>
      </w:pPr>
      <w:r>
        <w:rPr>
          <w:rFonts w:ascii="Times New Roman" w:hAnsi="Times New Roman" w:eastAsia="方正小标宋_GBK" w:cs="Times New Roman"/>
          <w:color w:val="000000"/>
          <w:kern w:val="0"/>
          <w:sz w:val="36"/>
          <w:szCs w:val="36"/>
        </w:rPr>
        <w:t>支出决算表</w:t>
      </w:r>
    </w:p>
    <w:p>
      <w:pPr>
        <w:widowControl/>
        <w:spacing w:line="400" w:lineRule="exact"/>
        <w:ind w:firstLine="600" w:firstLineChars="300"/>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Cs w:val="21"/>
        </w:rPr>
        <w:t>溆浦县工业集中区管理委员会</w:t>
      </w:r>
      <w:r>
        <w:rPr>
          <w:rFonts w:ascii="Times New Roman" w:hAnsi="Times New Roman" w:eastAsia="仿宋_GB2312" w:cs="Times New Roman"/>
          <w:color w:val="000000"/>
          <w:kern w:val="0"/>
          <w:sz w:val="20"/>
          <w:szCs w:val="20"/>
        </w:rPr>
        <w:t xml:space="preserve">                                                                                               公开03表</w:t>
      </w:r>
    </w:p>
    <w:p>
      <w:pPr>
        <w:widowControl/>
        <w:spacing w:line="400" w:lineRule="exact"/>
        <w:ind w:right="700"/>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单位：万元</w:t>
      </w:r>
    </w:p>
    <w:tbl>
      <w:tblPr>
        <w:tblStyle w:val="6"/>
        <w:tblW w:w="13031"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102"/>
        <w:gridCol w:w="2893"/>
        <w:gridCol w:w="1651"/>
        <w:gridCol w:w="1296"/>
        <w:gridCol w:w="1200"/>
        <w:gridCol w:w="1654"/>
        <w:gridCol w:w="1699"/>
        <w:gridCol w:w="1536"/>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3995" w:type="dxa"/>
            <w:gridSpan w:val="2"/>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项    目</w:t>
            </w:r>
          </w:p>
        </w:tc>
        <w:tc>
          <w:tcPr>
            <w:tcW w:w="1651" w:type="dxa"/>
            <w:vMerge w:val="restart"/>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本年支出合计</w:t>
            </w:r>
          </w:p>
        </w:tc>
        <w:tc>
          <w:tcPr>
            <w:tcW w:w="1296" w:type="dxa"/>
            <w:vMerge w:val="restart"/>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基本支出</w:t>
            </w:r>
          </w:p>
        </w:tc>
        <w:tc>
          <w:tcPr>
            <w:tcW w:w="1200" w:type="dxa"/>
            <w:vMerge w:val="restart"/>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项目支出</w:t>
            </w:r>
          </w:p>
        </w:tc>
        <w:tc>
          <w:tcPr>
            <w:tcW w:w="1654" w:type="dxa"/>
            <w:vMerge w:val="restart"/>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上缴上级支出</w:t>
            </w:r>
          </w:p>
        </w:tc>
        <w:tc>
          <w:tcPr>
            <w:tcW w:w="1699" w:type="dxa"/>
            <w:vMerge w:val="restart"/>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经营支出</w:t>
            </w:r>
          </w:p>
        </w:tc>
        <w:tc>
          <w:tcPr>
            <w:tcW w:w="1536" w:type="dxa"/>
            <w:vMerge w:val="restart"/>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对附属单位补助支出</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vMerge w:val="restart"/>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功能分类科目编码</w:t>
            </w:r>
          </w:p>
        </w:tc>
        <w:tc>
          <w:tcPr>
            <w:tcW w:w="2893" w:type="dxa"/>
            <w:vMerge w:val="restart"/>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科目名称</w:t>
            </w:r>
          </w:p>
        </w:tc>
        <w:tc>
          <w:tcPr>
            <w:tcW w:w="1651" w:type="dxa"/>
            <w:vMerge w:val="continue"/>
            <w:shd w:val="clear" w:color="auto" w:fill="auto"/>
            <w:vAlign w:val="center"/>
          </w:tcPr>
          <w:p>
            <w:pPr>
              <w:widowControl/>
              <w:jc w:val="left"/>
              <w:rPr>
                <w:rFonts w:ascii="Times New Roman" w:hAnsi="Times New Roman" w:eastAsia="仿宋_GB2312" w:cs="Times New Roman"/>
                <w:kern w:val="0"/>
                <w:szCs w:val="21"/>
              </w:rPr>
            </w:pPr>
          </w:p>
        </w:tc>
        <w:tc>
          <w:tcPr>
            <w:tcW w:w="1296" w:type="dxa"/>
            <w:vMerge w:val="continue"/>
            <w:shd w:val="clear" w:color="auto" w:fill="auto"/>
            <w:vAlign w:val="center"/>
          </w:tcPr>
          <w:p>
            <w:pPr>
              <w:widowControl/>
              <w:jc w:val="left"/>
              <w:rPr>
                <w:rFonts w:ascii="Times New Roman" w:hAnsi="Times New Roman" w:eastAsia="仿宋_GB2312" w:cs="Times New Roman"/>
                <w:kern w:val="0"/>
                <w:szCs w:val="21"/>
              </w:rPr>
            </w:pPr>
          </w:p>
        </w:tc>
        <w:tc>
          <w:tcPr>
            <w:tcW w:w="1200" w:type="dxa"/>
            <w:vMerge w:val="continue"/>
            <w:shd w:val="clear" w:color="auto" w:fill="auto"/>
            <w:vAlign w:val="center"/>
          </w:tcPr>
          <w:p>
            <w:pPr>
              <w:widowControl/>
              <w:jc w:val="left"/>
              <w:rPr>
                <w:rFonts w:ascii="Times New Roman" w:hAnsi="Times New Roman" w:eastAsia="仿宋_GB2312" w:cs="Times New Roman"/>
                <w:kern w:val="0"/>
                <w:szCs w:val="21"/>
              </w:rPr>
            </w:pPr>
          </w:p>
        </w:tc>
        <w:tc>
          <w:tcPr>
            <w:tcW w:w="1654" w:type="dxa"/>
            <w:vMerge w:val="continue"/>
            <w:shd w:val="clear" w:color="auto" w:fill="auto"/>
            <w:vAlign w:val="center"/>
          </w:tcPr>
          <w:p>
            <w:pPr>
              <w:widowControl/>
              <w:jc w:val="left"/>
              <w:rPr>
                <w:rFonts w:ascii="Times New Roman" w:hAnsi="Times New Roman" w:eastAsia="仿宋_GB2312" w:cs="Times New Roman"/>
                <w:kern w:val="0"/>
                <w:szCs w:val="21"/>
              </w:rPr>
            </w:pPr>
          </w:p>
        </w:tc>
        <w:tc>
          <w:tcPr>
            <w:tcW w:w="1699" w:type="dxa"/>
            <w:vMerge w:val="continue"/>
            <w:shd w:val="clear" w:color="auto" w:fill="auto"/>
            <w:vAlign w:val="center"/>
          </w:tcPr>
          <w:p>
            <w:pPr>
              <w:widowControl/>
              <w:jc w:val="left"/>
              <w:rPr>
                <w:rFonts w:ascii="Times New Roman" w:hAnsi="Times New Roman" w:eastAsia="仿宋_GB2312" w:cs="Times New Roman"/>
                <w:kern w:val="0"/>
                <w:szCs w:val="21"/>
              </w:rPr>
            </w:pPr>
          </w:p>
        </w:tc>
        <w:tc>
          <w:tcPr>
            <w:tcW w:w="1536" w:type="dxa"/>
            <w:vMerge w:val="continue"/>
            <w:shd w:val="clear" w:color="auto" w:fill="auto"/>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vMerge w:val="continue"/>
            <w:shd w:val="clear" w:color="auto" w:fill="auto"/>
            <w:vAlign w:val="center"/>
          </w:tcPr>
          <w:p>
            <w:pPr>
              <w:widowControl/>
              <w:jc w:val="left"/>
              <w:rPr>
                <w:rFonts w:ascii="Times New Roman" w:hAnsi="Times New Roman" w:eastAsia="仿宋_GB2312" w:cs="Times New Roman"/>
                <w:kern w:val="0"/>
                <w:szCs w:val="21"/>
              </w:rPr>
            </w:pPr>
          </w:p>
        </w:tc>
        <w:tc>
          <w:tcPr>
            <w:tcW w:w="2893" w:type="dxa"/>
            <w:vMerge w:val="continue"/>
            <w:shd w:val="clear" w:color="auto" w:fill="auto"/>
            <w:vAlign w:val="center"/>
          </w:tcPr>
          <w:p>
            <w:pPr>
              <w:widowControl/>
              <w:jc w:val="left"/>
              <w:rPr>
                <w:rFonts w:ascii="Times New Roman" w:hAnsi="Times New Roman" w:eastAsia="仿宋_GB2312" w:cs="Times New Roman"/>
                <w:kern w:val="0"/>
                <w:szCs w:val="21"/>
              </w:rPr>
            </w:pPr>
          </w:p>
        </w:tc>
        <w:tc>
          <w:tcPr>
            <w:tcW w:w="1651" w:type="dxa"/>
            <w:vMerge w:val="continue"/>
            <w:shd w:val="clear" w:color="auto" w:fill="auto"/>
            <w:vAlign w:val="center"/>
          </w:tcPr>
          <w:p>
            <w:pPr>
              <w:widowControl/>
              <w:jc w:val="left"/>
              <w:rPr>
                <w:rFonts w:ascii="Times New Roman" w:hAnsi="Times New Roman" w:eastAsia="仿宋_GB2312" w:cs="Times New Roman"/>
                <w:kern w:val="0"/>
                <w:szCs w:val="21"/>
              </w:rPr>
            </w:pPr>
          </w:p>
        </w:tc>
        <w:tc>
          <w:tcPr>
            <w:tcW w:w="1296" w:type="dxa"/>
            <w:vMerge w:val="continue"/>
            <w:shd w:val="clear" w:color="auto" w:fill="auto"/>
            <w:vAlign w:val="center"/>
          </w:tcPr>
          <w:p>
            <w:pPr>
              <w:widowControl/>
              <w:jc w:val="left"/>
              <w:rPr>
                <w:rFonts w:ascii="Times New Roman" w:hAnsi="Times New Roman" w:eastAsia="仿宋_GB2312" w:cs="Times New Roman"/>
                <w:kern w:val="0"/>
                <w:szCs w:val="21"/>
              </w:rPr>
            </w:pPr>
          </w:p>
        </w:tc>
        <w:tc>
          <w:tcPr>
            <w:tcW w:w="1200" w:type="dxa"/>
            <w:vMerge w:val="continue"/>
            <w:shd w:val="clear" w:color="auto" w:fill="auto"/>
            <w:vAlign w:val="center"/>
          </w:tcPr>
          <w:p>
            <w:pPr>
              <w:widowControl/>
              <w:jc w:val="left"/>
              <w:rPr>
                <w:rFonts w:ascii="Times New Roman" w:hAnsi="Times New Roman" w:eastAsia="仿宋_GB2312" w:cs="Times New Roman"/>
                <w:kern w:val="0"/>
                <w:szCs w:val="21"/>
              </w:rPr>
            </w:pPr>
          </w:p>
        </w:tc>
        <w:tc>
          <w:tcPr>
            <w:tcW w:w="1654" w:type="dxa"/>
            <w:vMerge w:val="continue"/>
            <w:shd w:val="clear" w:color="auto" w:fill="auto"/>
            <w:vAlign w:val="center"/>
          </w:tcPr>
          <w:p>
            <w:pPr>
              <w:widowControl/>
              <w:jc w:val="left"/>
              <w:rPr>
                <w:rFonts w:ascii="Times New Roman" w:hAnsi="Times New Roman" w:eastAsia="仿宋_GB2312" w:cs="Times New Roman"/>
                <w:kern w:val="0"/>
                <w:szCs w:val="21"/>
              </w:rPr>
            </w:pPr>
          </w:p>
        </w:tc>
        <w:tc>
          <w:tcPr>
            <w:tcW w:w="1699" w:type="dxa"/>
            <w:vMerge w:val="continue"/>
            <w:shd w:val="clear" w:color="auto" w:fill="auto"/>
            <w:vAlign w:val="center"/>
          </w:tcPr>
          <w:p>
            <w:pPr>
              <w:widowControl/>
              <w:jc w:val="left"/>
              <w:rPr>
                <w:rFonts w:ascii="Times New Roman" w:hAnsi="Times New Roman" w:eastAsia="仿宋_GB2312" w:cs="Times New Roman"/>
                <w:kern w:val="0"/>
                <w:szCs w:val="21"/>
              </w:rPr>
            </w:pPr>
          </w:p>
        </w:tc>
        <w:tc>
          <w:tcPr>
            <w:tcW w:w="1536" w:type="dxa"/>
            <w:vMerge w:val="continue"/>
            <w:shd w:val="clear" w:color="auto" w:fill="auto"/>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3995" w:type="dxa"/>
            <w:gridSpan w:val="2"/>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654"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699"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536"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3995" w:type="dxa"/>
            <w:gridSpan w:val="2"/>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7843.9</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37.5</w:t>
            </w: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7806.4</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206</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科学技术支出</w:t>
            </w:r>
          </w:p>
        </w:tc>
        <w:tc>
          <w:tcPr>
            <w:tcW w:w="1651" w:type="dxa"/>
            <w:shd w:val="clear" w:color="auto" w:fill="auto"/>
            <w:noWrap/>
            <w:vAlign w:val="center"/>
          </w:tcPr>
          <w:p>
            <w:pPr>
              <w:widowControl/>
              <w:tabs>
                <w:tab w:val="center" w:pos="730"/>
                <w:tab w:val="right" w:pos="1790"/>
              </w:tabs>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2451</w:t>
            </w:r>
          </w:p>
        </w:tc>
        <w:tc>
          <w:tcPr>
            <w:tcW w:w="1296" w:type="dxa"/>
            <w:shd w:val="clear" w:color="auto" w:fill="auto"/>
            <w:noWrap/>
            <w:vAlign w:val="center"/>
          </w:tcPr>
          <w:p>
            <w:pPr>
              <w:widowControl/>
              <w:tabs>
                <w:tab w:val="center" w:pos="730"/>
                <w:tab w:val="right" w:pos="1790"/>
              </w:tabs>
              <w:jc w:val="center"/>
              <w:rPr>
                <w:rFonts w:ascii="Times New Roman" w:hAnsi="Times New Roman" w:eastAsia="仿宋_GB2312" w:cs="Times New Roman"/>
                <w:kern w:val="0"/>
                <w:szCs w:val="21"/>
              </w:rPr>
            </w:pP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2451</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20699</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其他科学技术支出</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2451</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2451</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2069999</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其他科学技术支出</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2451</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2451</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207</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文化旅游体育与传媒支出</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14.7</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14.7</w:t>
            </w: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20701</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文化和旅游</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14.7</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14.7</w:t>
            </w: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2070199</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其他文化和旅游支出</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14.7</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14.7</w:t>
            </w: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211</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节能环保支出</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502</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502</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21101</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环境保护管理事务</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2110199</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其他环境保护管理事务支出</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21103</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污染防治</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490</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490</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2110302</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水体</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490</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490</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212</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城乡社区支出</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2533.1</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2533.1</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21203</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城乡社区公共设施</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2533.1</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2533.1</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2120303</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小城镇基础设施建设</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2533.1</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2533.1</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213</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农林水支出</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574.1</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0.8</w:t>
            </w: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573.3</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21305</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扶贫</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574.1</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0.8</w:t>
            </w: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573.3</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2130501</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行政运行</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0.8</w:t>
            </w: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2130505</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生产发展</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530</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530</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2130599</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其他扶贫支出</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42.1</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42.1</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215</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资源勘探信息等支出</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41.1</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10.1</w:t>
            </w: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31</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21505</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工业和信息产业监管</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10.1</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10.1</w:t>
            </w: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2150501</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行政运行</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w:t>
            </w: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2150502</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一般行政管理事务</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0.1</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0.1</w:t>
            </w: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2150599</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其他工业和信息产业监管支出</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w:t>
            </w: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21508</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支持中小企业发展和管理支出</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31</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31</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2150899</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其他支持中小企业发展和管理支出</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31</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31</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216</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商业服务业等支出</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27.8</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11.8</w:t>
            </w: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16</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21602</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商业流通事务</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11.8</w:t>
            </w: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8.2</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2160299</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其他商业流通事务支出</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11.8</w:t>
            </w: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8.2</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21606</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涉外发展服务支出</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7.8</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7.8</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2160699</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其他涉外发展服务支出</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7.8</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7.8</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229</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其他支出</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1700</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1700</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22904</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其他政府性基金及对应专项债务收入安排的支出</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1300</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1300</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2290402</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其他地方自行试点项目收益专项债券收入安排的支出</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1300</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1300</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22960</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彩票公益金安排的支出</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400</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400</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102"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2296002</w:t>
            </w:r>
          </w:p>
        </w:tc>
        <w:tc>
          <w:tcPr>
            <w:tcW w:w="2893" w:type="dxa"/>
            <w:shd w:val="clear" w:color="auto" w:fill="auto"/>
            <w:noWrap/>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用于社会福利的彩票公益金支出</w:t>
            </w:r>
          </w:p>
        </w:tc>
        <w:tc>
          <w:tcPr>
            <w:tcW w:w="1651"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400</w:t>
            </w:r>
          </w:p>
        </w:tc>
        <w:tc>
          <w:tcPr>
            <w:tcW w:w="1296" w:type="dxa"/>
            <w:shd w:val="clear" w:color="auto" w:fill="auto"/>
            <w:noWrap/>
            <w:vAlign w:val="center"/>
          </w:tcPr>
          <w:p>
            <w:pPr>
              <w:widowControl/>
              <w:jc w:val="center"/>
              <w:rPr>
                <w:rFonts w:ascii="Times New Roman" w:hAnsi="Times New Roman" w:eastAsia="仿宋_GB2312" w:cs="Times New Roman"/>
                <w:kern w:val="0"/>
                <w:szCs w:val="21"/>
              </w:rPr>
            </w:pPr>
          </w:p>
        </w:tc>
        <w:tc>
          <w:tcPr>
            <w:tcW w:w="120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400</w:t>
            </w:r>
          </w:p>
        </w:tc>
        <w:tc>
          <w:tcPr>
            <w:tcW w:w="1654" w:type="dxa"/>
            <w:shd w:val="clear" w:color="auto" w:fill="auto"/>
            <w:noWrap/>
            <w:vAlign w:val="center"/>
          </w:tcPr>
          <w:p>
            <w:pPr>
              <w:widowControl/>
              <w:jc w:val="right"/>
              <w:rPr>
                <w:rFonts w:ascii="Times New Roman" w:hAnsi="Times New Roman" w:eastAsia="仿宋_GB2312" w:cs="Times New Roman"/>
                <w:kern w:val="0"/>
                <w:szCs w:val="21"/>
              </w:rPr>
            </w:pPr>
          </w:p>
        </w:tc>
        <w:tc>
          <w:tcPr>
            <w:tcW w:w="1699" w:type="dxa"/>
            <w:shd w:val="clear" w:color="auto" w:fill="auto"/>
            <w:noWrap/>
            <w:vAlign w:val="center"/>
          </w:tcPr>
          <w:p>
            <w:pPr>
              <w:widowControl/>
              <w:jc w:val="right"/>
              <w:rPr>
                <w:rFonts w:ascii="Times New Roman" w:hAnsi="Times New Roman" w:eastAsia="仿宋_GB2312" w:cs="Times New Roman"/>
                <w:kern w:val="0"/>
                <w:szCs w:val="21"/>
              </w:rPr>
            </w:pPr>
          </w:p>
        </w:tc>
        <w:tc>
          <w:tcPr>
            <w:tcW w:w="1536" w:type="dxa"/>
            <w:shd w:val="clear" w:color="auto" w:fill="auto"/>
            <w:noWrap/>
            <w:vAlign w:val="center"/>
          </w:tcPr>
          <w:p>
            <w:pPr>
              <w:widowControl/>
              <w:jc w:val="right"/>
              <w:rPr>
                <w:rFonts w:ascii="Times New Roman" w:hAnsi="Times New Roman" w:eastAsia="仿宋_GB2312" w:cs="Times New Roman"/>
                <w:kern w:val="0"/>
                <w:szCs w:val="21"/>
              </w:rPr>
            </w:pPr>
          </w:p>
        </w:tc>
      </w:tr>
    </w:tbl>
    <w:p>
      <w:pPr>
        <w:widowControl/>
        <w:ind w:firstLine="630" w:firstLineChars="30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注：本表反映部门本年度各项支出情况。</w:t>
      </w: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ind w:left="93"/>
        <w:jc w:val="center"/>
        <w:rPr>
          <w:rFonts w:ascii="Times New Roman" w:hAnsi="Times New Roman" w:eastAsia="方正小标宋_GBK" w:cs="Times New Roman"/>
          <w:color w:val="000000"/>
          <w:kern w:val="0"/>
          <w:sz w:val="36"/>
          <w:szCs w:val="21"/>
        </w:rPr>
      </w:pPr>
      <w:r>
        <w:rPr>
          <w:rFonts w:ascii="Times New Roman" w:hAnsi="Times New Roman" w:eastAsia="方正小标宋_GBK" w:cs="Times New Roman"/>
          <w:color w:val="000000"/>
          <w:kern w:val="0"/>
          <w:sz w:val="36"/>
          <w:szCs w:val="21"/>
        </w:rPr>
        <w:t>财政拨款收入支出决算总表</w:t>
      </w:r>
    </w:p>
    <w:p>
      <w:pPr>
        <w:widowControl/>
        <w:tabs>
          <w:tab w:val="left" w:pos="4453"/>
          <w:tab w:val="left" w:pos="4933"/>
          <w:tab w:val="left" w:pos="6813"/>
          <w:tab w:val="left" w:pos="11113"/>
          <w:tab w:val="left" w:pos="11549"/>
          <w:tab w:val="left" w:pos="13429"/>
          <w:tab w:val="left" w:pos="15089"/>
        </w:tabs>
        <w:spacing w:line="240" w:lineRule="exact"/>
        <w:ind w:left="91" w:right="630"/>
        <w:jc w:val="righ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公开04表</w:t>
      </w:r>
    </w:p>
    <w:p>
      <w:pPr>
        <w:widowControl/>
        <w:tabs>
          <w:tab w:val="left" w:pos="13725"/>
          <w:tab w:val="left" w:pos="13755"/>
          <w:tab w:val="left" w:pos="13800"/>
        </w:tabs>
        <w:spacing w:line="240" w:lineRule="exact"/>
        <w:ind w:left="91" w:firstLine="315" w:firstLineChars="1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rPr>
        <w:t>溆浦县工业集中区管理委员会</w:t>
      </w:r>
      <w:r>
        <w:rPr>
          <w:rFonts w:ascii="Times New Roman" w:hAnsi="Times New Roman" w:eastAsia="仿宋_GB2312" w:cs="Times New Roman"/>
          <w:color w:val="000000"/>
          <w:kern w:val="0"/>
          <w:szCs w:val="21"/>
        </w:rPr>
        <w:tab/>
      </w:r>
      <w:r>
        <w:rPr>
          <w:rFonts w:ascii="Times New Roman" w:hAnsi="Times New Roman" w:eastAsia="仿宋_GB2312" w:cs="Times New Roman"/>
          <w:color w:val="000000"/>
          <w:kern w:val="0"/>
          <w:szCs w:val="21"/>
        </w:rPr>
        <w:t>单位：万元</w:t>
      </w:r>
    </w:p>
    <w:tbl>
      <w:tblPr>
        <w:tblStyle w:val="6"/>
        <w:tblW w:w="1465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2994"/>
        <w:gridCol w:w="480"/>
        <w:gridCol w:w="1880"/>
        <w:gridCol w:w="3761"/>
        <w:gridCol w:w="430"/>
        <w:gridCol w:w="1880"/>
        <w:gridCol w:w="1660"/>
        <w:gridCol w:w="157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62" w:hRule="atLeast"/>
          <w:jc w:val="center"/>
        </w:trPr>
        <w:tc>
          <w:tcPr>
            <w:tcW w:w="5354" w:type="dxa"/>
            <w:gridSpan w:val="3"/>
            <w:shd w:val="clear" w:color="auto" w:fill="auto"/>
            <w:noWrap/>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收入</w:t>
            </w:r>
          </w:p>
        </w:tc>
        <w:tc>
          <w:tcPr>
            <w:tcW w:w="9303" w:type="dxa"/>
            <w:gridSpan w:val="5"/>
            <w:shd w:val="clear" w:color="auto" w:fill="auto"/>
            <w:noWrap/>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支出</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3" w:hRule="atLeast"/>
          <w:jc w:val="center"/>
        </w:trPr>
        <w:tc>
          <w:tcPr>
            <w:tcW w:w="2994" w:type="dxa"/>
            <w:shd w:val="clear" w:color="auto" w:fill="auto"/>
            <w:noWrap/>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480" w:type="dxa"/>
            <w:shd w:val="clear" w:color="auto" w:fill="auto"/>
            <w:noWrap/>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行次</w:t>
            </w:r>
          </w:p>
        </w:tc>
        <w:tc>
          <w:tcPr>
            <w:tcW w:w="1880" w:type="dxa"/>
            <w:shd w:val="clear" w:color="auto" w:fill="auto"/>
            <w:noWrap/>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金额</w:t>
            </w:r>
          </w:p>
        </w:tc>
        <w:tc>
          <w:tcPr>
            <w:tcW w:w="3761" w:type="dxa"/>
            <w:shd w:val="clear" w:color="auto" w:fill="auto"/>
            <w:noWrap/>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430" w:type="dxa"/>
            <w:shd w:val="clear" w:color="auto" w:fill="auto"/>
            <w:noWrap/>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行次</w:t>
            </w:r>
          </w:p>
        </w:tc>
        <w:tc>
          <w:tcPr>
            <w:tcW w:w="1880" w:type="dxa"/>
            <w:shd w:val="clear" w:color="auto" w:fill="auto"/>
            <w:noWrap/>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合计</w:t>
            </w:r>
          </w:p>
        </w:tc>
        <w:tc>
          <w:tcPr>
            <w:tcW w:w="1660" w:type="dxa"/>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一般公共预算财政拨款</w:t>
            </w:r>
          </w:p>
        </w:tc>
        <w:tc>
          <w:tcPr>
            <w:tcW w:w="1572" w:type="dxa"/>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政府性基金预算财政拨款</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jc w:val="center"/>
        </w:trPr>
        <w:tc>
          <w:tcPr>
            <w:tcW w:w="2994"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    次</w:t>
            </w:r>
          </w:p>
        </w:tc>
        <w:tc>
          <w:tcPr>
            <w:tcW w:w="48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761"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    次</w:t>
            </w:r>
          </w:p>
        </w:tc>
        <w:tc>
          <w:tcPr>
            <w:tcW w:w="43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66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572"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jc w:val="center"/>
        </w:trPr>
        <w:tc>
          <w:tcPr>
            <w:tcW w:w="2994" w:type="dxa"/>
            <w:shd w:val="clear" w:color="auto" w:fill="auto"/>
            <w:noWrap/>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一、一般公共预算财政拨款</w:t>
            </w:r>
          </w:p>
        </w:tc>
        <w:tc>
          <w:tcPr>
            <w:tcW w:w="48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6143.9</w:t>
            </w:r>
          </w:p>
        </w:tc>
        <w:tc>
          <w:tcPr>
            <w:tcW w:w="3761" w:type="dxa"/>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一、一般公共服务支出</w:t>
            </w:r>
          </w:p>
        </w:tc>
        <w:tc>
          <w:tcPr>
            <w:tcW w:w="43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16</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p>
        </w:tc>
        <w:tc>
          <w:tcPr>
            <w:tcW w:w="1660" w:type="dxa"/>
            <w:shd w:val="clear" w:color="auto" w:fill="auto"/>
            <w:noWrap/>
            <w:vAlign w:val="center"/>
          </w:tcPr>
          <w:p>
            <w:pPr>
              <w:widowControl/>
              <w:jc w:val="center"/>
              <w:rPr>
                <w:rFonts w:ascii="Times New Roman" w:hAnsi="Times New Roman" w:eastAsia="仿宋_GB2312" w:cs="Times New Roman"/>
                <w:kern w:val="0"/>
                <w:szCs w:val="21"/>
              </w:rPr>
            </w:pPr>
          </w:p>
        </w:tc>
        <w:tc>
          <w:tcPr>
            <w:tcW w:w="1572" w:type="dxa"/>
            <w:shd w:val="clear" w:color="auto" w:fill="auto"/>
            <w:noWrap/>
            <w:vAlign w:val="center"/>
          </w:tcPr>
          <w:p>
            <w:pPr>
              <w:widowControl/>
              <w:jc w:val="center"/>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jc w:val="center"/>
        </w:trPr>
        <w:tc>
          <w:tcPr>
            <w:tcW w:w="2994" w:type="dxa"/>
            <w:shd w:val="clear" w:color="auto" w:fill="auto"/>
            <w:noWrap/>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二、政府性基金预算财政拨款</w:t>
            </w:r>
          </w:p>
        </w:tc>
        <w:tc>
          <w:tcPr>
            <w:tcW w:w="48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1700</w:t>
            </w:r>
          </w:p>
        </w:tc>
        <w:tc>
          <w:tcPr>
            <w:tcW w:w="3761" w:type="dxa"/>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六、科学技术支出</w:t>
            </w:r>
          </w:p>
        </w:tc>
        <w:tc>
          <w:tcPr>
            <w:tcW w:w="43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17</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2451</w:t>
            </w:r>
          </w:p>
        </w:tc>
        <w:tc>
          <w:tcPr>
            <w:tcW w:w="166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2451</w:t>
            </w:r>
          </w:p>
        </w:tc>
        <w:tc>
          <w:tcPr>
            <w:tcW w:w="1572" w:type="dxa"/>
            <w:shd w:val="clear" w:color="auto" w:fill="auto"/>
            <w:noWrap/>
            <w:vAlign w:val="center"/>
          </w:tcPr>
          <w:p>
            <w:pPr>
              <w:widowControl/>
              <w:jc w:val="center"/>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jc w:val="center"/>
        </w:trPr>
        <w:tc>
          <w:tcPr>
            <w:tcW w:w="2994" w:type="dxa"/>
            <w:shd w:val="clear" w:color="auto" w:fill="auto"/>
            <w:noWrap/>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48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p>
        </w:tc>
        <w:tc>
          <w:tcPr>
            <w:tcW w:w="3761" w:type="dxa"/>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七、文化旅游体育与传媒支出</w:t>
            </w:r>
          </w:p>
        </w:tc>
        <w:tc>
          <w:tcPr>
            <w:tcW w:w="43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18</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14.7</w:t>
            </w:r>
          </w:p>
        </w:tc>
        <w:tc>
          <w:tcPr>
            <w:tcW w:w="166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14.7</w:t>
            </w:r>
          </w:p>
        </w:tc>
        <w:tc>
          <w:tcPr>
            <w:tcW w:w="1572" w:type="dxa"/>
            <w:shd w:val="clear" w:color="auto" w:fill="auto"/>
            <w:noWrap/>
            <w:vAlign w:val="center"/>
          </w:tcPr>
          <w:p>
            <w:pPr>
              <w:widowControl/>
              <w:jc w:val="center"/>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jc w:val="center"/>
        </w:trPr>
        <w:tc>
          <w:tcPr>
            <w:tcW w:w="2994" w:type="dxa"/>
            <w:shd w:val="clear" w:color="auto" w:fill="auto"/>
            <w:noWrap/>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48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p>
        </w:tc>
        <w:tc>
          <w:tcPr>
            <w:tcW w:w="3761" w:type="dxa"/>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十、节能环保支出</w:t>
            </w:r>
          </w:p>
        </w:tc>
        <w:tc>
          <w:tcPr>
            <w:tcW w:w="43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19</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502</w:t>
            </w:r>
          </w:p>
        </w:tc>
        <w:tc>
          <w:tcPr>
            <w:tcW w:w="166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502</w:t>
            </w:r>
          </w:p>
        </w:tc>
        <w:tc>
          <w:tcPr>
            <w:tcW w:w="1572" w:type="dxa"/>
            <w:shd w:val="clear" w:color="auto" w:fill="auto"/>
            <w:noWrap/>
            <w:vAlign w:val="center"/>
          </w:tcPr>
          <w:p>
            <w:pPr>
              <w:widowControl/>
              <w:jc w:val="center"/>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jc w:val="center"/>
        </w:trPr>
        <w:tc>
          <w:tcPr>
            <w:tcW w:w="2994" w:type="dxa"/>
            <w:shd w:val="clear" w:color="auto" w:fill="auto"/>
            <w:noWrap/>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48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p>
        </w:tc>
        <w:tc>
          <w:tcPr>
            <w:tcW w:w="3761" w:type="dxa"/>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十一、城乡社区支出</w:t>
            </w:r>
          </w:p>
        </w:tc>
        <w:tc>
          <w:tcPr>
            <w:tcW w:w="43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20</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2533.1</w:t>
            </w:r>
          </w:p>
        </w:tc>
        <w:tc>
          <w:tcPr>
            <w:tcW w:w="166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2533.1</w:t>
            </w:r>
          </w:p>
        </w:tc>
        <w:tc>
          <w:tcPr>
            <w:tcW w:w="1572" w:type="dxa"/>
            <w:shd w:val="clear" w:color="auto" w:fill="auto"/>
            <w:noWrap/>
            <w:vAlign w:val="center"/>
          </w:tcPr>
          <w:p>
            <w:pPr>
              <w:widowControl/>
              <w:jc w:val="center"/>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jc w:val="center"/>
        </w:trPr>
        <w:tc>
          <w:tcPr>
            <w:tcW w:w="2994" w:type="dxa"/>
            <w:shd w:val="clear" w:color="auto" w:fill="auto"/>
            <w:noWrap/>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48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p>
        </w:tc>
        <w:tc>
          <w:tcPr>
            <w:tcW w:w="3761" w:type="dxa"/>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十二、农林水支出</w:t>
            </w:r>
          </w:p>
        </w:tc>
        <w:tc>
          <w:tcPr>
            <w:tcW w:w="43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21</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574.1</w:t>
            </w:r>
          </w:p>
        </w:tc>
        <w:tc>
          <w:tcPr>
            <w:tcW w:w="166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574.1</w:t>
            </w:r>
          </w:p>
        </w:tc>
        <w:tc>
          <w:tcPr>
            <w:tcW w:w="1572" w:type="dxa"/>
            <w:shd w:val="clear" w:color="auto" w:fill="auto"/>
            <w:noWrap/>
            <w:vAlign w:val="center"/>
          </w:tcPr>
          <w:p>
            <w:pPr>
              <w:widowControl/>
              <w:jc w:val="center"/>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jc w:val="center"/>
        </w:trPr>
        <w:tc>
          <w:tcPr>
            <w:tcW w:w="2994" w:type="dxa"/>
            <w:shd w:val="clear" w:color="auto" w:fill="auto"/>
            <w:noWrap/>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48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p>
        </w:tc>
        <w:tc>
          <w:tcPr>
            <w:tcW w:w="3761" w:type="dxa"/>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十四、资源勘探信息等支出</w:t>
            </w:r>
          </w:p>
        </w:tc>
        <w:tc>
          <w:tcPr>
            <w:tcW w:w="43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22</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41.1</w:t>
            </w:r>
          </w:p>
        </w:tc>
        <w:tc>
          <w:tcPr>
            <w:tcW w:w="166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41.1</w:t>
            </w:r>
          </w:p>
        </w:tc>
        <w:tc>
          <w:tcPr>
            <w:tcW w:w="1572" w:type="dxa"/>
            <w:shd w:val="clear" w:color="auto" w:fill="auto"/>
            <w:noWrap/>
            <w:vAlign w:val="center"/>
          </w:tcPr>
          <w:p>
            <w:pPr>
              <w:widowControl/>
              <w:jc w:val="center"/>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jc w:val="center"/>
        </w:trPr>
        <w:tc>
          <w:tcPr>
            <w:tcW w:w="2994" w:type="dxa"/>
            <w:shd w:val="clear" w:color="auto" w:fill="auto"/>
            <w:noWrap/>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48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p>
        </w:tc>
        <w:tc>
          <w:tcPr>
            <w:tcW w:w="3761" w:type="dxa"/>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十五、商业服务业等支出</w:t>
            </w:r>
          </w:p>
        </w:tc>
        <w:tc>
          <w:tcPr>
            <w:tcW w:w="43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23</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27.8</w:t>
            </w:r>
          </w:p>
        </w:tc>
        <w:tc>
          <w:tcPr>
            <w:tcW w:w="166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27.8</w:t>
            </w:r>
          </w:p>
        </w:tc>
        <w:tc>
          <w:tcPr>
            <w:tcW w:w="1572" w:type="dxa"/>
            <w:shd w:val="clear" w:color="auto" w:fill="auto"/>
            <w:noWrap/>
            <w:vAlign w:val="center"/>
          </w:tcPr>
          <w:p>
            <w:pPr>
              <w:widowControl/>
              <w:jc w:val="center"/>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jc w:val="center"/>
        </w:trPr>
        <w:tc>
          <w:tcPr>
            <w:tcW w:w="2994" w:type="dxa"/>
            <w:shd w:val="clear" w:color="auto" w:fill="auto"/>
            <w:noWrap/>
            <w:vAlign w:val="center"/>
          </w:tcPr>
          <w:p>
            <w:pPr>
              <w:widowControl/>
              <w:jc w:val="left"/>
              <w:rPr>
                <w:rFonts w:ascii="Times New Roman" w:hAnsi="Times New Roman" w:eastAsia="仿宋_GB2312" w:cs="Times New Roman"/>
                <w:kern w:val="0"/>
                <w:szCs w:val="21"/>
              </w:rPr>
            </w:pPr>
          </w:p>
        </w:tc>
        <w:tc>
          <w:tcPr>
            <w:tcW w:w="48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p>
        </w:tc>
        <w:tc>
          <w:tcPr>
            <w:tcW w:w="3761" w:type="dxa"/>
            <w:shd w:val="clear" w:color="auto" w:fill="auto"/>
            <w:noWrap/>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二十二、其他支出</w:t>
            </w:r>
          </w:p>
        </w:tc>
        <w:tc>
          <w:tcPr>
            <w:tcW w:w="43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24</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1700</w:t>
            </w:r>
          </w:p>
        </w:tc>
        <w:tc>
          <w:tcPr>
            <w:tcW w:w="1660" w:type="dxa"/>
            <w:shd w:val="clear" w:color="auto" w:fill="auto"/>
            <w:noWrap/>
            <w:vAlign w:val="center"/>
          </w:tcPr>
          <w:p>
            <w:pPr>
              <w:widowControl/>
              <w:jc w:val="center"/>
              <w:rPr>
                <w:rFonts w:ascii="Times New Roman" w:hAnsi="Times New Roman" w:eastAsia="仿宋_GB2312" w:cs="Times New Roman"/>
                <w:kern w:val="0"/>
                <w:szCs w:val="21"/>
              </w:rPr>
            </w:pPr>
          </w:p>
        </w:tc>
        <w:tc>
          <w:tcPr>
            <w:tcW w:w="1572"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1700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2994" w:type="dxa"/>
            <w:shd w:val="clear" w:color="auto" w:fill="auto"/>
            <w:noWrap/>
            <w:vAlign w:val="center"/>
          </w:tcPr>
          <w:p>
            <w:pPr>
              <w:widowControl/>
              <w:jc w:val="center"/>
              <w:rPr>
                <w:rFonts w:ascii="Times New Roman" w:hAnsi="Times New Roman" w:eastAsia="仿宋_GB2312" w:cs="Times New Roman"/>
                <w:b/>
                <w:bCs/>
                <w:kern w:val="0"/>
                <w:szCs w:val="21"/>
              </w:rPr>
            </w:pPr>
            <w:r>
              <w:rPr>
                <w:rFonts w:ascii="Times New Roman" w:hAnsi="Times New Roman" w:eastAsia="仿宋_GB2312" w:cs="Times New Roman"/>
                <w:b/>
                <w:bCs/>
                <w:kern w:val="0"/>
                <w:szCs w:val="21"/>
              </w:rPr>
              <w:t>本年收入合计</w:t>
            </w:r>
          </w:p>
        </w:tc>
        <w:tc>
          <w:tcPr>
            <w:tcW w:w="48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7843.9</w:t>
            </w:r>
          </w:p>
        </w:tc>
        <w:tc>
          <w:tcPr>
            <w:tcW w:w="3761" w:type="dxa"/>
            <w:shd w:val="clear" w:color="auto" w:fill="auto"/>
            <w:noWrap/>
            <w:vAlign w:val="center"/>
          </w:tcPr>
          <w:p>
            <w:pPr>
              <w:widowControl/>
              <w:jc w:val="center"/>
              <w:rPr>
                <w:rFonts w:ascii="Times New Roman" w:hAnsi="Times New Roman" w:eastAsia="仿宋_GB2312" w:cs="Times New Roman"/>
                <w:b/>
                <w:bCs/>
                <w:kern w:val="0"/>
                <w:szCs w:val="21"/>
              </w:rPr>
            </w:pPr>
            <w:r>
              <w:rPr>
                <w:rFonts w:ascii="Times New Roman" w:hAnsi="Times New Roman" w:eastAsia="仿宋_GB2312" w:cs="Times New Roman"/>
                <w:b/>
                <w:bCs/>
                <w:kern w:val="0"/>
                <w:szCs w:val="21"/>
              </w:rPr>
              <w:t>本年支出合计</w:t>
            </w:r>
          </w:p>
        </w:tc>
        <w:tc>
          <w:tcPr>
            <w:tcW w:w="43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25</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7843.9</w:t>
            </w:r>
          </w:p>
        </w:tc>
        <w:tc>
          <w:tcPr>
            <w:tcW w:w="166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6143.9</w:t>
            </w:r>
          </w:p>
        </w:tc>
        <w:tc>
          <w:tcPr>
            <w:tcW w:w="1572" w:type="dxa"/>
            <w:shd w:val="clear" w:color="auto" w:fill="auto"/>
            <w:noWrap/>
            <w:vAlign w:val="center"/>
          </w:tcPr>
          <w:p>
            <w:pPr>
              <w:widowControl/>
              <w:jc w:val="center"/>
              <w:rPr>
                <w:rFonts w:ascii="Times New Roman" w:hAnsi="Times New Roman" w:eastAsia="仿宋_GB2312" w:cs="Times New Roman"/>
                <w:b/>
                <w:bCs/>
                <w:kern w:val="0"/>
                <w:szCs w:val="21"/>
              </w:rPr>
            </w:pPr>
            <w:r>
              <w:rPr>
                <w:rFonts w:hint="eastAsia" w:ascii="Times New Roman" w:hAnsi="Times New Roman" w:eastAsia="仿宋_GB2312" w:cs="Times New Roman"/>
                <w:b/>
                <w:bCs/>
                <w:kern w:val="0"/>
                <w:szCs w:val="21"/>
              </w:rPr>
              <w:t>1700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jc w:val="center"/>
        </w:trPr>
        <w:tc>
          <w:tcPr>
            <w:tcW w:w="2994"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年初财政拨款结转和结余</w:t>
            </w:r>
          </w:p>
        </w:tc>
        <w:tc>
          <w:tcPr>
            <w:tcW w:w="48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p>
        </w:tc>
        <w:tc>
          <w:tcPr>
            <w:tcW w:w="3761"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年末财政拨款结转和结余</w:t>
            </w:r>
          </w:p>
        </w:tc>
        <w:tc>
          <w:tcPr>
            <w:tcW w:w="43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26</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p>
        </w:tc>
        <w:tc>
          <w:tcPr>
            <w:tcW w:w="1660" w:type="dxa"/>
            <w:shd w:val="clear" w:color="auto" w:fill="auto"/>
            <w:noWrap/>
            <w:vAlign w:val="center"/>
          </w:tcPr>
          <w:p>
            <w:pPr>
              <w:widowControl/>
              <w:jc w:val="center"/>
              <w:rPr>
                <w:rFonts w:ascii="Times New Roman" w:hAnsi="Times New Roman" w:eastAsia="仿宋_GB2312" w:cs="Times New Roman"/>
                <w:kern w:val="0"/>
                <w:szCs w:val="21"/>
              </w:rPr>
            </w:pPr>
          </w:p>
        </w:tc>
        <w:tc>
          <w:tcPr>
            <w:tcW w:w="1572" w:type="dxa"/>
            <w:shd w:val="clear" w:color="auto" w:fill="auto"/>
            <w:noWrap/>
            <w:vAlign w:val="center"/>
          </w:tcPr>
          <w:p>
            <w:pPr>
              <w:widowControl/>
              <w:jc w:val="center"/>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jc w:val="center"/>
        </w:trPr>
        <w:tc>
          <w:tcPr>
            <w:tcW w:w="2994"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一、</w:t>
            </w:r>
            <w:r>
              <w:rPr>
                <w:rFonts w:ascii="Times New Roman" w:hAnsi="Times New Roman" w:eastAsia="仿宋_GB2312" w:cs="Times New Roman"/>
                <w:kern w:val="0"/>
                <w:szCs w:val="21"/>
              </w:rPr>
              <w:t>一般公共预算财政拨款</w:t>
            </w:r>
          </w:p>
        </w:tc>
        <w:tc>
          <w:tcPr>
            <w:tcW w:w="48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p>
        </w:tc>
        <w:tc>
          <w:tcPr>
            <w:tcW w:w="3761" w:type="dxa"/>
            <w:shd w:val="clear" w:color="auto" w:fill="auto"/>
            <w:noWrap/>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43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27</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p>
        </w:tc>
        <w:tc>
          <w:tcPr>
            <w:tcW w:w="1660" w:type="dxa"/>
            <w:shd w:val="clear" w:color="auto" w:fill="auto"/>
            <w:noWrap/>
            <w:vAlign w:val="center"/>
          </w:tcPr>
          <w:p>
            <w:pPr>
              <w:widowControl/>
              <w:jc w:val="center"/>
              <w:rPr>
                <w:rFonts w:ascii="Times New Roman" w:hAnsi="Times New Roman" w:eastAsia="仿宋_GB2312" w:cs="Times New Roman"/>
                <w:kern w:val="0"/>
                <w:szCs w:val="21"/>
              </w:rPr>
            </w:pPr>
          </w:p>
        </w:tc>
        <w:tc>
          <w:tcPr>
            <w:tcW w:w="1572" w:type="dxa"/>
            <w:shd w:val="clear" w:color="auto" w:fill="auto"/>
            <w:noWrap/>
            <w:vAlign w:val="center"/>
          </w:tcPr>
          <w:p>
            <w:pPr>
              <w:widowControl/>
              <w:jc w:val="center"/>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jc w:val="center"/>
        </w:trPr>
        <w:tc>
          <w:tcPr>
            <w:tcW w:w="2994"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二、</w:t>
            </w:r>
            <w:r>
              <w:rPr>
                <w:rFonts w:ascii="Times New Roman" w:hAnsi="Times New Roman" w:eastAsia="仿宋_GB2312" w:cs="Times New Roman"/>
                <w:kern w:val="0"/>
                <w:szCs w:val="21"/>
              </w:rPr>
              <w:t>政府性基金预算财政拨款</w:t>
            </w:r>
          </w:p>
        </w:tc>
        <w:tc>
          <w:tcPr>
            <w:tcW w:w="48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13</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p>
        </w:tc>
        <w:tc>
          <w:tcPr>
            <w:tcW w:w="3761" w:type="dxa"/>
            <w:shd w:val="clear" w:color="auto" w:fill="auto"/>
            <w:noWrap/>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43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28</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p>
        </w:tc>
        <w:tc>
          <w:tcPr>
            <w:tcW w:w="1660" w:type="dxa"/>
            <w:shd w:val="clear" w:color="auto" w:fill="auto"/>
            <w:noWrap/>
            <w:vAlign w:val="center"/>
          </w:tcPr>
          <w:p>
            <w:pPr>
              <w:widowControl/>
              <w:jc w:val="center"/>
              <w:rPr>
                <w:rFonts w:ascii="Times New Roman" w:hAnsi="Times New Roman" w:eastAsia="仿宋_GB2312" w:cs="Times New Roman"/>
                <w:kern w:val="0"/>
                <w:szCs w:val="21"/>
              </w:rPr>
            </w:pPr>
          </w:p>
        </w:tc>
        <w:tc>
          <w:tcPr>
            <w:tcW w:w="1572" w:type="dxa"/>
            <w:shd w:val="clear" w:color="auto" w:fill="auto"/>
            <w:noWrap/>
            <w:vAlign w:val="center"/>
          </w:tcPr>
          <w:p>
            <w:pPr>
              <w:widowControl/>
              <w:jc w:val="center"/>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jc w:val="center"/>
        </w:trPr>
        <w:tc>
          <w:tcPr>
            <w:tcW w:w="2994"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48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14</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p>
        </w:tc>
        <w:tc>
          <w:tcPr>
            <w:tcW w:w="3761" w:type="dxa"/>
            <w:shd w:val="clear" w:color="auto" w:fill="auto"/>
            <w:noWrap/>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430" w:type="dxa"/>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r>
              <w:rPr>
                <w:rFonts w:hint="eastAsia" w:ascii="Times New Roman" w:hAnsi="Times New Roman" w:eastAsia="仿宋_GB2312" w:cs="Times New Roman"/>
                <w:kern w:val="0"/>
                <w:szCs w:val="21"/>
              </w:rPr>
              <w:t>9</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p>
        </w:tc>
        <w:tc>
          <w:tcPr>
            <w:tcW w:w="1660" w:type="dxa"/>
            <w:shd w:val="clear" w:color="auto" w:fill="auto"/>
            <w:noWrap/>
            <w:vAlign w:val="center"/>
          </w:tcPr>
          <w:p>
            <w:pPr>
              <w:widowControl/>
              <w:jc w:val="center"/>
              <w:rPr>
                <w:rFonts w:ascii="Times New Roman" w:hAnsi="Times New Roman" w:eastAsia="仿宋_GB2312" w:cs="Times New Roman"/>
                <w:kern w:val="0"/>
                <w:szCs w:val="21"/>
              </w:rPr>
            </w:pPr>
          </w:p>
        </w:tc>
        <w:tc>
          <w:tcPr>
            <w:tcW w:w="1572" w:type="dxa"/>
            <w:shd w:val="clear" w:color="auto" w:fill="auto"/>
            <w:noWrap/>
            <w:vAlign w:val="center"/>
          </w:tcPr>
          <w:p>
            <w:pPr>
              <w:widowControl/>
              <w:jc w:val="center"/>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jc w:val="center"/>
        </w:trPr>
        <w:tc>
          <w:tcPr>
            <w:tcW w:w="2994" w:type="dxa"/>
            <w:shd w:val="clear" w:color="auto" w:fill="auto"/>
            <w:noWrap/>
            <w:vAlign w:val="center"/>
          </w:tcPr>
          <w:p>
            <w:pPr>
              <w:widowControl/>
              <w:jc w:val="center"/>
              <w:rPr>
                <w:rFonts w:ascii="Times New Roman" w:hAnsi="Times New Roman" w:eastAsia="仿宋_GB2312" w:cs="Times New Roman"/>
                <w:b/>
                <w:bCs/>
                <w:kern w:val="0"/>
                <w:szCs w:val="21"/>
              </w:rPr>
            </w:pPr>
            <w:r>
              <w:rPr>
                <w:rFonts w:ascii="Times New Roman" w:hAnsi="Times New Roman" w:eastAsia="仿宋_GB2312" w:cs="Times New Roman"/>
                <w:b/>
                <w:bCs/>
                <w:kern w:val="0"/>
                <w:szCs w:val="21"/>
              </w:rPr>
              <w:t>总计</w:t>
            </w:r>
          </w:p>
        </w:tc>
        <w:tc>
          <w:tcPr>
            <w:tcW w:w="48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15</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7843.9</w:t>
            </w:r>
          </w:p>
        </w:tc>
        <w:tc>
          <w:tcPr>
            <w:tcW w:w="3761" w:type="dxa"/>
            <w:shd w:val="clear" w:color="auto" w:fill="auto"/>
            <w:noWrap/>
            <w:vAlign w:val="center"/>
          </w:tcPr>
          <w:p>
            <w:pPr>
              <w:widowControl/>
              <w:jc w:val="center"/>
              <w:rPr>
                <w:rFonts w:ascii="Times New Roman" w:hAnsi="Times New Roman" w:eastAsia="仿宋_GB2312" w:cs="Times New Roman"/>
                <w:b/>
                <w:bCs/>
                <w:kern w:val="0"/>
                <w:szCs w:val="21"/>
              </w:rPr>
            </w:pPr>
            <w:r>
              <w:rPr>
                <w:rFonts w:ascii="Times New Roman" w:hAnsi="Times New Roman" w:eastAsia="仿宋_GB2312" w:cs="Times New Roman"/>
                <w:b/>
                <w:bCs/>
                <w:kern w:val="0"/>
                <w:szCs w:val="21"/>
              </w:rPr>
              <w:t>总计</w:t>
            </w:r>
          </w:p>
        </w:tc>
        <w:tc>
          <w:tcPr>
            <w:tcW w:w="43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30</w:t>
            </w:r>
          </w:p>
        </w:tc>
        <w:tc>
          <w:tcPr>
            <w:tcW w:w="188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7843.9</w:t>
            </w:r>
          </w:p>
        </w:tc>
        <w:tc>
          <w:tcPr>
            <w:tcW w:w="1660" w:type="dxa"/>
            <w:shd w:val="clear" w:color="auto" w:fill="auto"/>
            <w:noWrap/>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6143.9</w:t>
            </w:r>
          </w:p>
        </w:tc>
        <w:tc>
          <w:tcPr>
            <w:tcW w:w="1572" w:type="dxa"/>
            <w:shd w:val="clear" w:color="auto" w:fill="auto"/>
            <w:noWrap/>
            <w:vAlign w:val="center"/>
          </w:tcPr>
          <w:p>
            <w:pPr>
              <w:widowControl/>
              <w:jc w:val="center"/>
              <w:rPr>
                <w:rFonts w:ascii="Times New Roman" w:hAnsi="Times New Roman" w:eastAsia="仿宋_GB2312" w:cs="Times New Roman"/>
                <w:b/>
                <w:bCs/>
                <w:kern w:val="0"/>
                <w:szCs w:val="21"/>
              </w:rPr>
            </w:pPr>
            <w:r>
              <w:rPr>
                <w:rFonts w:hint="eastAsia" w:ascii="Times New Roman" w:hAnsi="Times New Roman" w:eastAsia="仿宋_GB2312" w:cs="Times New Roman"/>
                <w:b/>
                <w:bCs/>
                <w:kern w:val="0"/>
                <w:szCs w:val="21"/>
              </w:rPr>
              <w:t>1700</w:t>
            </w:r>
          </w:p>
        </w:tc>
      </w:tr>
    </w:tbl>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注：本表反映部门本年度一般公共预算财政拨款和政府性基金预算财政拨款的总收支和年末结转结余情况。</w:t>
      </w:r>
    </w:p>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br w:type="page"/>
      </w:r>
    </w:p>
    <w:p>
      <w:pPr>
        <w:widowControl/>
        <w:jc w:val="center"/>
        <w:rPr>
          <w:rFonts w:ascii="Times New Roman" w:hAnsi="Times New Roman" w:eastAsia="方正小标宋_GBK" w:cs="Times New Roman"/>
          <w:kern w:val="0"/>
          <w:sz w:val="36"/>
          <w:szCs w:val="36"/>
        </w:rPr>
      </w:pPr>
      <w:bookmarkStart w:id="0" w:name="RANGE!A1:F16"/>
      <w:r>
        <w:rPr>
          <w:rFonts w:ascii="Times New Roman" w:hAnsi="Times New Roman" w:eastAsia="方正小标宋_GBK" w:cs="Times New Roman"/>
          <w:kern w:val="0"/>
          <w:sz w:val="36"/>
          <w:szCs w:val="36"/>
        </w:rPr>
        <w:t>一般公共预算财政拨款支出决算表</w:t>
      </w:r>
      <w:bookmarkEnd w:id="0"/>
    </w:p>
    <w:p>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rPr>
        <w:t>溆浦县工业集中区管理委员会</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6"/>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6143.9</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37.5</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6106.4</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206</w:t>
            </w:r>
          </w:p>
        </w:tc>
        <w:tc>
          <w:tcPr>
            <w:tcW w:w="3527" w:type="dxa"/>
            <w:tcBorders>
              <w:top w:val="nil"/>
              <w:left w:val="nil"/>
              <w:bottom w:val="single" w:color="auto" w:sz="4"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科学技术支出</w:t>
            </w:r>
          </w:p>
        </w:tc>
        <w:tc>
          <w:tcPr>
            <w:tcW w:w="3000" w:type="dxa"/>
            <w:tcBorders>
              <w:top w:val="nil"/>
              <w:left w:val="nil"/>
              <w:bottom w:val="single" w:color="auto" w:sz="4" w:space="0"/>
              <w:right w:val="single" w:color="auto" w:sz="4" w:space="0"/>
            </w:tcBorders>
            <w:shd w:val="clear" w:color="auto" w:fill="auto"/>
            <w:vAlign w:val="center"/>
          </w:tcPr>
          <w:p>
            <w:pPr>
              <w:widowControl/>
              <w:tabs>
                <w:tab w:val="center" w:pos="730"/>
                <w:tab w:val="right" w:pos="1790"/>
              </w:tabs>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2451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2451</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20699</w:t>
            </w:r>
          </w:p>
        </w:tc>
        <w:tc>
          <w:tcPr>
            <w:tcW w:w="3527" w:type="dxa"/>
            <w:tcBorders>
              <w:top w:val="nil"/>
              <w:left w:val="nil"/>
              <w:bottom w:val="single" w:color="auto" w:sz="4"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其他科学技术支出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2451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2451</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2069999</w:t>
            </w:r>
          </w:p>
        </w:tc>
        <w:tc>
          <w:tcPr>
            <w:tcW w:w="3527" w:type="dxa"/>
            <w:tcBorders>
              <w:top w:val="nil"/>
              <w:left w:val="nil"/>
              <w:bottom w:val="single" w:color="auto" w:sz="4"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其他科学技术支出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2451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2451</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207</w:t>
            </w:r>
          </w:p>
        </w:tc>
        <w:tc>
          <w:tcPr>
            <w:tcW w:w="3527" w:type="dxa"/>
            <w:tcBorders>
              <w:top w:val="nil"/>
              <w:left w:val="nil"/>
              <w:bottom w:val="single" w:color="auto" w:sz="4"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文化旅游体育与传媒支出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14.7</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14.7</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20701</w:t>
            </w:r>
          </w:p>
        </w:tc>
        <w:tc>
          <w:tcPr>
            <w:tcW w:w="3527" w:type="dxa"/>
            <w:tcBorders>
              <w:top w:val="nil"/>
              <w:left w:val="nil"/>
              <w:bottom w:val="single" w:color="auto" w:sz="4"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文化和旅游</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14.7</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14.7</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2070199</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其他文化和旅游支出</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14.7</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14.7</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211</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节能环保支出</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502</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502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21101</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环境保护管理事务</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2110199</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其他环境保护管理事务支出</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21103</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污染防治</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490</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490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2110302</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水体</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490</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490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212</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城乡社区支出</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2533.1</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2533.1</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21203</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城乡社区公共设施</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2533.1</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2533.1</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2120303</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小城镇基础设施建设</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2533.1</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2533.1</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213</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农林水支出</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574.1</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0.8</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573.3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21305</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扶贫</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574.1</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0.8</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573.3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2130501</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行政运行</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0.8</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2130505</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生产发展</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530</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530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2130599</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其他扶贫支出</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42.1</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42.1</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215</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资源勘探信息等支出</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41.1</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10.1</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31</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21505</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工业和信息产业监管</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10.1</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10.1</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2150501</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行政运行</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2150502</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一般行政管理事务</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0.1</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0.1</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2150599</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其他工业和信息产业监管支出</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21508</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支持中小企业发展和管理支出</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31</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31</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2150899</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其他支持中小企业发展和管理支出</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31</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31</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216</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商业服务业等支出</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27.8</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11.8</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16</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21602</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商业流通事务</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11.8</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2160299</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其他商业流通事务支出</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11.8</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21606</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涉外发展服务支出</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7.8</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7.8</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2160699</w:t>
            </w:r>
          </w:p>
        </w:tc>
        <w:tc>
          <w:tcPr>
            <w:tcW w:w="3527" w:type="dxa"/>
            <w:tcBorders>
              <w:top w:val="nil"/>
              <w:left w:val="nil"/>
              <w:bottom w:val="single" w:color="auto" w:sz="8" w:space="0"/>
              <w:right w:val="single" w:color="auto" w:sz="4" w:space="0"/>
            </w:tcBorders>
            <w:shd w:val="clear" w:color="auto" w:fill="auto"/>
            <w:vAlign w:val="center"/>
          </w:tcPr>
          <w:p>
            <w:pPr>
              <w:widowControl/>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其他涉外发展服务支出</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7.8</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7.8</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jc w:val="center"/>
        <w:rPr>
          <w:rFonts w:ascii="Times New Roman" w:hAnsi="Times New Roman" w:eastAsia="方正小标宋_GBK" w:cs="Times New Roman"/>
          <w:color w:val="000000"/>
          <w:kern w:val="0"/>
          <w:sz w:val="28"/>
          <w:szCs w:val="36"/>
        </w:rPr>
      </w:pPr>
      <w:bookmarkStart w:id="1" w:name="RANGE!A1:I39"/>
      <w:r>
        <w:rPr>
          <w:rFonts w:ascii="Times New Roman" w:hAnsi="Times New Roman" w:eastAsia="方正小标宋_GBK" w:cs="Times New Roman"/>
          <w:color w:val="000000"/>
          <w:kern w:val="0"/>
          <w:sz w:val="28"/>
          <w:szCs w:val="36"/>
        </w:rPr>
        <w:t>一般公共预算财政拨款基本支出决算表</w:t>
      </w:r>
      <w:bookmarkEnd w:id="1"/>
    </w:p>
    <w:p>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溆浦县工业集中区管理委员会</w:t>
      </w:r>
      <w:r>
        <w:rPr>
          <w:rFonts w:ascii="Times New Roman" w:hAnsi="Times New Roman" w:eastAsia="仿宋_GB2312" w:cs="Times New Roman"/>
          <w:color w:val="000000"/>
          <w:kern w:val="0"/>
          <w:szCs w:val="21"/>
        </w:rPr>
        <w:t xml:space="preserve">          公开06表</w:t>
      </w:r>
    </w:p>
    <w:p>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6"/>
        <w:tblW w:w="0" w:type="auto"/>
        <w:tblInd w:w="93" w:type="dxa"/>
        <w:tblLayout w:type="fixed"/>
        <w:tblCellMar>
          <w:top w:w="0" w:type="dxa"/>
          <w:left w:w="108" w:type="dxa"/>
          <w:bottom w:w="0" w:type="dxa"/>
          <w:right w:w="108" w:type="dxa"/>
        </w:tblCellMar>
      </w:tblPr>
      <w:tblGrid>
        <w:gridCol w:w="1149"/>
        <w:gridCol w:w="3306"/>
        <w:gridCol w:w="856"/>
        <w:gridCol w:w="1110"/>
        <w:gridCol w:w="2297"/>
        <w:gridCol w:w="856"/>
        <w:gridCol w:w="1076"/>
        <w:gridCol w:w="4394"/>
        <w:gridCol w:w="856"/>
      </w:tblGrid>
      <w:tr>
        <w:tblPrEx>
          <w:tblCellMar>
            <w:top w:w="0" w:type="dxa"/>
            <w:left w:w="108" w:type="dxa"/>
            <w:bottom w:w="0" w:type="dxa"/>
            <w:right w:w="108" w:type="dxa"/>
          </w:tblCellMar>
        </w:tblPrEx>
        <w:trPr>
          <w:trHeight w:val="585" w:hRule="atLeast"/>
        </w:trPr>
        <w:tc>
          <w:tcPr>
            <w:tcW w:w="1149"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经济分类科目编码</w:t>
            </w:r>
          </w:p>
        </w:tc>
        <w:tc>
          <w:tcPr>
            <w:tcW w:w="3306"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科目名称</w:t>
            </w:r>
          </w:p>
        </w:tc>
        <w:tc>
          <w:tcPr>
            <w:tcW w:w="856"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决算数</w:t>
            </w:r>
          </w:p>
        </w:tc>
        <w:tc>
          <w:tcPr>
            <w:tcW w:w="1110"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经济分类科目编码</w:t>
            </w:r>
          </w:p>
        </w:tc>
        <w:tc>
          <w:tcPr>
            <w:tcW w:w="2297"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科目名称</w:t>
            </w:r>
          </w:p>
        </w:tc>
        <w:tc>
          <w:tcPr>
            <w:tcW w:w="856"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决算数</w:t>
            </w:r>
          </w:p>
        </w:tc>
        <w:tc>
          <w:tcPr>
            <w:tcW w:w="1076"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经济分类科目编码</w:t>
            </w:r>
          </w:p>
        </w:tc>
        <w:tc>
          <w:tcPr>
            <w:tcW w:w="4394"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科目名称</w:t>
            </w:r>
          </w:p>
        </w:tc>
        <w:tc>
          <w:tcPr>
            <w:tcW w:w="856"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决算数</w:t>
            </w: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301</w:t>
            </w:r>
          </w:p>
        </w:tc>
        <w:tc>
          <w:tcPr>
            <w:tcW w:w="3306" w:type="dxa"/>
            <w:tcBorders>
              <w:top w:val="nil"/>
              <w:left w:val="nil"/>
              <w:bottom w:val="single" w:color="auto" w:sz="8" w:space="0"/>
              <w:right w:val="single" w:color="auto" w:sz="8" w:space="0"/>
            </w:tcBorders>
            <w:shd w:val="clear" w:color="auto" w:fill="auto"/>
            <w:noWrap/>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工资福利支出</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29.2</w:t>
            </w:r>
          </w:p>
        </w:tc>
        <w:tc>
          <w:tcPr>
            <w:tcW w:w="1110"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302</w:t>
            </w:r>
          </w:p>
        </w:tc>
        <w:tc>
          <w:tcPr>
            <w:tcW w:w="2297" w:type="dxa"/>
            <w:tcBorders>
              <w:top w:val="nil"/>
              <w:left w:val="nil"/>
              <w:bottom w:val="single" w:color="auto" w:sz="8" w:space="0"/>
              <w:right w:val="single" w:color="auto" w:sz="8" w:space="0"/>
            </w:tcBorders>
            <w:shd w:val="clear" w:color="auto" w:fill="auto"/>
            <w:noWrap/>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商品和服务支出</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5.9</w:t>
            </w: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307</w:t>
            </w:r>
          </w:p>
        </w:tc>
        <w:tc>
          <w:tcPr>
            <w:tcW w:w="4394" w:type="dxa"/>
            <w:tcBorders>
              <w:top w:val="nil"/>
              <w:left w:val="nil"/>
              <w:bottom w:val="single" w:color="auto" w:sz="8" w:space="0"/>
              <w:right w:val="single" w:color="auto" w:sz="8" w:space="0"/>
            </w:tcBorders>
            <w:shd w:val="clear" w:color="auto" w:fill="auto"/>
            <w:noWrap/>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债务利息及费用支出</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30101</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基本工资</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110"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30201</w:t>
            </w:r>
          </w:p>
        </w:tc>
        <w:tc>
          <w:tcPr>
            <w:tcW w:w="2297"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办公费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0.7</w:t>
            </w: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30701</w:t>
            </w:r>
          </w:p>
        </w:tc>
        <w:tc>
          <w:tcPr>
            <w:tcW w:w="4394"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国内债务付息</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30102</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津贴补贴</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0.3</w:t>
            </w:r>
          </w:p>
        </w:tc>
        <w:tc>
          <w:tcPr>
            <w:tcW w:w="1110"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30202</w:t>
            </w:r>
          </w:p>
        </w:tc>
        <w:tc>
          <w:tcPr>
            <w:tcW w:w="2297"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印刷费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30702</w:t>
            </w:r>
          </w:p>
        </w:tc>
        <w:tc>
          <w:tcPr>
            <w:tcW w:w="4394"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国外债务付息</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30103</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奖金</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28</w:t>
            </w:r>
          </w:p>
        </w:tc>
        <w:tc>
          <w:tcPr>
            <w:tcW w:w="1110"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30203</w:t>
            </w:r>
          </w:p>
        </w:tc>
        <w:tc>
          <w:tcPr>
            <w:tcW w:w="2297"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咨询费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310</w:t>
            </w:r>
          </w:p>
        </w:tc>
        <w:tc>
          <w:tcPr>
            <w:tcW w:w="4394" w:type="dxa"/>
            <w:tcBorders>
              <w:top w:val="nil"/>
              <w:left w:val="nil"/>
              <w:bottom w:val="single" w:color="auto" w:sz="8" w:space="0"/>
              <w:right w:val="single" w:color="auto" w:sz="8" w:space="0"/>
            </w:tcBorders>
            <w:shd w:val="clear" w:color="auto" w:fill="auto"/>
            <w:noWrap/>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资本性支出</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30106</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伙食补助费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110"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30204</w:t>
            </w:r>
          </w:p>
        </w:tc>
        <w:tc>
          <w:tcPr>
            <w:tcW w:w="2297"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手续费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31001</w:t>
            </w:r>
          </w:p>
        </w:tc>
        <w:tc>
          <w:tcPr>
            <w:tcW w:w="4394"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房屋建筑物购建</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30107</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绩效工资</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110"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30205</w:t>
            </w:r>
          </w:p>
        </w:tc>
        <w:tc>
          <w:tcPr>
            <w:tcW w:w="2297"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水费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31002</w:t>
            </w:r>
          </w:p>
        </w:tc>
        <w:tc>
          <w:tcPr>
            <w:tcW w:w="4394"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办公设备购置</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30108</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机关事业单位基本养老保险费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110"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30206</w:t>
            </w:r>
          </w:p>
        </w:tc>
        <w:tc>
          <w:tcPr>
            <w:tcW w:w="2297"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电费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31003</w:t>
            </w:r>
          </w:p>
        </w:tc>
        <w:tc>
          <w:tcPr>
            <w:tcW w:w="4394"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专用设备购置</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30109</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职业年金缴费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110"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30207</w:t>
            </w:r>
          </w:p>
        </w:tc>
        <w:tc>
          <w:tcPr>
            <w:tcW w:w="2297"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邮电费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31005</w:t>
            </w:r>
          </w:p>
        </w:tc>
        <w:tc>
          <w:tcPr>
            <w:tcW w:w="4394"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基础设施建设</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30110</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职工基本医疗保险缴费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110"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30208</w:t>
            </w:r>
          </w:p>
        </w:tc>
        <w:tc>
          <w:tcPr>
            <w:tcW w:w="2297"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取暖费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31006</w:t>
            </w:r>
          </w:p>
        </w:tc>
        <w:tc>
          <w:tcPr>
            <w:tcW w:w="4394"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大型修缮</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30111</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公务员医疗补助缴费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110"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30209</w:t>
            </w:r>
          </w:p>
        </w:tc>
        <w:tc>
          <w:tcPr>
            <w:tcW w:w="2297"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物业管理费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31007</w:t>
            </w:r>
          </w:p>
        </w:tc>
        <w:tc>
          <w:tcPr>
            <w:tcW w:w="4394"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信息网络及软件购置更新</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30112</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其他社会保障缴费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0.9</w:t>
            </w:r>
          </w:p>
        </w:tc>
        <w:tc>
          <w:tcPr>
            <w:tcW w:w="1110"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30211</w:t>
            </w:r>
          </w:p>
        </w:tc>
        <w:tc>
          <w:tcPr>
            <w:tcW w:w="2297"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差旅费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2.1</w:t>
            </w: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31008</w:t>
            </w:r>
          </w:p>
        </w:tc>
        <w:tc>
          <w:tcPr>
            <w:tcW w:w="4394"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物资储备</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30113</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住房公积金</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110"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30212</w:t>
            </w:r>
          </w:p>
        </w:tc>
        <w:tc>
          <w:tcPr>
            <w:tcW w:w="2297"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因公出国（境）费用</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31009</w:t>
            </w:r>
          </w:p>
        </w:tc>
        <w:tc>
          <w:tcPr>
            <w:tcW w:w="4394"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土地补偿</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30114</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医疗费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110"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30213</w:t>
            </w:r>
          </w:p>
        </w:tc>
        <w:tc>
          <w:tcPr>
            <w:tcW w:w="2297"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维修（护）费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31010</w:t>
            </w:r>
          </w:p>
        </w:tc>
        <w:tc>
          <w:tcPr>
            <w:tcW w:w="4394"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安置补助</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30199</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其他工资福利支出</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110"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30214</w:t>
            </w:r>
          </w:p>
        </w:tc>
        <w:tc>
          <w:tcPr>
            <w:tcW w:w="2297"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租赁费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31011</w:t>
            </w:r>
          </w:p>
        </w:tc>
        <w:tc>
          <w:tcPr>
            <w:tcW w:w="4394"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地上附着物和青苗补偿</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303</w:t>
            </w:r>
          </w:p>
        </w:tc>
        <w:tc>
          <w:tcPr>
            <w:tcW w:w="3306" w:type="dxa"/>
            <w:tcBorders>
              <w:top w:val="nil"/>
              <w:left w:val="nil"/>
              <w:bottom w:val="single" w:color="auto" w:sz="8" w:space="0"/>
              <w:right w:val="single" w:color="auto" w:sz="8" w:space="0"/>
            </w:tcBorders>
            <w:shd w:val="clear" w:color="auto" w:fill="auto"/>
            <w:noWrap/>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对个人和家庭的补助</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2.4</w:t>
            </w:r>
          </w:p>
        </w:tc>
        <w:tc>
          <w:tcPr>
            <w:tcW w:w="1110"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30215</w:t>
            </w:r>
          </w:p>
        </w:tc>
        <w:tc>
          <w:tcPr>
            <w:tcW w:w="2297"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会议费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31012</w:t>
            </w:r>
          </w:p>
        </w:tc>
        <w:tc>
          <w:tcPr>
            <w:tcW w:w="4394"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拆迁补偿</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30301</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离休费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110"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30216</w:t>
            </w:r>
          </w:p>
        </w:tc>
        <w:tc>
          <w:tcPr>
            <w:tcW w:w="2297"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培训费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0.2</w:t>
            </w: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31013</w:t>
            </w:r>
          </w:p>
        </w:tc>
        <w:tc>
          <w:tcPr>
            <w:tcW w:w="4394"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公务用车购置</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30302</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退休费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110"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30217</w:t>
            </w:r>
          </w:p>
        </w:tc>
        <w:tc>
          <w:tcPr>
            <w:tcW w:w="2297"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公务接待费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2</w:t>
            </w: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31019</w:t>
            </w:r>
          </w:p>
        </w:tc>
        <w:tc>
          <w:tcPr>
            <w:tcW w:w="4394"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其他交通工具购置</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30303</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退职（役）费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110"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30218</w:t>
            </w:r>
          </w:p>
        </w:tc>
        <w:tc>
          <w:tcPr>
            <w:tcW w:w="2297"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专用材料费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31021</w:t>
            </w:r>
          </w:p>
        </w:tc>
        <w:tc>
          <w:tcPr>
            <w:tcW w:w="4394"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文物和陈列品购置</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30304</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抚恤金</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110"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30224</w:t>
            </w:r>
          </w:p>
        </w:tc>
        <w:tc>
          <w:tcPr>
            <w:tcW w:w="2297"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被装购置费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31022</w:t>
            </w:r>
          </w:p>
        </w:tc>
        <w:tc>
          <w:tcPr>
            <w:tcW w:w="4394"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无形资产购置</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30305</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生活补助</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2.4</w:t>
            </w:r>
          </w:p>
        </w:tc>
        <w:tc>
          <w:tcPr>
            <w:tcW w:w="1110"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30225</w:t>
            </w:r>
          </w:p>
        </w:tc>
        <w:tc>
          <w:tcPr>
            <w:tcW w:w="2297"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专用燃料费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31099</w:t>
            </w:r>
          </w:p>
        </w:tc>
        <w:tc>
          <w:tcPr>
            <w:tcW w:w="4394"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其他资本性支出</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30306</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救济费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110"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30226</w:t>
            </w:r>
          </w:p>
        </w:tc>
        <w:tc>
          <w:tcPr>
            <w:tcW w:w="2297"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劳务费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399</w:t>
            </w:r>
          </w:p>
        </w:tc>
        <w:tc>
          <w:tcPr>
            <w:tcW w:w="4394" w:type="dxa"/>
            <w:tcBorders>
              <w:top w:val="nil"/>
              <w:left w:val="nil"/>
              <w:bottom w:val="single" w:color="auto" w:sz="8" w:space="0"/>
              <w:right w:val="single" w:color="auto" w:sz="8" w:space="0"/>
            </w:tcBorders>
            <w:shd w:val="clear" w:color="auto" w:fill="auto"/>
            <w:noWrap/>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其他支出</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30307</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医疗费补助</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110"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30227</w:t>
            </w:r>
          </w:p>
        </w:tc>
        <w:tc>
          <w:tcPr>
            <w:tcW w:w="2297"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委托业务费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39906</w:t>
            </w:r>
          </w:p>
        </w:tc>
        <w:tc>
          <w:tcPr>
            <w:tcW w:w="4394"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赠与</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30308</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助学金</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110"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30228</w:t>
            </w:r>
          </w:p>
        </w:tc>
        <w:tc>
          <w:tcPr>
            <w:tcW w:w="2297"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工会经费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39907</w:t>
            </w:r>
          </w:p>
        </w:tc>
        <w:tc>
          <w:tcPr>
            <w:tcW w:w="4394"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国家赔偿费用支出</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single" w:color="auto" w:sz="8" w:space="0"/>
              <w:left w:val="single" w:color="auto" w:sz="8" w:space="0"/>
              <w:bottom w:val="single" w:color="auto" w:sz="8" w:space="0"/>
              <w:right w:val="single" w:color="auto" w:sz="8" w:space="0"/>
            </w:tcBorders>
            <w:shd w:val="clear" w:color="auto" w:fill="auto"/>
            <w:noWrap/>
            <w:vAlign w:val="center"/>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30309</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奖励金</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Times New Roman" w:hAnsi="Times New Roman" w:eastAsia="宋体" w:cs="Times New Roman"/>
                <w:color w:val="000000"/>
                <w:kern w:val="0"/>
                <w:sz w:val="18"/>
                <w:szCs w:val="18"/>
              </w:rPr>
            </w:pPr>
          </w:p>
        </w:tc>
        <w:tc>
          <w:tcPr>
            <w:tcW w:w="1110" w:type="dxa"/>
            <w:tcBorders>
              <w:top w:val="nil"/>
              <w:left w:val="nil"/>
              <w:bottom w:val="single" w:color="auto" w:sz="8" w:space="0"/>
              <w:right w:val="single" w:color="auto" w:sz="8" w:space="0"/>
            </w:tcBorders>
            <w:shd w:val="clear" w:color="auto" w:fill="auto"/>
            <w:noWrap/>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30229</w:t>
            </w:r>
          </w:p>
        </w:tc>
        <w:tc>
          <w:tcPr>
            <w:tcW w:w="2297" w:type="dxa"/>
            <w:tcBorders>
              <w:top w:val="nil"/>
              <w:left w:val="nil"/>
              <w:bottom w:val="single" w:color="auto" w:sz="8" w:space="0"/>
              <w:right w:val="single" w:color="auto" w:sz="8" w:space="0"/>
            </w:tcBorders>
            <w:shd w:val="clear" w:color="auto" w:fill="auto"/>
            <w:noWrap/>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  福利费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Times New Roman" w:hAnsi="Times New Roman" w:eastAsia="宋体" w:cs="Times New Roman"/>
                <w:color w:val="000000"/>
                <w:kern w:val="0"/>
                <w:sz w:val="18"/>
                <w:szCs w:val="18"/>
              </w:rPr>
            </w:pPr>
            <w:r>
              <w:rPr>
                <w:rFonts w:hint="eastAsia" w:ascii="Times New Roman" w:hAnsi="Times New Roman" w:eastAsia="宋体" w:cs="Times New Roman"/>
                <w:color w:val="000000"/>
                <w:kern w:val="0"/>
                <w:sz w:val="18"/>
                <w:szCs w:val="18"/>
              </w:rPr>
              <w:t>0.1</w:t>
            </w: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39908</w:t>
            </w:r>
          </w:p>
        </w:tc>
        <w:tc>
          <w:tcPr>
            <w:tcW w:w="4394" w:type="dxa"/>
            <w:tcBorders>
              <w:top w:val="nil"/>
              <w:left w:val="nil"/>
              <w:bottom w:val="single" w:color="auto" w:sz="8" w:space="0"/>
              <w:right w:val="single" w:color="auto" w:sz="8" w:space="0"/>
            </w:tcBorders>
            <w:shd w:val="clear" w:color="auto" w:fill="auto"/>
            <w:noWrap/>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  对民间非营利组织和群众性自治组织补贴</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single" w:color="auto" w:sz="8" w:space="0"/>
              <w:left w:val="single" w:color="auto" w:sz="8" w:space="0"/>
              <w:bottom w:val="single" w:color="auto" w:sz="8" w:space="0"/>
              <w:right w:val="single" w:color="auto" w:sz="8" w:space="0"/>
            </w:tcBorders>
            <w:shd w:val="clear" w:color="auto" w:fill="auto"/>
            <w:noWrap/>
            <w:vAlign w:val="center"/>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30310</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个人农业生产补贴</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Times New Roman" w:hAnsi="Times New Roman" w:eastAsia="宋体" w:cs="Times New Roman"/>
                <w:color w:val="000000"/>
                <w:kern w:val="0"/>
                <w:sz w:val="18"/>
                <w:szCs w:val="18"/>
              </w:rPr>
            </w:pPr>
          </w:p>
        </w:tc>
        <w:tc>
          <w:tcPr>
            <w:tcW w:w="1110" w:type="dxa"/>
            <w:tcBorders>
              <w:top w:val="nil"/>
              <w:left w:val="nil"/>
              <w:bottom w:val="single" w:color="auto" w:sz="8" w:space="0"/>
              <w:right w:val="single" w:color="auto" w:sz="8" w:space="0"/>
            </w:tcBorders>
            <w:shd w:val="clear" w:color="auto" w:fill="auto"/>
            <w:noWrap/>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30231</w:t>
            </w:r>
          </w:p>
        </w:tc>
        <w:tc>
          <w:tcPr>
            <w:tcW w:w="2297" w:type="dxa"/>
            <w:tcBorders>
              <w:top w:val="nil"/>
              <w:left w:val="nil"/>
              <w:bottom w:val="single" w:color="auto" w:sz="8" w:space="0"/>
              <w:right w:val="single" w:color="auto" w:sz="8" w:space="0"/>
            </w:tcBorders>
            <w:shd w:val="clear" w:color="auto" w:fill="auto"/>
            <w:noWrap/>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  公务用车运行维护费</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Times New Roman" w:hAnsi="Times New Roman" w:eastAsia="宋体" w:cs="Times New Roman"/>
                <w:color w:val="000000"/>
                <w:kern w:val="0"/>
                <w:sz w:val="18"/>
                <w:szCs w:val="18"/>
              </w:rPr>
            </w:pP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39999</w:t>
            </w:r>
          </w:p>
        </w:tc>
        <w:tc>
          <w:tcPr>
            <w:tcW w:w="4394" w:type="dxa"/>
            <w:tcBorders>
              <w:top w:val="nil"/>
              <w:left w:val="nil"/>
              <w:bottom w:val="single" w:color="auto" w:sz="8" w:space="0"/>
              <w:right w:val="single" w:color="auto" w:sz="8" w:space="0"/>
            </w:tcBorders>
            <w:shd w:val="clear" w:color="auto" w:fill="auto"/>
            <w:noWrap/>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  其他支出</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single" w:color="auto" w:sz="8" w:space="0"/>
              <w:left w:val="single" w:color="auto" w:sz="8" w:space="0"/>
              <w:bottom w:val="single" w:color="auto" w:sz="8" w:space="0"/>
              <w:right w:val="single" w:color="auto" w:sz="8" w:space="0"/>
            </w:tcBorders>
            <w:shd w:val="clear" w:color="auto" w:fill="auto"/>
            <w:noWrap/>
            <w:vAlign w:val="center"/>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30399</w:t>
            </w:r>
          </w:p>
        </w:tc>
        <w:tc>
          <w:tcPr>
            <w:tcW w:w="3306" w:type="dxa"/>
            <w:tcBorders>
              <w:top w:val="single" w:color="auto" w:sz="8" w:space="0"/>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hint="eastAsia" w:ascii="仿宋_GB2312" w:hAnsi="Times New Roman" w:eastAsia="仿宋_GB2312" w:cs="Times New Roman"/>
                <w:color w:val="000000"/>
                <w:kern w:val="0"/>
                <w:sz w:val="18"/>
                <w:szCs w:val="18"/>
              </w:rPr>
              <w:t>对其他个人和家庭的补助支出</w:t>
            </w:r>
          </w:p>
        </w:tc>
        <w:tc>
          <w:tcPr>
            <w:tcW w:w="856" w:type="dxa"/>
            <w:tcBorders>
              <w:top w:val="single" w:color="auto" w:sz="8" w:space="0"/>
              <w:left w:val="nil"/>
              <w:bottom w:val="single" w:color="auto" w:sz="8" w:space="0"/>
              <w:right w:val="single" w:color="auto" w:sz="8" w:space="0"/>
            </w:tcBorders>
            <w:shd w:val="clear" w:color="auto" w:fill="auto"/>
            <w:noWrap/>
          </w:tcPr>
          <w:p>
            <w:pPr>
              <w:widowControl/>
              <w:jc w:val="center"/>
              <w:rPr>
                <w:rFonts w:ascii="Times New Roman" w:hAnsi="Times New Roman" w:eastAsia="宋体" w:cs="Times New Roman"/>
                <w:color w:val="000000"/>
                <w:kern w:val="0"/>
                <w:sz w:val="18"/>
                <w:szCs w:val="18"/>
              </w:rPr>
            </w:pPr>
          </w:p>
        </w:tc>
        <w:tc>
          <w:tcPr>
            <w:tcW w:w="1110" w:type="dxa"/>
            <w:tcBorders>
              <w:top w:val="single" w:color="auto" w:sz="8" w:space="0"/>
              <w:left w:val="nil"/>
              <w:bottom w:val="single" w:color="auto" w:sz="8" w:space="0"/>
              <w:right w:val="single" w:color="auto" w:sz="8" w:space="0"/>
            </w:tcBorders>
            <w:shd w:val="clear" w:color="auto" w:fill="auto"/>
            <w:noWrap/>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30239</w:t>
            </w:r>
          </w:p>
        </w:tc>
        <w:tc>
          <w:tcPr>
            <w:tcW w:w="2297" w:type="dxa"/>
            <w:tcBorders>
              <w:top w:val="single" w:color="auto" w:sz="8" w:space="0"/>
              <w:left w:val="nil"/>
              <w:bottom w:val="single" w:color="auto" w:sz="8" w:space="0"/>
              <w:right w:val="single" w:color="auto" w:sz="8" w:space="0"/>
            </w:tcBorders>
            <w:shd w:val="clear" w:color="auto" w:fill="auto"/>
            <w:noWrap/>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  其他交通费用</w:t>
            </w:r>
          </w:p>
        </w:tc>
        <w:tc>
          <w:tcPr>
            <w:tcW w:w="856" w:type="dxa"/>
            <w:tcBorders>
              <w:top w:val="single" w:color="auto" w:sz="8" w:space="0"/>
              <w:left w:val="nil"/>
              <w:bottom w:val="single" w:color="auto" w:sz="8" w:space="0"/>
              <w:right w:val="single" w:color="auto" w:sz="8" w:space="0"/>
            </w:tcBorders>
            <w:shd w:val="clear" w:color="auto" w:fill="auto"/>
            <w:noWrap/>
          </w:tcPr>
          <w:p>
            <w:pPr>
              <w:widowControl/>
              <w:jc w:val="center"/>
              <w:rPr>
                <w:rFonts w:ascii="Times New Roman" w:hAnsi="Times New Roman" w:eastAsia="宋体" w:cs="Times New Roman"/>
                <w:color w:val="000000"/>
                <w:kern w:val="0"/>
                <w:sz w:val="18"/>
                <w:szCs w:val="18"/>
              </w:rPr>
            </w:pPr>
          </w:p>
        </w:tc>
        <w:tc>
          <w:tcPr>
            <w:tcW w:w="1076" w:type="dxa"/>
            <w:tcBorders>
              <w:top w:val="single" w:color="auto" w:sz="8" w:space="0"/>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　</w:t>
            </w:r>
          </w:p>
        </w:tc>
        <w:tc>
          <w:tcPr>
            <w:tcW w:w="4394" w:type="dxa"/>
            <w:tcBorders>
              <w:top w:val="single" w:color="auto" w:sz="8" w:space="0"/>
              <w:left w:val="nil"/>
              <w:bottom w:val="single" w:color="auto" w:sz="8" w:space="0"/>
              <w:right w:val="single" w:color="auto" w:sz="8" w:space="0"/>
            </w:tcBorders>
            <w:shd w:val="clear" w:color="auto" w:fill="auto"/>
            <w:noWrap/>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w:t>
            </w:r>
          </w:p>
        </w:tc>
        <w:tc>
          <w:tcPr>
            <w:tcW w:w="856" w:type="dxa"/>
            <w:tcBorders>
              <w:top w:val="single" w:color="auto" w:sz="8" w:space="0"/>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　</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Times New Roman" w:hAnsi="Times New Roman" w:eastAsia="宋体" w:cs="Times New Roman"/>
                <w:color w:val="000000"/>
                <w:kern w:val="0"/>
                <w:sz w:val="18"/>
                <w:szCs w:val="18"/>
              </w:rPr>
            </w:pPr>
          </w:p>
        </w:tc>
        <w:tc>
          <w:tcPr>
            <w:tcW w:w="1110" w:type="dxa"/>
            <w:tcBorders>
              <w:top w:val="nil"/>
              <w:left w:val="nil"/>
              <w:bottom w:val="single" w:color="auto" w:sz="8" w:space="0"/>
              <w:right w:val="single" w:color="auto" w:sz="8" w:space="0"/>
            </w:tcBorders>
            <w:shd w:val="clear" w:color="auto" w:fill="auto"/>
            <w:noWrap/>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30240</w:t>
            </w:r>
          </w:p>
        </w:tc>
        <w:tc>
          <w:tcPr>
            <w:tcW w:w="2297" w:type="dxa"/>
            <w:tcBorders>
              <w:top w:val="nil"/>
              <w:left w:val="nil"/>
              <w:bottom w:val="single" w:color="auto" w:sz="8" w:space="0"/>
              <w:right w:val="single" w:color="auto" w:sz="8" w:space="0"/>
            </w:tcBorders>
            <w:shd w:val="clear" w:color="auto" w:fill="auto"/>
            <w:noWrap/>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  税金及附加费用</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Times New Roman" w:hAnsi="Times New Roman" w:eastAsia="宋体" w:cs="Times New Roman"/>
                <w:color w:val="000000"/>
                <w:kern w:val="0"/>
                <w:sz w:val="18"/>
                <w:szCs w:val="18"/>
              </w:rPr>
            </w:pP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　</w:t>
            </w:r>
          </w:p>
        </w:tc>
        <w:tc>
          <w:tcPr>
            <w:tcW w:w="4394" w:type="dxa"/>
            <w:tcBorders>
              <w:top w:val="nil"/>
              <w:left w:val="nil"/>
              <w:bottom w:val="single" w:color="auto" w:sz="8" w:space="0"/>
              <w:right w:val="single" w:color="auto" w:sz="8" w:space="0"/>
            </w:tcBorders>
            <w:shd w:val="clear" w:color="auto" w:fill="auto"/>
            <w:noWrap/>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1149" w:type="dxa"/>
            <w:tcBorders>
              <w:top w:val="nil"/>
              <w:left w:val="single" w:color="auto" w:sz="8" w:space="0"/>
              <w:bottom w:val="single" w:color="auto" w:sz="8" w:space="0"/>
              <w:right w:val="single" w:color="auto" w:sz="8" w:space="0"/>
            </w:tcBorders>
            <w:shd w:val="clear" w:color="auto" w:fill="auto"/>
            <w:noWrap/>
            <w:vAlign w:val="center"/>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w:t>
            </w:r>
          </w:p>
        </w:tc>
        <w:tc>
          <w:tcPr>
            <w:tcW w:w="330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　</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Times New Roman" w:hAnsi="Times New Roman" w:eastAsia="宋体" w:cs="Times New Roman"/>
                <w:color w:val="000000"/>
                <w:kern w:val="0"/>
                <w:sz w:val="18"/>
                <w:szCs w:val="18"/>
              </w:rPr>
            </w:pPr>
          </w:p>
        </w:tc>
        <w:tc>
          <w:tcPr>
            <w:tcW w:w="1110" w:type="dxa"/>
            <w:tcBorders>
              <w:top w:val="nil"/>
              <w:left w:val="nil"/>
              <w:bottom w:val="single" w:color="auto" w:sz="8" w:space="0"/>
              <w:right w:val="single" w:color="auto" w:sz="8" w:space="0"/>
            </w:tcBorders>
            <w:shd w:val="clear" w:color="auto" w:fill="auto"/>
            <w:noWrap/>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30299</w:t>
            </w:r>
          </w:p>
        </w:tc>
        <w:tc>
          <w:tcPr>
            <w:tcW w:w="2297" w:type="dxa"/>
            <w:tcBorders>
              <w:top w:val="nil"/>
              <w:left w:val="nil"/>
              <w:bottom w:val="single" w:color="auto" w:sz="8" w:space="0"/>
              <w:right w:val="single" w:color="auto" w:sz="8" w:space="0"/>
            </w:tcBorders>
            <w:shd w:val="clear" w:color="auto" w:fill="auto"/>
            <w:noWrap/>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  其他商品和服务支出</w:t>
            </w:r>
          </w:p>
        </w:tc>
        <w:tc>
          <w:tcPr>
            <w:tcW w:w="856" w:type="dxa"/>
            <w:tcBorders>
              <w:top w:val="nil"/>
              <w:left w:val="nil"/>
              <w:bottom w:val="single" w:color="auto" w:sz="8" w:space="0"/>
              <w:right w:val="single" w:color="auto" w:sz="8" w:space="0"/>
            </w:tcBorders>
            <w:shd w:val="clear" w:color="auto" w:fill="auto"/>
            <w:noWrap/>
          </w:tcPr>
          <w:p>
            <w:pPr>
              <w:widowControl/>
              <w:jc w:val="center"/>
              <w:rPr>
                <w:rFonts w:ascii="Times New Roman" w:hAnsi="Times New Roman" w:eastAsia="宋体" w:cs="Times New Roman"/>
                <w:color w:val="000000"/>
                <w:kern w:val="0"/>
                <w:sz w:val="18"/>
                <w:szCs w:val="18"/>
              </w:rPr>
            </w:pPr>
            <w:r>
              <w:rPr>
                <w:rFonts w:hint="eastAsia" w:ascii="Times New Roman" w:hAnsi="Times New Roman" w:eastAsia="宋体" w:cs="Times New Roman"/>
                <w:color w:val="000000"/>
                <w:kern w:val="0"/>
                <w:sz w:val="18"/>
                <w:szCs w:val="18"/>
              </w:rPr>
              <w:t>0.9</w:t>
            </w:r>
          </w:p>
        </w:tc>
        <w:tc>
          <w:tcPr>
            <w:tcW w:w="1076" w:type="dxa"/>
            <w:tcBorders>
              <w:top w:val="nil"/>
              <w:left w:val="nil"/>
              <w:bottom w:val="single" w:color="auto" w:sz="8" w:space="0"/>
              <w:right w:val="single" w:color="auto" w:sz="8" w:space="0"/>
            </w:tcBorders>
            <w:shd w:val="clear" w:color="auto" w:fill="auto"/>
            <w:noWrap/>
          </w:tcPr>
          <w:p>
            <w:pPr>
              <w:widowControl/>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　</w:t>
            </w:r>
          </w:p>
        </w:tc>
        <w:tc>
          <w:tcPr>
            <w:tcW w:w="4394" w:type="dxa"/>
            <w:tcBorders>
              <w:top w:val="nil"/>
              <w:left w:val="nil"/>
              <w:bottom w:val="single" w:color="auto" w:sz="8" w:space="0"/>
              <w:right w:val="single" w:color="auto" w:sz="8" w:space="0"/>
            </w:tcBorders>
            <w:shd w:val="clear" w:color="auto" w:fill="auto"/>
            <w:noWrap/>
          </w:tcPr>
          <w:p>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255" w:hRule="exact"/>
        </w:trPr>
        <w:tc>
          <w:tcPr>
            <w:tcW w:w="4455" w:type="dxa"/>
            <w:gridSpan w:val="2"/>
            <w:tcBorders>
              <w:top w:val="nil"/>
              <w:left w:val="single" w:color="auto" w:sz="8" w:space="0"/>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人员经费合计</w:t>
            </w:r>
          </w:p>
        </w:tc>
        <w:tc>
          <w:tcPr>
            <w:tcW w:w="856" w:type="dxa"/>
            <w:tcBorders>
              <w:top w:val="nil"/>
              <w:left w:val="nil"/>
              <w:bottom w:val="single" w:color="auto" w:sz="8" w:space="0"/>
              <w:right w:val="single" w:color="auto" w:sz="8" w:space="0"/>
            </w:tcBorders>
            <w:shd w:val="clear" w:color="auto" w:fill="auto"/>
            <w:noWrap/>
            <w:vAlign w:val="center"/>
          </w:tcPr>
          <w:p>
            <w:pPr>
              <w:widowControl/>
              <w:jc w:val="center"/>
              <w:rPr>
                <w:rFonts w:ascii="Times New Roman" w:hAnsi="Times New Roman" w:eastAsia="宋体" w:cs="Times New Roman"/>
                <w:color w:val="000000"/>
                <w:kern w:val="0"/>
                <w:sz w:val="18"/>
                <w:szCs w:val="18"/>
              </w:rPr>
            </w:pPr>
            <w:r>
              <w:rPr>
                <w:rFonts w:hint="eastAsia" w:ascii="Times New Roman" w:hAnsi="Times New Roman" w:eastAsia="宋体" w:cs="Times New Roman"/>
                <w:color w:val="000000"/>
                <w:kern w:val="0"/>
                <w:sz w:val="18"/>
                <w:szCs w:val="18"/>
              </w:rPr>
              <w:t>31.5</w:t>
            </w:r>
          </w:p>
        </w:tc>
        <w:tc>
          <w:tcPr>
            <w:tcW w:w="9733" w:type="dxa"/>
            <w:gridSpan w:val="5"/>
            <w:tcBorders>
              <w:top w:val="nil"/>
              <w:left w:val="nil"/>
              <w:bottom w:val="single" w:color="auto" w:sz="8" w:space="0"/>
              <w:right w:val="single" w:color="auto" w:sz="8" w:space="0"/>
            </w:tcBorders>
            <w:shd w:val="clear" w:color="auto" w:fill="auto"/>
            <w:noWrap/>
          </w:tcPr>
          <w:p>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公用经费合计</w:t>
            </w:r>
          </w:p>
        </w:tc>
        <w:tc>
          <w:tcPr>
            <w:tcW w:w="856" w:type="dxa"/>
            <w:tcBorders>
              <w:top w:val="nil"/>
              <w:left w:val="nil"/>
              <w:bottom w:val="single" w:color="auto" w:sz="8" w:space="0"/>
              <w:right w:val="single" w:color="auto" w:sz="8" w:space="0"/>
            </w:tcBorders>
            <w:shd w:val="clear" w:color="auto" w:fill="auto"/>
            <w:vAlign w:val="center"/>
          </w:tcPr>
          <w:p>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5.9</w:t>
            </w:r>
          </w:p>
        </w:tc>
      </w:tr>
    </w:tbl>
    <w:p>
      <w:pPr>
        <w:widowControl/>
        <w:jc w:val="left"/>
        <w:rPr>
          <w:rFonts w:ascii="黑体" w:hAnsi="黑体" w:eastAsia="黑体"/>
          <w:szCs w:val="21"/>
        </w:rPr>
      </w:pPr>
      <w:r>
        <w:rPr>
          <w:rFonts w:hint="eastAsia" w:ascii="黑体" w:hAnsi="黑体" w:eastAsia="黑体"/>
          <w:szCs w:val="21"/>
        </w:rPr>
        <w:t>注：本表反映部门年度一般公共预算财政拨款基本支出明细情况。</w:t>
      </w:r>
      <w:r>
        <w:rPr>
          <w:rFonts w:ascii="黑体" w:hAnsi="黑体" w:eastAsia="黑体"/>
          <w:szCs w:val="21"/>
        </w:rPr>
        <w:br w:type="page"/>
      </w:r>
    </w:p>
    <w:p>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溆浦县工业集中区管理委员会</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0</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0</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0</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0</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0</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0</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0</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0</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0</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0</w:t>
            </w:r>
          </w:p>
        </w:tc>
        <w:tc>
          <w:tcPr>
            <w:tcW w:w="1220" w:type="dxa"/>
            <w:tcBorders>
              <w:top w:val="nil"/>
              <w:left w:val="nil"/>
              <w:bottom w:val="single" w:color="auto" w:sz="8" w:space="0"/>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0</w:t>
            </w:r>
          </w:p>
        </w:tc>
        <w:tc>
          <w:tcPr>
            <w:tcW w:w="1220" w:type="dxa"/>
            <w:tcBorders>
              <w:top w:val="nil"/>
              <w:left w:val="single" w:color="auto" w:sz="4" w:space="0"/>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0</w:t>
            </w:r>
          </w:p>
        </w:tc>
      </w:tr>
    </w:tbl>
    <w:p>
      <w:pPr>
        <w:autoSpaceDE w:val="0"/>
        <w:autoSpaceDN w:val="0"/>
        <w:adjustRightInd w:val="0"/>
        <w:ind w:left="315" w:leftChars="150"/>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p>
    <w:p>
      <w:pPr>
        <w:widowControl/>
        <w:jc w:val="left"/>
        <w:rPr>
          <w:rFonts w:ascii="宋体" w:eastAsia="宋体" w:cs="宋体"/>
          <w:kern w:val="0"/>
          <w:sz w:val="24"/>
          <w:szCs w:val="24"/>
        </w:rPr>
      </w:pPr>
      <w:r>
        <w:rPr>
          <w:rFonts w:ascii="宋体" w:eastAsia="宋体" w:cs="宋体"/>
          <w:kern w:val="0"/>
          <w:sz w:val="24"/>
          <w:szCs w:val="24"/>
        </w:rPr>
        <w:br w:type="page"/>
      </w:r>
    </w:p>
    <w:p>
      <w:pPr>
        <w:autoSpaceDE w:val="0"/>
        <w:autoSpaceDN w:val="0"/>
        <w:adjustRightInd w:val="0"/>
        <w:ind w:left="315" w:leftChars="150"/>
        <w:jc w:val="left"/>
        <w:rPr>
          <w:rFonts w:ascii="宋体" w:eastAsia="宋体" w:cs="宋体"/>
          <w:kern w:val="0"/>
          <w:sz w:val="24"/>
          <w:szCs w:val="24"/>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政府性基金预算财政拨款收入支出决算表</w:t>
      </w:r>
    </w:p>
    <w:p>
      <w:pPr>
        <w:widowControl/>
        <w:wordWrap w:val="0"/>
        <w:ind w:firstLine="630" w:firstLineChars="30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rPr>
        <w:t>溆浦县工业集中区管理委员会</w:t>
      </w:r>
      <w:r>
        <w:rPr>
          <w:rFonts w:ascii="Times New Roman" w:hAnsi="Times New Roman" w:eastAsia="仿宋_GB2312" w:cs="Times New Roman"/>
          <w:color w:val="000000"/>
          <w:kern w:val="0"/>
          <w:szCs w:val="21"/>
        </w:rPr>
        <w:t xml:space="preserve"> 公开08表</w:t>
      </w:r>
    </w:p>
    <w:p>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20"/>
        <w:gridCol w:w="1320"/>
        <w:gridCol w:w="2000"/>
        <w:gridCol w:w="2000"/>
        <w:gridCol w:w="2000"/>
        <w:gridCol w:w="2000"/>
        <w:gridCol w:w="2000"/>
        <w:gridCol w:w="200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6000" w:type="dxa"/>
            <w:gridSpan w:val="3"/>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32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000" w:type="dxa"/>
            <w:vMerge w:val="continue"/>
            <w:vAlign w:val="center"/>
          </w:tcPr>
          <w:p>
            <w:pPr>
              <w:widowControl/>
              <w:jc w:val="left"/>
              <w:rPr>
                <w:rFonts w:ascii="Times New Roman" w:hAnsi="Times New Roman" w:eastAsia="仿宋_GB2312" w:cs="Times New Roman"/>
                <w:b/>
                <w:kern w:val="0"/>
                <w:szCs w:val="21"/>
              </w:rPr>
            </w:pPr>
          </w:p>
        </w:tc>
        <w:tc>
          <w:tcPr>
            <w:tcW w:w="2000" w:type="dxa"/>
            <w:vMerge w:val="continue"/>
            <w:vAlign w:val="center"/>
          </w:tcPr>
          <w:p>
            <w:pPr>
              <w:widowControl/>
              <w:jc w:val="left"/>
              <w:rPr>
                <w:rFonts w:ascii="Times New Roman" w:hAnsi="Times New Roman" w:eastAsia="仿宋_GB2312" w:cs="Times New Roman"/>
                <w:b/>
                <w:kern w:val="0"/>
                <w:szCs w:val="21"/>
              </w:rPr>
            </w:pP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2000" w:type="dxa"/>
            <w:vMerge w:val="continue"/>
            <w:vAlign w:val="center"/>
          </w:tcPr>
          <w:p>
            <w:pPr>
              <w:widowControl/>
              <w:jc w:val="left"/>
              <w:rPr>
                <w:rFonts w:ascii="Times New Roman" w:hAnsi="Times New Roman" w:eastAsia="仿宋_GB2312" w:cs="Times New Roman"/>
                <w:b/>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pPr>
              <w:widowControl/>
              <w:jc w:val="left"/>
              <w:rPr>
                <w:rFonts w:ascii="Times New Roman" w:hAnsi="Times New Roman" w:eastAsia="仿宋_GB2312" w:cs="Times New Roman"/>
                <w:kern w:val="0"/>
                <w:szCs w:val="21"/>
              </w:rPr>
            </w:pPr>
          </w:p>
        </w:tc>
        <w:tc>
          <w:tcPr>
            <w:tcW w:w="132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pPr>
              <w:widowControl/>
              <w:jc w:val="left"/>
              <w:rPr>
                <w:rFonts w:ascii="Times New Roman" w:hAnsi="Times New Roman" w:eastAsia="仿宋_GB2312" w:cs="Times New Roman"/>
                <w:kern w:val="0"/>
                <w:szCs w:val="21"/>
              </w:rPr>
            </w:pPr>
          </w:p>
        </w:tc>
        <w:tc>
          <w:tcPr>
            <w:tcW w:w="132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1700</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1700</w:t>
            </w:r>
          </w:p>
        </w:tc>
        <w:tc>
          <w:tcPr>
            <w:tcW w:w="2000" w:type="dxa"/>
            <w:shd w:val="clear" w:color="auto" w:fill="auto"/>
            <w:vAlign w:val="center"/>
          </w:tcPr>
          <w:p>
            <w:pPr>
              <w:widowControl/>
              <w:jc w:val="center"/>
              <w:rPr>
                <w:rFonts w:ascii="Times New Roman" w:hAnsi="Times New Roman" w:eastAsia="仿宋_GB2312" w:cs="Times New Roman"/>
                <w:kern w:val="0"/>
                <w:szCs w:val="21"/>
              </w:rPr>
            </w:pP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1700</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229</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其他支出</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1700</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1700</w:t>
            </w:r>
          </w:p>
        </w:tc>
        <w:tc>
          <w:tcPr>
            <w:tcW w:w="2000" w:type="dxa"/>
            <w:shd w:val="clear" w:color="auto" w:fill="auto"/>
            <w:vAlign w:val="center"/>
          </w:tcPr>
          <w:p>
            <w:pPr>
              <w:widowControl/>
              <w:jc w:val="center"/>
              <w:rPr>
                <w:rFonts w:ascii="Times New Roman" w:hAnsi="Times New Roman" w:eastAsia="仿宋_GB2312" w:cs="Times New Roman"/>
                <w:kern w:val="0"/>
                <w:szCs w:val="21"/>
              </w:rPr>
            </w:pP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1700</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22904</w:t>
            </w:r>
            <w:r>
              <w:rPr>
                <w:rFonts w:ascii="Times New Roman" w:hAnsi="Times New Roman" w:eastAsia="仿宋_GB2312" w:cs="Times New Roman"/>
                <w:kern w:val="0"/>
                <w:szCs w:val="21"/>
              </w:rPr>
              <w:t>　</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其他政府性基金及对应专项债务收入安排的支出</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1300</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1300</w:t>
            </w:r>
          </w:p>
        </w:tc>
        <w:tc>
          <w:tcPr>
            <w:tcW w:w="2000" w:type="dxa"/>
            <w:shd w:val="clear" w:color="auto" w:fill="auto"/>
            <w:vAlign w:val="center"/>
          </w:tcPr>
          <w:p>
            <w:pPr>
              <w:widowControl/>
              <w:jc w:val="center"/>
              <w:rPr>
                <w:rFonts w:ascii="Times New Roman" w:hAnsi="Times New Roman" w:eastAsia="仿宋_GB2312" w:cs="Times New Roman"/>
                <w:kern w:val="0"/>
                <w:szCs w:val="21"/>
              </w:rPr>
            </w:pP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1300</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2290402</w:t>
            </w:r>
            <w:r>
              <w:rPr>
                <w:rFonts w:ascii="Times New Roman" w:hAnsi="Times New Roman" w:eastAsia="仿宋_GB2312" w:cs="Times New Roman"/>
                <w:kern w:val="0"/>
                <w:szCs w:val="21"/>
              </w:rPr>
              <w:t>　</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其他地方自行试点项目收益专项债券收入安排的支出</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1300</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1300</w:t>
            </w:r>
          </w:p>
        </w:tc>
        <w:tc>
          <w:tcPr>
            <w:tcW w:w="2000" w:type="dxa"/>
            <w:shd w:val="clear" w:color="auto" w:fill="auto"/>
            <w:vAlign w:val="center"/>
          </w:tcPr>
          <w:p>
            <w:pPr>
              <w:widowControl/>
              <w:jc w:val="center"/>
              <w:rPr>
                <w:rFonts w:ascii="Times New Roman" w:hAnsi="Times New Roman" w:eastAsia="仿宋_GB2312" w:cs="Times New Roman"/>
                <w:kern w:val="0"/>
                <w:szCs w:val="21"/>
              </w:rPr>
            </w:pP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1300</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22960</w:t>
            </w:r>
            <w:r>
              <w:rPr>
                <w:rFonts w:ascii="Times New Roman" w:hAnsi="Times New Roman" w:eastAsia="仿宋_GB2312" w:cs="Times New Roman"/>
                <w:kern w:val="0"/>
                <w:szCs w:val="21"/>
              </w:rPr>
              <w:t>　</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彩排公益金安排的支出</w:t>
            </w: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400</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400</w:t>
            </w:r>
          </w:p>
        </w:tc>
        <w:tc>
          <w:tcPr>
            <w:tcW w:w="2000" w:type="dxa"/>
            <w:shd w:val="clear" w:color="auto" w:fill="auto"/>
            <w:vAlign w:val="center"/>
          </w:tcPr>
          <w:p>
            <w:pPr>
              <w:widowControl/>
              <w:jc w:val="center"/>
              <w:rPr>
                <w:rFonts w:ascii="Times New Roman" w:hAnsi="Times New Roman" w:eastAsia="仿宋_GB2312" w:cs="Times New Roman"/>
                <w:kern w:val="0"/>
                <w:szCs w:val="21"/>
              </w:rPr>
            </w:pP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400</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2296002</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用于社会福利的彩票公益金支出</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400</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400</w:t>
            </w:r>
          </w:p>
        </w:tc>
        <w:tc>
          <w:tcPr>
            <w:tcW w:w="2000" w:type="dxa"/>
            <w:shd w:val="clear" w:color="auto" w:fill="auto"/>
            <w:vAlign w:val="center"/>
          </w:tcPr>
          <w:p>
            <w:pPr>
              <w:widowControl/>
              <w:jc w:val="center"/>
              <w:rPr>
                <w:rFonts w:ascii="Times New Roman" w:hAnsi="Times New Roman" w:eastAsia="仿宋_GB2312" w:cs="Times New Roman"/>
                <w:kern w:val="0"/>
                <w:szCs w:val="21"/>
              </w:rPr>
            </w:pP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400</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(若本单位无政府性基金收支</w:t>
      </w:r>
      <w:r>
        <w:rPr>
          <w:rFonts w:hint="eastAsia" w:ascii="Times New Roman" w:hAnsi="Times New Roman" w:eastAsia="仿宋_GB2312" w:cs="Times New Roman"/>
          <w:kern w:val="0"/>
          <w:szCs w:val="21"/>
        </w:rPr>
        <w:t>,请说明：XX单位没有政府性基金收入，也没有使用政府性基金安排的支出，故本表无数据</w:t>
      </w:r>
      <w:r>
        <w:rPr>
          <w:rFonts w:ascii="Times New Roman" w:hAnsi="Times New Roman" w:eastAsia="仿宋_GB2312" w:cs="Times New Roman"/>
          <w:kern w:val="0"/>
          <w:szCs w:val="21"/>
        </w:rPr>
        <w:t>)。</w:t>
      </w:r>
    </w:p>
    <w:p>
      <w:pPr>
        <w:widowControl/>
        <w:jc w:val="left"/>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0"/>
        <w:rPr>
          <w:sz w:val="72"/>
          <w:szCs w:val="72"/>
        </w:rPr>
      </w:pPr>
    </w:p>
    <w:p>
      <w:pPr>
        <w:pStyle w:val="10"/>
        <w:rPr>
          <w:sz w:val="72"/>
          <w:szCs w:val="72"/>
        </w:rPr>
      </w:pPr>
    </w:p>
    <w:p>
      <w:pPr>
        <w:pStyle w:val="10"/>
        <w:rPr>
          <w:sz w:val="72"/>
          <w:szCs w:val="72"/>
        </w:rPr>
      </w:pPr>
    </w:p>
    <w:p>
      <w:pPr>
        <w:pStyle w:val="10"/>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r>
        <w:rPr>
          <w:rFonts w:hint="eastAsia"/>
          <w:sz w:val="72"/>
          <w:szCs w:val="72"/>
        </w:rPr>
        <w:t>第三部分</w:t>
      </w:r>
    </w:p>
    <w:p>
      <w:pPr>
        <w:pStyle w:val="10"/>
        <w:jc w:val="center"/>
        <w:rPr>
          <w:sz w:val="70"/>
          <w:szCs w:val="70"/>
        </w:rPr>
      </w:pPr>
    </w:p>
    <w:p>
      <w:pPr>
        <w:pStyle w:val="10"/>
        <w:jc w:val="center"/>
        <w:rPr>
          <w:sz w:val="70"/>
          <w:szCs w:val="70"/>
        </w:rPr>
      </w:pPr>
      <w:r>
        <w:rPr>
          <w:sz w:val="70"/>
          <w:szCs w:val="70"/>
        </w:rPr>
        <w:t>2019</w:t>
      </w:r>
      <w:r>
        <w:rPr>
          <w:rFonts w:hint="eastAsia"/>
          <w:sz w:val="70"/>
          <w:szCs w:val="70"/>
        </w:rPr>
        <w:t>年度部门决算情况说明</w:t>
      </w:r>
    </w:p>
    <w:p>
      <w:pPr>
        <w:widowControl/>
        <w:jc w:val="left"/>
        <w:rPr>
          <w:rFonts w:ascii="黑体" w:eastAsia="黑体" w:cs="黑体"/>
          <w:color w:val="000000"/>
          <w:kern w:val="0"/>
          <w:sz w:val="70"/>
          <w:szCs w:val="70"/>
        </w:rPr>
      </w:pPr>
      <w:r>
        <w:rPr>
          <w:sz w:val="70"/>
          <w:szCs w:val="70"/>
        </w:rPr>
        <w:br w:type="page"/>
      </w:r>
    </w:p>
    <w:p>
      <w:pPr>
        <w:pStyle w:val="10"/>
        <w:rPr>
          <w:rFonts w:asciiTheme="minorEastAsia" w:hAnsiTheme="minorEastAsia" w:eastAsiaTheme="minorEastAsia"/>
          <w:sz w:val="32"/>
          <w:szCs w:val="32"/>
        </w:rPr>
      </w:pPr>
    </w:p>
    <w:p>
      <w:pPr>
        <w:pStyle w:val="10"/>
        <w:rPr>
          <w:rFonts w:hAnsi="黑体"/>
          <w:b/>
          <w:sz w:val="32"/>
          <w:szCs w:val="32"/>
        </w:rPr>
      </w:pPr>
      <w:r>
        <w:rPr>
          <w:rFonts w:hint="eastAsia" w:hAnsi="黑体"/>
          <w:b/>
          <w:sz w:val="32"/>
          <w:szCs w:val="32"/>
        </w:rPr>
        <w:t>一、收入支出决算总体情况说明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2019 年度收、支总计</w:t>
      </w:r>
      <w:r>
        <w:rPr>
          <w:rFonts w:hint="eastAsia" w:asciiTheme="minorEastAsia" w:hAnsiTheme="minorEastAsia"/>
          <w:sz w:val="32"/>
          <w:szCs w:val="32"/>
        </w:rPr>
        <w:t>7843.9</w:t>
      </w:r>
      <w:r>
        <w:rPr>
          <w:rFonts w:hint="eastAsia" w:asciiTheme="minorEastAsia" w:hAnsiTheme="minorEastAsia" w:eastAsiaTheme="minorEastAsia"/>
          <w:sz w:val="32"/>
          <w:szCs w:val="32"/>
        </w:rPr>
        <w:t>万元。与2018年相比，</w:t>
      </w:r>
      <w:r>
        <w:rPr>
          <w:rFonts w:hint="eastAsia" w:asciiTheme="minorEastAsia" w:hAnsiTheme="minorEastAsia"/>
          <w:sz w:val="32"/>
          <w:szCs w:val="32"/>
        </w:rPr>
        <w:t>减少2205.3</w:t>
      </w:r>
      <w:r>
        <w:rPr>
          <w:rFonts w:hint="eastAsia" w:asciiTheme="minorEastAsia" w:hAnsiTheme="minorEastAsia" w:eastAsiaTheme="minorEastAsia"/>
          <w:sz w:val="32"/>
          <w:szCs w:val="32"/>
        </w:rPr>
        <w:t>万元，</w:t>
      </w:r>
      <w:r>
        <w:rPr>
          <w:rFonts w:hint="eastAsia" w:asciiTheme="minorEastAsia" w:hAnsiTheme="minorEastAsia"/>
          <w:sz w:val="32"/>
          <w:szCs w:val="32"/>
        </w:rPr>
        <w:t>减少21.94</w:t>
      </w:r>
      <w:r>
        <w:rPr>
          <w:rFonts w:hint="eastAsia" w:asciiTheme="minorEastAsia" w:hAnsiTheme="minorEastAsia" w:eastAsiaTheme="minorEastAsia"/>
          <w:sz w:val="32"/>
          <w:szCs w:val="32"/>
        </w:rPr>
        <w:t>%。主要原因是：贯彻“过紧日子”的号召，压缩一般性支出。</w:t>
      </w:r>
    </w:p>
    <w:p>
      <w:pPr>
        <w:pStyle w:val="10"/>
        <w:rPr>
          <w:rFonts w:hAnsi="黑体"/>
          <w:b/>
          <w:sz w:val="32"/>
          <w:szCs w:val="32"/>
        </w:rPr>
      </w:pPr>
      <w:r>
        <w:rPr>
          <w:rFonts w:hint="eastAsia" w:hAnsi="黑体"/>
          <w:b/>
          <w:sz w:val="32"/>
          <w:szCs w:val="32"/>
        </w:rPr>
        <w:t>二、收入决算情况说明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本年收入合计7843.9万元，其中：财政拨款收入7843.9万元，占100%。上级补助收入0万元，占0%；事业收入0万元，占0%；经营收入0万元，占0%；附属单位上缴收入0万元，占0%；其他收入0万元，占0%。</w:t>
      </w:r>
    </w:p>
    <w:p>
      <w:pPr>
        <w:pStyle w:val="10"/>
        <w:rPr>
          <w:rFonts w:hAnsi="黑体"/>
          <w:b/>
          <w:sz w:val="32"/>
          <w:szCs w:val="32"/>
        </w:rPr>
      </w:pPr>
      <w:r>
        <w:rPr>
          <w:rFonts w:hint="eastAsia" w:hAnsi="黑体"/>
          <w:b/>
          <w:sz w:val="32"/>
          <w:szCs w:val="32"/>
        </w:rPr>
        <w:t>三、支出决算情况说明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本年支出合计7843.9万元，其中：基本支出37.5万元，占0.47%；项目支出7806.4万元，占99.5%;上缴上级支出0万元，占0%；经营支出0万元，占0%；对附属单位补助支出0万元，占0%。</w:t>
      </w:r>
    </w:p>
    <w:p>
      <w:pPr>
        <w:pStyle w:val="10"/>
        <w:ind w:firstLine="640" w:firstLineChars="200"/>
        <w:rPr>
          <w:rFonts w:asciiTheme="minorEastAsia" w:hAnsiTheme="minorEastAsia" w:eastAsiaTheme="minorEastAsia"/>
          <w:sz w:val="32"/>
          <w:szCs w:val="32"/>
        </w:rPr>
      </w:pPr>
    </w:p>
    <w:p>
      <w:pPr>
        <w:pStyle w:val="10"/>
        <w:rPr>
          <w:rFonts w:hAnsi="黑体"/>
          <w:b/>
          <w:sz w:val="32"/>
          <w:szCs w:val="32"/>
        </w:rPr>
      </w:pPr>
      <w:r>
        <w:rPr>
          <w:rFonts w:hint="eastAsia" w:hAnsi="黑体"/>
          <w:b/>
          <w:sz w:val="32"/>
          <w:szCs w:val="32"/>
        </w:rPr>
        <w:t>四、财政拨款收入支出决算总体情况说明</w:t>
      </w:r>
    </w:p>
    <w:p>
      <w:pPr>
        <w:pStyle w:val="10"/>
        <w:ind w:firstLine="960" w:firstLineChars="300"/>
        <w:rPr>
          <w:rFonts w:asciiTheme="minorEastAsia" w:hAnsiTheme="minorEastAsia" w:eastAsiaTheme="minorEastAsia"/>
          <w:sz w:val="32"/>
          <w:szCs w:val="32"/>
        </w:rPr>
      </w:pPr>
      <w:r>
        <w:rPr>
          <w:rFonts w:hint="eastAsia" w:asciiTheme="minorEastAsia" w:hAnsiTheme="minorEastAsia" w:eastAsiaTheme="minorEastAsia"/>
          <w:sz w:val="32"/>
          <w:szCs w:val="32"/>
        </w:rPr>
        <w:t>2019年度财政拨款收、支总计7843.9万元。与2018年相比，减少2205.3万元，减幅</w:t>
      </w:r>
      <w:r>
        <w:rPr>
          <w:rFonts w:hint="eastAsia" w:asciiTheme="minorEastAsia" w:hAnsiTheme="minorEastAsia"/>
          <w:sz w:val="32"/>
          <w:szCs w:val="32"/>
        </w:rPr>
        <w:t>21.94</w:t>
      </w:r>
      <w:r>
        <w:rPr>
          <w:rFonts w:hint="eastAsia" w:asciiTheme="minorEastAsia" w:hAnsiTheme="minorEastAsia" w:eastAsiaTheme="minorEastAsia"/>
          <w:sz w:val="32"/>
          <w:szCs w:val="32"/>
        </w:rPr>
        <w:t>%。主要因为这是贯彻“过紧日子”的号召，压缩一般性支出。</w:t>
      </w:r>
    </w:p>
    <w:p>
      <w:pPr>
        <w:pStyle w:val="10"/>
        <w:rPr>
          <w:rFonts w:hAnsi="黑体"/>
          <w:b/>
          <w:sz w:val="32"/>
          <w:szCs w:val="32"/>
        </w:rPr>
      </w:pPr>
      <w:r>
        <w:rPr>
          <w:rFonts w:hint="eastAsia" w:hAnsi="黑体"/>
          <w:b/>
          <w:sz w:val="32"/>
          <w:szCs w:val="32"/>
        </w:rPr>
        <w:t>五、一般公共预算财政拨款支出决算情况说明</w:t>
      </w:r>
    </w:p>
    <w:p>
      <w:pPr>
        <w:pStyle w:val="10"/>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pPr>
        <w:pStyle w:val="10"/>
        <w:ind w:firstLine="960" w:firstLineChars="300"/>
        <w:rPr>
          <w:rFonts w:asciiTheme="minorEastAsia" w:hAnsiTheme="minorEastAsia" w:eastAsiaTheme="minorEastAsia"/>
          <w:sz w:val="32"/>
          <w:szCs w:val="32"/>
        </w:rPr>
      </w:pPr>
      <w:r>
        <w:rPr>
          <w:rFonts w:hint="eastAsia" w:asciiTheme="minorEastAsia" w:hAnsiTheme="minorEastAsia" w:eastAsiaTheme="minorEastAsia"/>
          <w:sz w:val="32"/>
          <w:szCs w:val="32"/>
        </w:rPr>
        <w:t>2019年度财政拨款支出7843.9元，占本年支出合计的100%，与2018年相比，财政拨款支出减少2205.3万元，减幅21.94%。主要是因为贯彻落实中央八项规定，大力压缩一般性开支，厉行节约，各项支出都比上年有了较大幅度的减少。</w:t>
      </w:r>
    </w:p>
    <w:p>
      <w:pPr>
        <w:pStyle w:val="10"/>
        <w:ind w:firstLine="480" w:firstLineChars="15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pPr>
        <w:pStyle w:val="10"/>
        <w:ind w:firstLine="960" w:firstLineChars="300"/>
        <w:rPr>
          <w:rFonts w:asciiTheme="minorEastAsia" w:hAnsiTheme="minorEastAsia" w:eastAsiaTheme="minorEastAsia"/>
          <w:sz w:val="32"/>
          <w:szCs w:val="32"/>
        </w:rPr>
      </w:pPr>
      <w:r>
        <w:rPr>
          <w:rFonts w:hint="eastAsia" w:asciiTheme="minorEastAsia" w:hAnsiTheme="minorEastAsia" w:eastAsiaTheme="minorEastAsia"/>
          <w:sz w:val="32"/>
          <w:szCs w:val="32"/>
        </w:rPr>
        <w:t>2019年度财政拨款支出7843.9万元，主要用于以下方面：科学技术支出2451万元，占31.25%；文化旅游体育与传媒支出14.7万元，占0.19%；节能环保支出502万元，占6.4%；城乡社区支出2533.1万元，占32.3%；农林水支出574.1万元，占7.32%；资源勘探信息等支出41.1万元，占0.52%；商业服务业等支出27.8万元，占0.35%；其他支出1700万元，占21.67%。</w:t>
      </w:r>
    </w:p>
    <w:p>
      <w:pPr>
        <w:pStyle w:val="10"/>
        <w:ind w:firstLine="800" w:firstLineChars="25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2019年度财政拨款支出年初预算数为7843.9万元，支出决算数为7843.9万元，完成年初预算的100%，其中：</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1、科学技术支出（类）其他科学技术支出（款）其他科学技术支出（项）。</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年初预算为2451万元，支出决算为2451万元，完成年初预算的100%，决算数等于年初预算数。</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2、文化旅游体育与传媒支出（类）文化和旅游（款）其他文化和旅游支出（项）。</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年初预算为14.7万元，支出决算为14.7万元，完成年初预算的100%，决算数等于年初预算数。</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3、节能环保支出（类）环境保护管理事务（款）其他环境保护管理事务支出（项）。</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年初预算为12万元，支出决算为12万元，完成年初预算的100%，决算数等于年初预算数。</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4、节能环保支出（类）污染防治（款）水体（项）。</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年初预算为490万元，支出决算为490万元，完成年初预算的100%，决算数等于年初预算数。</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5、城乡社区支出（类）城乡社区公共设施（款）小城镇基础设施建设（项）。</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年初预算为2533.1万元，支出决算为2533.1万元，完成年初预算的100%，决算数等于年初预算数。</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6、农林水支出（类）扶贫（款）行政运行（项）。</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年初预算为2万元，支出决算为2万元，完成年初预算的100%，决算数等于年初预算数。</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7、农林水支出（类）扶贫（款）生产发展（项）。</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年初预算为530万元，支出决算为530万元，完成年初预算的100%，决算数等于年初预算数。</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8、农林水支出（类）扶贫（款）其他扶贫支出（项）。</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年初预算为42.1万元，支出决算为42.1万元，完成年初预算的100%，决算数等于年初预算数。</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9、资源勘探信息等支出（类）工业和信息产业监管（款）行政运行（项）。</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年初预算为8万元，支出决算为8万元，完成年初预算的100%，决算数等于年初预算数。</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10、资源勘探信息等支出（类）工业和信息产业监管（款）一般行政管理事务（项）。</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年初预算为0.1万元，支出决算为0.1万元，完成年初预算的100%，决算数等于年初预算数。</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11、资源勘探信息等支出（类）工业和信息产业监管（款）其他按工业和信息产业监管支出（项）。</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年初预算为2万元，支出决算为2万元，完成年初预算的100%，决算数等于年初预算数。</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12、资源勘探信息等支出（类）支出中小企业发展和管理支出（款）其他安指出中小企业发展和管理支出（项）。</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年初预算为31万元，支出决算为31万元，完成年初预算的100%，决算数等于年初预算数。</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13、商业服务业等支出（类）商业流通事务（款）其他商业流通事务支出（项）。</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年初预算为20万元，支出决算为20万元，完成年初预算的100%，决算数等于年初预算数。</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14、商业服务业等支出（类）涉外发展服务支出（款）其他涉外发展服务支出（项）。</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年初预算为7.8万元，支出决算为7.8万元，完成年初预算的100%，决算数等于年初预算数。</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15、其他支出（类）其他政府性基金及对应专项债务收入安排的支出（款）其他地方自行试点项目收益专项债券收入安排的支出（项）。</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年初预算为1300万元，支出决算为1300万元，完成年初预算的100%，决算数等于年初预算数。</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16、其他支出（类）彩票公益金安排的支出（款）用于社会福利的彩票公益金支出（项）。</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年初预算为400万元，支出决算为400万元，完成年初预算的100%，决算数等于年初预算数。</w:t>
      </w:r>
    </w:p>
    <w:p>
      <w:pPr>
        <w:pStyle w:val="10"/>
        <w:ind w:firstLine="800" w:firstLineChars="250"/>
        <w:rPr>
          <w:rFonts w:asciiTheme="minorEastAsia" w:hAnsiTheme="minorEastAsia" w:eastAsiaTheme="minorEastAsia"/>
          <w:sz w:val="32"/>
          <w:szCs w:val="32"/>
        </w:rPr>
      </w:pPr>
    </w:p>
    <w:p>
      <w:pPr>
        <w:pStyle w:val="10"/>
        <w:rPr>
          <w:rFonts w:hAnsi="黑体"/>
          <w:b/>
          <w:sz w:val="32"/>
          <w:szCs w:val="32"/>
        </w:rPr>
      </w:pPr>
      <w:r>
        <w:rPr>
          <w:rFonts w:hint="eastAsia" w:hAnsi="黑体"/>
          <w:b/>
          <w:sz w:val="32"/>
          <w:szCs w:val="32"/>
        </w:rPr>
        <w:t>六、一般公共预算财政拨款基本支出决算情况说明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2019年度财政拨款基本支出37.5万元，其中：人员经费31.55万元，占基本支出的84.3%,主要包括津贴补贴0.32万元、奖金28万元、其他社会保障缴费0.85万元、生活补助2.37万元；公用经费5.9万元，占基本支出的15.7%，主要包括办公费0.68万元、差旅费2.08万元、培训费0.15万元、公务接待费1.98万元、福利费0.1万元、其他商品服务支出0.91万元。</w:t>
      </w:r>
    </w:p>
    <w:p>
      <w:pPr>
        <w:pStyle w:val="10"/>
        <w:rPr>
          <w:rFonts w:hAnsi="黑体"/>
          <w:b/>
          <w:sz w:val="32"/>
          <w:szCs w:val="32"/>
        </w:rPr>
      </w:pPr>
      <w:r>
        <w:rPr>
          <w:rFonts w:hint="eastAsia" w:hAnsi="黑体"/>
          <w:b/>
          <w:sz w:val="32"/>
          <w:szCs w:val="32"/>
        </w:rPr>
        <w:t>七、一般公共预算财政拨款三公经费支出决算情况说明</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b/>
          <w:sz w:val="32"/>
          <w:szCs w:val="32"/>
        </w:rPr>
        <w:t>（一）“三公”经费财政拨款支出决算总体情况说明</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“三公”经费财政拨款支出预算为0万元，支出决算为0万元，完成预算的0%,其中：</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因公出国（境）费支出预算为0万元，支出决算为0万元，完成预算的0%。</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公务接待费支出预算为0万元，支出决算为0万元，成预算的0%,主要原因是压缩开支、厉行节约，与上年相比持平。</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公务用车购置费及运行维护费支出预算为0万元，支出决算为0万元，完成预算的0%。</w:t>
      </w:r>
    </w:p>
    <w:p>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2019年度“三公”经费财政拨款支出决算中，公务接待费支出决算0万元，占0%,因公出国（境）费支出决算0万元，占0%,公务用车购置费及运行维护费支出决算0万元，占0%。其中：</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1、因公出国（境）费支出决算为0万元，全年安排因公出国（境）团组0个，累计0人次。</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2、公务接待费支出决算为0万元，全年共接待来访团组0个、来宾0人次0。</w:t>
      </w:r>
    </w:p>
    <w:p>
      <w:pPr>
        <w:ind w:firstLine="800" w:firstLineChars="250"/>
        <w:rPr>
          <w:rFonts w:cs="黑体" w:asciiTheme="minorEastAsia" w:hAnsiTheme="minorEastAsia"/>
          <w:color w:val="000000"/>
          <w:kern w:val="0"/>
          <w:sz w:val="32"/>
          <w:szCs w:val="32"/>
        </w:rPr>
      </w:pPr>
      <w:r>
        <w:rPr>
          <w:rFonts w:hint="eastAsia" w:asciiTheme="minorEastAsia" w:hAnsiTheme="minorEastAsia"/>
          <w:sz w:val="32"/>
          <w:szCs w:val="32"/>
        </w:rPr>
        <w:t>3、公务用车购置费及运行维护费支出决算为0万元,其中：公务用车购置费 0万元,更新公务用车0辆。公务用车运行维护费0万元，截止2019年12月31日，我单位开支财政拨款的公务用车保有量为0辆。</w:t>
      </w:r>
    </w:p>
    <w:p>
      <w:pPr>
        <w:pStyle w:val="10"/>
        <w:rPr>
          <w:rFonts w:hAnsi="黑体"/>
          <w:b/>
          <w:sz w:val="32"/>
          <w:szCs w:val="32"/>
        </w:rPr>
      </w:pPr>
      <w:r>
        <w:rPr>
          <w:rFonts w:hint="eastAsia" w:hAnsi="黑体"/>
          <w:b/>
          <w:sz w:val="32"/>
          <w:szCs w:val="32"/>
        </w:rPr>
        <w:t>八、政府性基金预算收入支出决算情况</w:t>
      </w:r>
    </w:p>
    <w:p>
      <w:pPr>
        <w:pStyle w:val="10"/>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     2019年度政府性基金预算财政拨款收入1700万元；年初结转和结余0万元；支出1700万元，其中基本支出0万元，项目支出1700万元；年末结转和结余0万元。</w:t>
      </w:r>
    </w:p>
    <w:p>
      <w:pPr>
        <w:pStyle w:val="10"/>
        <w:rPr>
          <w:rFonts w:hAnsi="黑体"/>
          <w:b/>
          <w:sz w:val="32"/>
          <w:szCs w:val="32"/>
        </w:rPr>
      </w:pPr>
      <w:r>
        <w:rPr>
          <w:rFonts w:hint="eastAsia" w:hAnsi="黑体"/>
          <w:b/>
          <w:sz w:val="32"/>
          <w:szCs w:val="32"/>
        </w:rPr>
        <w:t>九、关于2019年度预算绩效情况说明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为做好预算绩效管理工作，我单位重点在以下几个方面上下功夫：一是注重提高认识，转变观念，形成共识；二是注重建立健全预算绩效管理制度体系，夯实工作基础；三是注重绩效管理与业务管理相结合，促进绩效与业务深度融合；四是注重政策、制度评价，促进科学决策、完善制度；五是注重评价结果应用，强化预算绩效约束；六是注重利用信息化手段，提高工作效率；七是注重推动绩效管理信息公开，发挥倒逼效应。</w:t>
      </w:r>
    </w:p>
    <w:p>
      <w:pPr>
        <w:pStyle w:val="10"/>
        <w:rPr>
          <w:rFonts w:hAnsi="黑体"/>
          <w:b/>
          <w:sz w:val="32"/>
          <w:szCs w:val="32"/>
        </w:rPr>
      </w:pPr>
      <w:r>
        <w:rPr>
          <w:rFonts w:hint="eastAsia" w:hAnsi="黑体"/>
          <w:b/>
          <w:sz w:val="32"/>
          <w:szCs w:val="32"/>
        </w:rPr>
        <w:t>十、其他重要事项情况说明</w:t>
      </w:r>
    </w:p>
    <w:p>
      <w:pPr>
        <w:ind w:firstLine="480" w:firstLineChars="150"/>
        <w:rPr>
          <w:rFonts w:cs="黑体" w:asciiTheme="minorEastAsia" w:hAnsiTheme="minorEastAsia"/>
          <w:b/>
          <w:color w:val="000000"/>
          <w:kern w:val="0"/>
          <w:sz w:val="32"/>
          <w:szCs w:val="32"/>
        </w:rPr>
      </w:pPr>
      <w:r>
        <w:rPr>
          <w:rFonts w:hint="eastAsia" w:cs="黑体" w:asciiTheme="minorEastAsia" w:hAnsiTheme="minorEastAsia"/>
          <w:b/>
          <w:color w:val="000000"/>
          <w:kern w:val="0"/>
          <w:sz w:val="32"/>
          <w:szCs w:val="32"/>
        </w:rPr>
        <w:t>（一）机关运行经费支出情况</w:t>
      </w:r>
    </w:p>
    <w:p>
      <w:pPr>
        <w:ind w:firstLine="640" w:firstLineChars="20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本部门2019 年度机关运行经费支出5.9万元</w:t>
      </w:r>
      <w:r>
        <w:rPr>
          <w:rFonts w:hint="eastAsia" w:cs="黑体" w:asciiTheme="minorEastAsia" w:hAnsiTheme="minorEastAsia"/>
          <w:i/>
          <w:color w:val="FF0000"/>
          <w:kern w:val="0"/>
          <w:sz w:val="32"/>
          <w:szCs w:val="32"/>
        </w:rPr>
        <w:t>，</w:t>
      </w:r>
      <w:r>
        <w:rPr>
          <w:rFonts w:hint="eastAsia" w:cs="黑体" w:asciiTheme="minorEastAsia" w:hAnsiTheme="minorEastAsia"/>
          <w:color w:val="000000"/>
          <w:kern w:val="0"/>
          <w:sz w:val="32"/>
          <w:szCs w:val="32"/>
        </w:rPr>
        <w:t>与年初预算数5.9万元保持一致,增长0%。主要原因是：压缩开支，减少一般性支出。</w:t>
      </w:r>
    </w:p>
    <w:p>
      <w:pPr>
        <w:ind w:firstLine="640" w:firstLineChars="200"/>
        <w:rPr>
          <w:rFonts w:cs="黑体" w:asciiTheme="minorEastAsia" w:hAnsiTheme="minorEastAsia"/>
          <w:b/>
          <w:color w:val="000000"/>
          <w:kern w:val="0"/>
          <w:sz w:val="32"/>
          <w:szCs w:val="32"/>
        </w:rPr>
      </w:pPr>
      <w:r>
        <w:rPr>
          <w:rFonts w:hint="eastAsia" w:cs="黑体" w:asciiTheme="minorEastAsia" w:hAnsiTheme="minorEastAsia"/>
          <w:b/>
          <w:color w:val="000000"/>
          <w:kern w:val="0"/>
          <w:sz w:val="32"/>
          <w:szCs w:val="32"/>
        </w:rPr>
        <w:t>（二）一般性支出情况</w:t>
      </w:r>
    </w:p>
    <w:p>
      <w:pPr>
        <w:ind w:firstLine="640" w:firstLineChars="20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2019年本部门开支会议费0万元；开支培训费0.15万元，用于开展参加省开发区协会的培训，人数2人，内容为开发区协会的培训。</w:t>
      </w:r>
    </w:p>
    <w:p>
      <w:pPr>
        <w:ind w:firstLine="640" w:firstLineChars="200"/>
        <w:rPr>
          <w:rFonts w:cs="黑体" w:asciiTheme="minorEastAsia" w:hAnsiTheme="minorEastAsia"/>
          <w:b/>
          <w:color w:val="000000"/>
          <w:kern w:val="0"/>
          <w:sz w:val="32"/>
          <w:szCs w:val="32"/>
        </w:rPr>
      </w:pPr>
      <w:r>
        <w:rPr>
          <w:rFonts w:hint="eastAsia" w:cs="黑体" w:asciiTheme="minorEastAsia" w:hAnsiTheme="minorEastAsia"/>
          <w:b/>
          <w:color w:val="000000"/>
          <w:kern w:val="0"/>
          <w:sz w:val="32"/>
          <w:szCs w:val="32"/>
        </w:rPr>
        <w:t>（三）政府采购支出情况</w:t>
      </w:r>
    </w:p>
    <w:p>
      <w:pPr>
        <w:spacing w:line="600" w:lineRule="exact"/>
        <w:ind w:firstLine="640" w:firstLineChars="200"/>
        <w:rPr>
          <w:rFonts w:eastAsia="仿宋_GB2312"/>
          <w:kern w:val="0"/>
          <w:sz w:val="32"/>
          <w:szCs w:val="32"/>
        </w:rPr>
      </w:pPr>
      <w:r>
        <w:rPr>
          <w:rFonts w:hint="eastAsia" w:cs="黑体" w:asciiTheme="minorEastAsia" w:hAnsiTheme="minorEastAsia"/>
          <w:color w:val="000000"/>
          <w:kern w:val="0"/>
          <w:sz w:val="32"/>
          <w:szCs w:val="32"/>
        </w:rPr>
        <w:t>本部门2019年度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pPr>
        <w:ind w:firstLine="800" w:firstLineChars="250"/>
        <w:rPr>
          <w:rFonts w:cs="黑体" w:asciiTheme="minorEastAsia" w:hAnsiTheme="minorEastAsia"/>
          <w:b/>
          <w:color w:val="000000"/>
          <w:kern w:val="0"/>
          <w:sz w:val="32"/>
          <w:szCs w:val="32"/>
        </w:rPr>
      </w:pPr>
      <w:r>
        <w:rPr>
          <w:rFonts w:hint="eastAsia" w:cs="黑体" w:asciiTheme="minorEastAsia" w:hAnsiTheme="minorEastAsia"/>
          <w:b/>
          <w:color w:val="000000"/>
          <w:kern w:val="0"/>
          <w:sz w:val="32"/>
          <w:szCs w:val="32"/>
        </w:rPr>
        <w:t>（四）国有资产占用情况</w:t>
      </w:r>
    </w:p>
    <w:p>
      <w:pPr>
        <w:spacing w:line="600" w:lineRule="exact"/>
        <w:ind w:firstLine="640" w:firstLineChars="20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截至2019年12月31日，本单位共有车辆 0辆，其中，领导干部用车0辆、机要通信用车0辆、应急保障用车0辆、执法执勤用车0辆、特种专业技术用车 0 辆、其他用车 0辆，；单位价值50万元以上通用设备   0台（套）；单位价值100万元以上专用设备0 台（套）。</w:t>
      </w:r>
    </w:p>
    <w:p>
      <w:pPr>
        <w:widowControl/>
        <w:jc w:val="left"/>
        <w:rPr>
          <w:rFonts w:cs="黑体" w:asciiTheme="minorEastAsia" w:hAnsiTheme="minorEastAsia"/>
          <w:color w:val="000000"/>
          <w:kern w:val="0"/>
          <w:sz w:val="32"/>
          <w:szCs w:val="32"/>
        </w:rPr>
      </w:pPr>
    </w:p>
    <w:p>
      <w:pPr>
        <w:ind w:firstLine="640" w:firstLineChars="200"/>
        <w:rPr>
          <w:rFonts w:cs="黑体" w:asciiTheme="minorEastAsia" w:hAnsiTheme="minorEastAsia"/>
          <w:color w:val="000000"/>
          <w:kern w:val="0"/>
          <w:sz w:val="32"/>
          <w:szCs w:val="3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r>
        <w:rPr>
          <w:rFonts w:hint="eastAsia"/>
          <w:sz w:val="72"/>
          <w:szCs w:val="72"/>
        </w:rPr>
        <w:t>第四部分</w:t>
      </w:r>
    </w:p>
    <w:p>
      <w:pPr>
        <w:jc w:val="center"/>
        <w:rPr>
          <w:rFonts w:ascii="黑体" w:eastAsia="黑体" w:cs="黑体"/>
          <w:color w:val="000000"/>
          <w:kern w:val="0"/>
          <w:sz w:val="70"/>
          <w:szCs w:val="70"/>
        </w:rPr>
      </w:pPr>
    </w:p>
    <w:p>
      <w:pPr>
        <w:jc w:val="center"/>
        <w:rPr>
          <w:rFonts w:ascii="黑体" w:eastAsia="黑体" w:cs="黑体"/>
          <w:color w:val="000000"/>
          <w:kern w:val="0"/>
          <w:sz w:val="70"/>
          <w:szCs w:val="70"/>
        </w:rPr>
      </w:pPr>
      <w:r>
        <w:rPr>
          <w:rFonts w:hint="eastAsia" w:ascii="黑体" w:eastAsia="黑体" w:cs="黑体"/>
          <w:color w:val="000000"/>
          <w:kern w:val="0"/>
          <w:sz w:val="70"/>
          <w:szCs w:val="70"/>
        </w:rPr>
        <w:t>名词解释</w:t>
      </w:r>
    </w:p>
    <w:p>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pPr>
        <w:ind w:firstLine="640" w:firstLineChars="200"/>
        <w:jc w:val="left"/>
        <w:rPr>
          <w:rFonts w:cs="黑体" w:asciiTheme="minorEastAsia" w:hAnsiTheme="minorEastAsia"/>
          <w:color w:val="000000"/>
          <w:kern w:val="0"/>
          <w:sz w:val="32"/>
          <w:szCs w:val="32"/>
        </w:rPr>
      </w:pP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1、财政拨款收入：指县财政当年拨付的资金。</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2、基本支出：指部门为保障其机构正常运转、完成日常工作任务的年度基本支出，包括人员经费和公用经费两部分。</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3、</w:t>
      </w:r>
      <w:r>
        <w:rPr>
          <w:rFonts w:asciiTheme="minorEastAsia" w:hAnsiTheme="minorEastAsia" w:eastAsiaTheme="minorEastAsia"/>
          <w:sz w:val="32"/>
          <w:szCs w:val="32"/>
        </w:rPr>
        <w:t>“三公”经费:包括因公出国（境）费、公务接待费和公务用车购置及运行费</w:t>
      </w:r>
      <w:r>
        <w:rPr>
          <w:rFonts w:hint="eastAsia" w:asciiTheme="minorEastAsia" w:hAnsiTheme="minorEastAsia" w:eastAsiaTheme="minorEastAsia"/>
          <w:sz w:val="32"/>
          <w:szCs w:val="32"/>
        </w:rPr>
        <w:t>。</w:t>
      </w:r>
      <w:r>
        <w:rPr>
          <w:rFonts w:asciiTheme="minorEastAsia" w:hAnsiTheme="minorEastAsia" w:eastAsiaTheme="minorEastAsia"/>
          <w:sz w:val="32"/>
          <w:szCs w:val="32"/>
        </w:rPr>
        <w:t>因公出国（境）费，指单位工作人员公务出国（境）的住宿费、旅费、伙食补助费、杂费、培训费等支出</w:t>
      </w:r>
      <w:r>
        <w:rPr>
          <w:rFonts w:hint="eastAsia" w:asciiTheme="minorEastAsia" w:hAnsiTheme="minorEastAsia" w:eastAsiaTheme="minorEastAsia"/>
          <w:sz w:val="32"/>
          <w:szCs w:val="32"/>
        </w:rPr>
        <w:t>。</w:t>
      </w:r>
      <w:r>
        <w:rPr>
          <w:rFonts w:asciiTheme="minorEastAsia" w:hAnsiTheme="minorEastAsia" w:eastAsiaTheme="minorEastAsia"/>
          <w:sz w:val="32"/>
          <w:szCs w:val="32"/>
        </w:rPr>
        <w:t>公务接待费，指单位按规定开支的各类公务接待（含外宾接待）支出</w:t>
      </w:r>
      <w:r>
        <w:rPr>
          <w:rFonts w:hint="eastAsia" w:asciiTheme="minorEastAsia" w:hAnsiTheme="minorEastAsia" w:eastAsiaTheme="minorEastAsia"/>
          <w:sz w:val="32"/>
          <w:szCs w:val="32"/>
        </w:rPr>
        <w:t>。</w:t>
      </w:r>
      <w:r>
        <w:rPr>
          <w:rFonts w:asciiTheme="minorEastAsia" w:hAnsiTheme="minorEastAsia" w:eastAsiaTheme="minorEastAsia"/>
          <w:sz w:val="32"/>
          <w:szCs w:val="32"/>
        </w:rPr>
        <w:t>公务用车购置及运行费，指单位公务用车购置费及租用费、燃料费、维修费、过路过桥费、保险费、安全奖励费用等支出</w:t>
      </w:r>
      <w:r>
        <w:rPr>
          <w:rFonts w:hint="eastAsia" w:asciiTheme="minorEastAsia" w:hAnsiTheme="minorEastAsia" w:eastAsiaTheme="minorEastAsia"/>
          <w:sz w:val="32"/>
          <w:szCs w:val="32"/>
        </w:rPr>
        <w:t>，</w:t>
      </w:r>
      <w:r>
        <w:rPr>
          <w:rFonts w:asciiTheme="minorEastAsia" w:hAnsiTheme="minorEastAsia" w:eastAsiaTheme="minorEastAsia"/>
          <w:sz w:val="32"/>
          <w:szCs w:val="32"/>
        </w:rPr>
        <w:t>公务用车指用于履行公务的机动车辆。</w:t>
      </w:r>
    </w:p>
    <w:p>
      <w:pPr>
        <w:pStyle w:val="10"/>
        <w:ind w:firstLine="640" w:firstLineChars="200"/>
        <w:rPr>
          <w:rFonts w:ascii="仿宋_GB2312" w:hAnsi="Calibri" w:cs="Times New Roman" w:eastAsiaTheme="minorEastAsia"/>
          <w:sz w:val="32"/>
          <w:szCs w:val="32"/>
        </w:rPr>
      </w:pPr>
      <w:r>
        <w:rPr>
          <w:rFonts w:hint="eastAsia" w:asciiTheme="minorEastAsia" w:hAnsiTheme="minorEastAsia" w:eastAsiaTheme="minorEastAsia"/>
          <w:sz w:val="32"/>
          <w:szCs w:val="32"/>
        </w:rPr>
        <w:t>4、机关运行经费：</w:t>
      </w:r>
      <w:r>
        <w:rPr>
          <w:rFonts w:asciiTheme="minorEastAsia" w:hAnsiTheme="minorEastAsia" w:eastAsiaTheme="minorEastAsia"/>
          <w:sz w:val="32"/>
          <w:szCs w:val="32"/>
        </w:rPr>
        <w:t>是指为保障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widowControl/>
        <w:jc w:val="left"/>
        <w:rPr>
          <w:rFonts w:asciiTheme="minorEastAsia" w:hAnsiTheme="minorEastAsia"/>
          <w:i/>
          <w:color w:val="FF0000"/>
          <w:sz w:val="32"/>
          <w:szCs w:val="32"/>
        </w:rPr>
      </w:pPr>
      <w:r>
        <w:rPr>
          <w:rFonts w:asciiTheme="minorEastAsia" w:hAnsiTheme="minorEastAsia"/>
          <w:i/>
          <w:color w:val="FF0000"/>
          <w:sz w:val="32"/>
          <w:szCs w:val="32"/>
        </w:rPr>
        <w:br w:type="page"/>
      </w:r>
    </w:p>
    <w:p>
      <w:pPr>
        <w:pStyle w:val="10"/>
        <w:jc w:val="center"/>
        <w:rPr>
          <w:sz w:val="72"/>
          <w:szCs w:val="72"/>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jc w:val="center"/>
        <w:textAlignment w:val="auto"/>
        <w:rPr>
          <w:rFonts w:ascii="方正大标宋简体" w:hAnsi="汉仪旗黑-55S" w:eastAsia="方正大标宋简体" w:cs="汉仪旗黑-55S"/>
          <w:bCs/>
          <w:sz w:val="44"/>
          <w:szCs w:val="44"/>
        </w:rPr>
      </w:pPr>
      <w:r>
        <w:rPr>
          <w:rFonts w:hint="eastAsia" w:ascii="方正大标宋简体" w:hAnsi="汉仪旗黑-55S" w:eastAsia="方正大标宋简体" w:cs="汉仪旗黑-55S"/>
          <w:bCs/>
          <w:sz w:val="44"/>
          <w:szCs w:val="44"/>
        </w:rPr>
        <w:t>县</w:t>
      </w:r>
      <w:r>
        <w:rPr>
          <w:rFonts w:hint="eastAsia" w:ascii="方正大标宋简体" w:hAnsi="汉仪旗黑-55S" w:eastAsia="方正大标宋简体" w:cs="汉仪旗黑-55S"/>
          <w:bCs/>
          <w:sz w:val="44"/>
          <w:szCs w:val="44"/>
          <w:lang w:eastAsia="zh-CN"/>
        </w:rPr>
        <w:t>工业集中区</w:t>
      </w:r>
      <w:r>
        <w:rPr>
          <w:rFonts w:ascii="方正大标宋简体" w:hAnsi="汉仪旗黑-55S" w:eastAsia="方正大标宋简体" w:cs="汉仪旗黑-55S"/>
          <w:bCs/>
          <w:sz w:val="44"/>
          <w:szCs w:val="44"/>
        </w:rPr>
        <w:t>201</w:t>
      </w:r>
      <w:r>
        <w:rPr>
          <w:rFonts w:hint="eastAsia" w:ascii="方正大标宋简体" w:hAnsi="汉仪旗黑-55S" w:eastAsia="方正大标宋简体" w:cs="汉仪旗黑-55S"/>
          <w:bCs/>
          <w:sz w:val="44"/>
          <w:szCs w:val="44"/>
          <w:lang w:val="en-US" w:eastAsia="zh-CN"/>
        </w:rPr>
        <w:t>9</w:t>
      </w:r>
      <w:r>
        <w:rPr>
          <w:rFonts w:hint="eastAsia" w:ascii="方正大标宋简体" w:hAnsi="汉仪旗黑-55S" w:eastAsia="方正大标宋简体" w:cs="汉仪旗黑-55S"/>
          <w:bCs/>
          <w:sz w:val="44"/>
          <w:szCs w:val="44"/>
        </w:rPr>
        <w:t>年部门整体支出绩效</w:t>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jc w:val="center"/>
        <w:textAlignment w:val="auto"/>
        <w:rPr>
          <w:rFonts w:ascii="方正大标宋简体" w:hAnsi="汉仪旗黑-55S" w:eastAsia="方正大标宋简体" w:cs="汉仪旗黑-55S"/>
          <w:bCs/>
          <w:sz w:val="44"/>
          <w:szCs w:val="44"/>
        </w:rPr>
      </w:pPr>
      <w:r>
        <w:rPr>
          <w:rFonts w:hint="eastAsia" w:ascii="方正大标宋简体" w:hAnsi="汉仪旗黑-55S" w:eastAsia="方正大标宋简体" w:cs="汉仪旗黑-55S"/>
          <w:bCs/>
          <w:sz w:val="44"/>
          <w:szCs w:val="44"/>
        </w:rPr>
        <w:t>自</w:t>
      </w:r>
      <w:r>
        <w:rPr>
          <w:rFonts w:ascii="方正大标宋简体" w:hAnsi="汉仪旗黑-55S" w:eastAsia="方正大标宋简体" w:cs="汉仪旗黑-55S"/>
          <w:bCs/>
          <w:sz w:val="44"/>
          <w:szCs w:val="44"/>
        </w:rPr>
        <w:t xml:space="preserve"> </w:t>
      </w:r>
      <w:r>
        <w:rPr>
          <w:rFonts w:hint="eastAsia" w:ascii="方正大标宋简体" w:hAnsi="汉仪旗黑-55S" w:eastAsia="方正大标宋简体" w:cs="汉仪旗黑-55S"/>
          <w:bCs/>
          <w:sz w:val="44"/>
          <w:szCs w:val="44"/>
        </w:rPr>
        <w:t>评</w:t>
      </w:r>
      <w:r>
        <w:rPr>
          <w:rFonts w:ascii="方正大标宋简体" w:hAnsi="汉仪旗黑-55S" w:eastAsia="方正大标宋简体" w:cs="汉仪旗黑-55S"/>
          <w:bCs/>
          <w:sz w:val="44"/>
          <w:szCs w:val="44"/>
        </w:rPr>
        <w:t xml:space="preserve"> </w:t>
      </w:r>
      <w:r>
        <w:rPr>
          <w:rFonts w:hint="eastAsia" w:ascii="方正大标宋简体" w:hAnsi="汉仪旗黑-55S" w:eastAsia="方正大标宋简体" w:cs="汉仪旗黑-55S"/>
          <w:bCs/>
          <w:sz w:val="44"/>
          <w:szCs w:val="44"/>
        </w:rPr>
        <w:t>报</w:t>
      </w:r>
      <w:r>
        <w:rPr>
          <w:rFonts w:ascii="方正大标宋简体" w:hAnsi="汉仪旗黑-55S" w:eastAsia="方正大标宋简体" w:cs="汉仪旗黑-55S"/>
          <w:bCs/>
          <w:sz w:val="44"/>
          <w:szCs w:val="44"/>
        </w:rPr>
        <w:t xml:space="preserve"> </w:t>
      </w:r>
      <w:r>
        <w:rPr>
          <w:rFonts w:hint="eastAsia" w:ascii="方正大标宋简体" w:hAnsi="汉仪旗黑-55S" w:eastAsia="方正大标宋简体" w:cs="汉仪旗黑-55S"/>
          <w:bCs/>
          <w:sz w:val="44"/>
          <w:szCs w:val="44"/>
        </w:rPr>
        <w:t>告</w:t>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880" w:firstLineChars="200"/>
        <w:textAlignment w:val="auto"/>
        <w:outlineLvl w:val="9"/>
        <w:rPr>
          <w:rFonts w:ascii="仿宋_GB2312" w:eastAsia="仿宋_GB2312" w:cs="宋体"/>
          <w:b/>
          <w:bCs/>
          <w:sz w:val="44"/>
          <w:szCs w:val="44"/>
        </w:rPr>
      </w:pP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rPr>
        <w:t>一、单位基本情况</w:t>
      </w:r>
    </w:p>
    <w:p>
      <w:pPr>
        <w:widowControl/>
        <w:spacing w:line="600" w:lineRule="exact"/>
        <w:ind w:firstLine="640" w:firstLineChars="200"/>
        <w:rPr>
          <w:rFonts w:asciiTheme="minorEastAsia" w:hAnsiTheme="minorEastAsia"/>
          <w:sz w:val="32"/>
          <w:szCs w:val="32"/>
        </w:rPr>
      </w:pPr>
      <w:r>
        <w:rPr>
          <w:rFonts w:hint="eastAsia" w:asciiTheme="minorEastAsia" w:hAnsiTheme="minorEastAsia"/>
          <w:sz w:val="32"/>
          <w:szCs w:val="32"/>
        </w:rPr>
        <w:t>溆浦县工业集中区党工委、管委会作为溆浦县委、县人民政府派出机构，行使派出职能职权，属正科级事业单位。其内设部门如下：（一）行政事务部（党政办）、（二）人力资源部、（三）工程部、（四）征地安置部、（五）招商服务部、（六）产业发展部、（七）财务部、（八）安保协调部（保安）、（九）警务室。</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rPr>
        <w:t>二、部门整体支出管理及使用情况</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（一）基本支出情况</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主要用于在职和退休人员的工资福利，保障正常运转的公用支出和业务支出。</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年单位基本支出</w:t>
      </w:r>
      <w:r>
        <w:rPr>
          <w:rFonts w:hint="eastAsia" w:ascii="仿宋_GB2312" w:hAnsi="仿宋_GB2312" w:eastAsia="仿宋_GB2312" w:cs="仿宋_GB2312"/>
          <w:sz w:val="32"/>
          <w:szCs w:val="32"/>
          <w:lang w:val="en-US" w:eastAsia="zh-CN"/>
        </w:rPr>
        <w:t>37.5</w:t>
      </w:r>
      <w:r>
        <w:rPr>
          <w:rFonts w:hint="eastAsia" w:ascii="仿宋_GB2312" w:hAnsi="仿宋_GB2312" w:eastAsia="仿宋_GB2312" w:cs="仿宋_GB2312"/>
          <w:sz w:val="32"/>
          <w:szCs w:val="32"/>
        </w:rPr>
        <w:t>万元，其中工资福利支出</w:t>
      </w:r>
      <w:r>
        <w:rPr>
          <w:rFonts w:hint="eastAsia" w:ascii="仿宋_GB2312" w:hAnsi="仿宋_GB2312" w:eastAsia="仿宋_GB2312" w:cs="仿宋_GB2312"/>
          <w:sz w:val="32"/>
          <w:szCs w:val="32"/>
          <w:lang w:val="en-US" w:eastAsia="zh-CN"/>
        </w:rPr>
        <w:t>31.5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主要包括：基本工资、津贴补贴、奖金、其他工资福利支出等。</w:t>
      </w:r>
      <w:r>
        <w:rPr>
          <w:rFonts w:hint="eastAsia" w:ascii="仿宋_GB2312" w:hAnsi="仿宋_GB2312" w:eastAsia="仿宋_GB2312" w:cs="仿宋_GB2312"/>
          <w:sz w:val="32"/>
          <w:szCs w:val="32"/>
        </w:rPr>
        <w:t>商品服务支出</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主要包括：办公费、印刷费、水电费、差旅费等；“三公经费”严格按照上级有关规定从严管理，从严控制，</w:t>
      </w:r>
      <w:r>
        <w:rPr>
          <w:rFonts w:hint="eastAsia" w:ascii="仿宋_GB2312" w:hAnsi="仿宋_GB2312" w:eastAsia="仿宋_GB2312" w:cs="仿宋_GB2312"/>
          <w:sz w:val="32"/>
          <w:szCs w:val="32"/>
          <w:lang w:val="en-US" w:eastAsia="zh-CN"/>
        </w:rPr>
        <w:t>2019年度单位无</w:t>
      </w:r>
      <w:r>
        <w:rPr>
          <w:rFonts w:hint="eastAsia" w:ascii="仿宋_GB2312" w:hAnsi="仿宋_GB2312" w:eastAsia="仿宋_GB2312" w:cs="仿宋_GB2312"/>
          <w:sz w:val="32"/>
          <w:szCs w:val="32"/>
        </w:rPr>
        <w:t>“三公”经费使用情况</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（二）项目支出情况</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2019年单位项目支出6106.4万元。项目资金用于相关工作的开展，保障了既定工作任务的完成，保障了社会和谐稳定和公平公正。</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rPr>
        <w:t>三、资产管理情况</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截止201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年固定资产总额为</w:t>
      </w:r>
      <w:r>
        <w:rPr>
          <w:rFonts w:hint="eastAsia" w:ascii="仿宋_GB2312" w:hAnsi="仿宋_GB2312" w:eastAsia="仿宋_GB2312" w:cs="仿宋_GB2312"/>
          <w:sz w:val="32"/>
          <w:szCs w:val="32"/>
          <w:lang w:val="en-US" w:eastAsia="zh-CN"/>
        </w:rPr>
        <w:t>17.80</w:t>
      </w:r>
      <w:r>
        <w:rPr>
          <w:rFonts w:hint="eastAsia" w:ascii="仿宋_GB2312" w:hAnsi="仿宋_GB2312" w:eastAsia="仿宋_GB2312" w:cs="仿宋_GB2312"/>
          <w:sz w:val="32"/>
          <w:szCs w:val="32"/>
        </w:rPr>
        <w:t>万元。主要由办公用房及设备等组成，存放在机关保障工作正常开展。本年度无自用国有资产对外投资、出租出借或处置国有资产取得收益。资产管理体制和制度建设方面，根据财政部门和主管部门的要求，建立完善了本单位资产管理制度，确定了资产管理员，安排专人履行职能，并要求财务人员予以配合。同时，按程序购置和处置相关资产，并及时录入到系统。</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lang w:eastAsia="zh-CN"/>
        </w:rPr>
        <w:t>四、</w:t>
      </w:r>
      <w:r>
        <w:rPr>
          <w:rFonts w:hint="eastAsia" w:ascii="黑体" w:hAnsi="黑体" w:eastAsia="黑体" w:cs="黑体"/>
          <w:b w:val="0"/>
          <w:bCs/>
          <w:sz w:val="32"/>
          <w:szCs w:val="32"/>
        </w:rPr>
        <w:t>部门整体支出绩效情况</w:t>
      </w:r>
    </w:p>
    <w:p>
      <w:pPr>
        <w:keepNext w:val="0"/>
        <w:keepLines w:val="0"/>
        <w:pageBreakBefore w:val="0"/>
        <w:numPr>
          <w:ilvl w:val="0"/>
          <w:numId w:val="0"/>
        </w:numPr>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sz w:val="32"/>
          <w:szCs w:val="32"/>
          <w:lang w:eastAsia="zh-CN"/>
        </w:rPr>
        <w:t>根据溆浦县财政局</w:t>
      </w:r>
      <w:r>
        <w:rPr>
          <w:rFonts w:hint="eastAsia" w:ascii="仿宋_GB2312" w:hAnsi="仿宋_GB2312" w:eastAsia="仿宋_GB2312" w:cs="仿宋_GB2312"/>
          <w:sz w:val="32"/>
          <w:szCs w:val="32"/>
          <w:lang w:val="en-US" w:eastAsia="zh-CN"/>
        </w:rPr>
        <w:t>2019年度部门整体支出绩效评价指标考评，此次自评综合得分为95分，从整体上</w:t>
      </w:r>
      <w:r>
        <w:rPr>
          <w:rFonts w:hint="eastAsia" w:ascii="仿宋_GB2312" w:hAnsi="仿宋_GB2312" w:eastAsia="仿宋_GB2312" w:cs="仿宋_GB2312"/>
          <w:i w:val="0"/>
          <w:caps w:val="0"/>
          <w:color w:val="000000"/>
          <w:spacing w:val="0"/>
          <w:sz w:val="32"/>
          <w:szCs w:val="32"/>
          <w:shd w:val="clear" w:fill="FFFFFF"/>
        </w:rPr>
        <w:t>看，我</w:t>
      </w:r>
      <w:r>
        <w:rPr>
          <w:rFonts w:hint="eastAsia" w:ascii="仿宋_GB2312" w:hAnsi="仿宋_GB2312" w:eastAsia="仿宋_GB2312" w:cs="仿宋_GB2312"/>
          <w:i w:val="0"/>
          <w:caps w:val="0"/>
          <w:color w:val="000000"/>
          <w:spacing w:val="0"/>
          <w:sz w:val="32"/>
          <w:szCs w:val="32"/>
          <w:shd w:val="clear" w:fill="FFFFFF"/>
          <w:lang w:eastAsia="zh-CN"/>
        </w:rPr>
        <w:t>单位</w:t>
      </w:r>
      <w:r>
        <w:rPr>
          <w:rFonts w:hint="eastAsia" w:ascii="仿宋_GB2312" w:hAnsi="仿宋_GB2312" w:eastAsia="仿宋_GB2312" w:cs="仿宋_GB2312"/>
          <w:i w:val="0"/>
          <w:caps w:val="0"/>
          <w:color w:val="000000"/>
          <w:spacing w:val="0"/>
          <w:sz w:val="32"/>
          <w:szCs w:val="32"/>
          <w:shd w:val="clear" w:fill="FFFFFF"/>
        </w:rPr>
        <w:t>资金运行维护决策正确，资金管理规范，项目管理到位，政策执行有力，有效发挥了财政资金的使用效率。我</w:t>
      </w:r>
      <w:r>
        <w:rPr>
          <w:rFonts w:hint="eastAsia" w:ascii="仿宋_GB2312" w:hAnsi="仿宋_GB2312" w:eastAsia="仿宋_GB2312" w:cs="仿宋_GB2312"/>
          <w:i w:val="0"/>
          <w:caps w:val="0"/>
          <w:color w:val="000000"/>
          <w:spacing w:val="0"/>
          <w:sz w:val="32"/>
          <w:szCs w:val="32"/>
          <w:shd w:val="clear" w:fill="FFFFFF"/>
          <w:lang w:eastAsia="zh-CN"/>
        </w:rPr>
        <w:t>单位</w:t>
      </w:r>
      <w:r>
        <w:rPr>
          <w:rFonts w:hint="eastAsia" w:ascii="仿宋_GB2312" w:hAnsi="仿宋_GB2312" w:eastAsia="仿宋_GB2312" w:cs="仿宋_GB2312"/>
          <w:i w:val="0"/>
          <w:caps w:val="0"/>
          <w:color w:val="000000"/>
          <w:spacing w:val="0"/>
          <w:sz w:val="32"/>
          <w:szCs w:val="32"/>
          <w:shd w:val="clear" w:fill="FFFFFF"/>
        </w:rPr>
        <w:t>项目资金其主要用途是</w:t>
      </w:r>
      <w:r>
        <w:rPr>
          <w:rFonts w:hint="eastAsia" w:ascii="仿宋_GB2312" w:hAnsi="仿宋_GB2312" w:eastAsia="仿宋_GB2312" w:cs="仿宋_GB2312"/>
          <w:i w:val="0"/>
          <w:caps w:val="0"/>
          <w:color w:val="000000"/>
          <w:spacing w:val="0"/>
          <w:sz w:val="32"/>
          <w:szCs w:val="32"/>
          <w:shd w:val="clear" w:fill="FFFFFF"/>
          <w:lang w:eastAsia="zh-CN"/>
        </w:rPr>
        <w:t>招商引资，</w:t>
      </w:r>
      <w:r>
        <w:rPr>
          <w:rFonts w:hint="eastAsia" w:ascii="仿宋_GB2312" w:hAnsi="仿宋_GB2312" w:eastAsia="仿宋_GB2312" w:cs="仿宋_GB2312"/>
          <w:sz w:val="32"/>
          <w:szCs w:val="32"/>
        </w:rPr>
        <w:t>优化</w:t>
      </w:r>
      <w:r>
        <w:rPr>
          <w:rFonts w:hint="eastAsia" w:ascii="仿宋_GB2312" w:hAnsi="仿宋_GB2312" w:eastAsia="仿宋_GB2312" w:cs="仿宋_GB2312"/>
          <w:sz w:val="32"/>
          <w:szCs w:val="32"/>
          <w:lang w:eastAsia="zh-CN"/>
        </w:rPr>
        <w:t>投资</w:t>
      </w:r>
      <w:r>
        <w:rPr>
          <w:rFonts w:hint="eastAsia" w:ascii="仿宋_GB2312" w:hAnsi="仿宋_GB2312" w:eastAsia="仿宋_GB2312" w:cs="仿宋_GB2312"/>
          <w:sz w:val="32"/>
          <w:szCs w:val="32"/>
        </w:rPr>
        <w:t>环境</w:t>
      </w:r>
      <w:bookmarkStart w:id="2" w:name="_GoBack"/>
      <w:bookmarkEnd w:id="2"/>
      <w:r>
        <w:rPr>
          <w:rFonts w:hint="eastAsia" w:ascii="仿宋_GB2312" w:hAnsi="仿宋_GB2312" w:eastAsia="仿宋_GB2312" w:cs="仿宋_GB2312"/>
          <w:i w:val="0"/>
          <w:caps w:val="0"/>
          <w:color w:val="000000"/>
          <w:spacing w:val="0"/>
          <w:sz w:val="32"/>
          <w:szCs w:val="32"/>
          <w:shd w:val="clear" w:fill="FFFFFF"/>
        </w:rPr>
        <w:t>；在人员经费支出、公共支出严格执行</w:t>
      </w:r>
      <w:r>
        <w:rPr>
          <w:rFonts w:hint="eastAsia" w:ascii="仿宋_GB2312" w:hAnsi="仿宋_GB2312" w:eastAsia="仿宋_GB2312" w:cs="仿宋_GB2312"/>
          <w:i w:val="0"/>
          <w:caps w:val="0"/>
          <w:color w:val="000000"/>
          <w:spacing w:val="0"/>
          <w:sz w:val="32"/>
          <w:szCs w:val="32"/>
          <w:shd w:val="clear" w:fill="FFFFFF"/>
          <w:lang w:eastAsia="zh-CN"/>
        </w:rPr>
        <w:t>上级</w:t>
      </w:r>
      <w:r>
        <w:rPr>
          <w:rFonts w:hint="eastAsia" w:ascii="仿宋_GB2312" w:hAnsi="仿宋_GB2312" w:eastAsia="仿宋_GB2312" w:cs="仿宋_GB2312"/>
          <w:i w:val="0"/>
          <w:caps w:val="0"/>
          <w:color w:val="000000"/>
          <w:spacing w:val="0"/>
          <w:sz w:val="32"/>
          <w:szCs w:val="32"/>
          <w:shd w:val="clear" w:fill="FFFFFF"/>
        </w:rPr>
        <w:t>的各项制度；在项目经费的使用上，在保证各项任务顺利完成的同时，严格落实厉行节约的原则；三公经费的使用严格控制在预算申报的范围内。</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rPr>
        <w:t>五、存在的主要问题</w:t>
      </w:r>
    </w:p>
    <w:p>
      <w:pPr>
        <w:pStyle w:val="5"/>
        <w:keepNext w:val="0"/>
        <w:keepLines w:val="0"/>
        <w:pageBreakBefore w:val="0"/>
        <w:numPr>
          <w:ilvl w:val="0"/>
          <w:numId w:val="0"/>
        </w:numPr>
        <w:kinsoku/>
        <w:wordWrap/>
        <w:overflowPunct/>
        <w:topLinePunct w:val="0"/>
        <w:autoSpaceDE/>
        <w:autoSpaceDN/>
        <w:bidi w:val="0"/>
        <w:adjustRightInd/>
        <w:snapToGrid/>
        <w:spacing w:beforeAutospacing="0" w:afterAutospacing="0" w:line="600" w:lineRule="exact"/>
        <w:jc w:val="both"/>
        <w:textAlignment w:val="auto"/>
        <w:outlineLvl w:val="9"/>
        <w:rPr>
          <w:rFonts w:hint="eastAsia" w:ascii="仿宋_GB2312" w:hAnsi="仿宋_GB2312" w:eastAsia="仿宋_GB2312" w:cs="仿宋_GB2312"/>
          <w:color w:val="000000"/>
          <w:spacing w:val="-4"/>
          <w:kern w:val="2"/>
          <w:sz w:val="32"/>
          <w:szCs w:val="32"/>
        </w:rPr>
      </w:pPr>
      <w:r>
        <w:rPr>
          <w:rFonts w:hint="eastAsia" w:ascii="仿宋_GB2312" w:hAnsi="仿宋_GB2312" w:eastAsia="仿宋_GB2312" w:cs="仿宋_GB2312"/>
          <w:color w:val="000000"/>
          <w:spacing w:val="-4"/>
          <w:kern w:val="2"/>
          <w:sz w:val="32"/>
          <w:szCs w:val="32"/>
          <w:lang w:eastAsia="zh-CN"/>
        </w:rPr>
        <w:t>　　</w:t>
      </w:r>
      <w:r>
        <w:rPr>
          <w:rFonts w:hint="eastAsia" w:ascii="仿宋_GB2312" w:hAnsi="仿宋_GB2312" w:eastAsia="仿宋_GB2312" w:cs="仿宋_GB2312"/>
          <w:color w:val="000000"/>
          <w:spacing w:val="-4"/>
          <w:kern w:val="2"/>
          <w:sz w:val="32"/>
          <w:szCs w:val="32"/>
        </w:rPr>
        <w:t>资金安排难以有效满足工作需要，由于市场设施存</w:t>
      </w:r>
      <w:r>
        <w:rPr>
          <w:rFonts w:hint="eastAsia" w:ascii="仿宋_GB2312" w:hAnsi="仿宋_GB2312" w:eastAsia="仿宋_GB2312" w:cs="仿宋_GB2312"/>
          <w:bCs/>
          <w:color w:val="333333"/>
          <w:sz w:val="32"/>
          <w:szCs w:val="32"/>
        </w:rPr>
        <w:t>在</w:t>
      </w:r>
      <w:r>
        <w:rPr>
          <w:rFonts w:hint="eastAsia" w:ascii="仿宋_GB2312" w:hAnsi="仿宋_GB2312" w:eastAsia="仿宋_GB2312" w:cs="仿宋_GB2312"/>
          <w:color w:val="000000"/>
          <w:spacing w:val="-4"/>
          <w:kern w:val="2"/>
          <w:sz w:val="32"/>
          <w:szCs w:val="32"/>
        </w:rPr>
        <w:t>很多不确定因素，我中心要投入大量人力、财务、物力。</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rPr>
        <w:t>六、有关建议</w:t>
      </w:r>
    </w:p>
    <w:p>
      <w:pPr>
        <w:keepNext w:val="0"/>
        <w:keepLines w:val="0"/>
        <w:pageBreakBefore w:val="0"/>
        <w:widowControl/>
        <w:kinsoku/>
        <w:wordWrap/>
        <w:overflowPunct/>
        <w:topLinePunct w:val="0"/>
        <w:autoSpaceDE/>
        <w:autoSpaceDN/>
        <w:bidi w:val="0"/>
        <w:adjustRightInd/>
        <w:snapToGrid/>
        <w:spacing w:line="600" w:lineRule="exact"/>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shd w:val="clear" w:color="auto" w:fill="FFFFFF"/>
        </w:rPr>
        <w:t>　　一是加强财务管理，严格财务审核。加强单位财务管理，健全单位财务管理制度体系，规范单位财务行为。在费用报账支付时，按照预算规定的费用项目和用途进行资金使用审核、列报支付、财务核算，杜绝超支现象的发生。</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outlineLvl w:val="9"/>
        <w:rPr>
          <w:rFonts w:ascii="仿宋_GB2312" w:hAnsi="新宋体" w:eastAsia="仿宋_GB2312" w:cs="新宋体"/>
          <w:color w:val="333333"/>
          <w:sz w:val="32"/>
          <w:szCs w:val="32"/>
        </w:rPr>
      </w:pPr>
      <w:r>
        <w:rPr>
          <w:rFonts w:hint="eastAsia" w:ascii="仿宋_GB2312" w:hAnsi="仿宋_GB2312" w:eastAsia="仿宋_GB2312" w:cs="仿宋_GB2312"/>
          <w:kern w:val="0"/>
          <w:sz w:val="32"/>
          <w:szCs w:val="32"/>
          <w:shd w:val="clear" w:color="auto" w:fill="FFFFFF"/>
        </w:rPr>
        <w:t>　　二是对相关人员加强培训，特别是针对《预算法》、《行政事业单位会计制度》等学习培训，规范部门预算收支核算，切实提高部门预算收支管理水平。</w:t>
      </w:r>
      <w:r>
        <w:rPr>
          <w:rFonts w:ascii="新宋体" w:hAnsi="新宋体" w:eastAsia="仿宋_GB2312" w:cs="新宋体"/>
          <w:color w:val="333333"/>
          <w:sz w:val="32"/>
          <w:szCs w:val="32"/>
        </w:rPr>
        <w:t>                   </w:t>
      </w:r>
    </w:p>
    <w:p>
      <w:pPr>
        <w:pStyle w:val="5"/>
        <w:widowControl/>
        <w:spacing w:beforeAutospacing="0" w:afterAutospacing="0" w:line="400" w:lineRule="atLeast"/>
        <w:ind w:left="480"/>
        <w:jc w:val="both"/>
        <w:rPr>
          <w:rFonts w:ascii="仿宋_GB2312" w:hAnsi="新宋体" w:eastAsia="仿宋_GB2312" w:cs="新宋体"/>
          <w:color w:val="333333"/>
          <w:sz w:val="32"/>
          <w:szCs w:val="32"/>
        </w:rPr>
      </w:pPr>
    </w:p>
    <w:p>
      <w:pPr>
        <w:ind w:firstLine="600"/>
        <w:rPr>
          <w:rFonts w:ascii="仿宋_GB2312" w:hAnsi="新宋体" w:eastAsia="仿宋_GB2312" w:cs="新宋体"/>
          <w:color w:val="000000"/>
          <w:spacing w:val="-4"/>
          <w:sz w:val="32"/>
          <w:szCs w:val="32"/>
        </w:rPr>
      </w:pPr>
    </w:p>
    <w:p>
      <w:pPr>
        <w:jc w:val="left"/>
        <w:rPr>
          <w:rFonts w:cs="黑体" w:asciiTheme="minorEastAsia" w:hAnsiTheme="minorEastAsia"/>
          <w:color w:val="000000"/>
          <w:kern w:val="0"/>
          <w:sz w:val="32"/>
          <w:szCs w:val="3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ind w:firstLine="640" w:firstLineChars="200"/>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方正大标宋简体">
    <w:altName w:val="微软雅黑"/>
    <w:panose1 w:val="03000509000000000000"/>
    <w:charset w:val="86"/>
    <w:family w:val="script"/>
    <w:pitch w:val="default"/>
    <w:sig w:usb0="00000000" w:usb1="00000000" w:usb2="00000000" w:usb3="00000000" w:csb0="00040000" w:csb1="00000000"/>
  </w:font>
  <w:font w:name="汉仪旗黑-55S">
    <w:altName w:val="黑体"/>
    <w:panose1 w:val="00020600040101010101"/>
    <w:charset w:val="86"/>
    <w:family w:val="auto"/>
    <w:pitch w:val="default"/>
    <w:sig w:usb0="00000000" w:usb1="00000000" w:usb2="00000016"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506F9"/>
    <w:rsid w:val="0002229B"/>
    <w:rsid w:val="000273BD"/>
    <w:rsid w:val="000415B7"/>
    <w:rsid w:val="000658A3"/>
    <w:rsid w:val="00074155"/>
    <w:rsid w:val="000A3F69"/>
    <w:rsid w:val="00152C6D"/>
    <w:rsid w:val="00162D39"/>
    <w:rsid w:val="001A67DB"/>
    <w:rsid w:val="001D51E5"/>
    <w:rsid w:val="001F0C3B"/>
    <w:rsid w:val="00214427"/>
    <w:rsid w:val="00265724"/>
    <w:rsid w:val="0027426B"/>
    <w:rsid w:val="003479BD"/>
    <w:rsid w:val="003768D5"/>
    <w:rsid w:val="003B49CC"/>
    <w:rsid w:val="004506F9"/>
    <w:rsid w:val="004717A2"/>
    <w:rsid w:val="00491741"/>
    <w:rsid w:val="00500E5F"/>
    <w:rsid w:val="005122EF"/>
    <w:rsid w:val="00517C33"/>
    <w:rsid w:val="00523644"/>
    <w:rsid w:val="0054069E"/>
    <w:rsid w:val="005767CC"/>
    <w:rsid w:val="00590D9F"/>
    <w:rsid w:val="00595D26"/>
    <w:rsid w:val="005A74E6"/>
    <w:rsid w:val="005D4D55"/>
    <w:rsid w:val="005E2CFB"/>
    <w:rsid w:val="0062378F"/>
    <w:rsid w:val="00651EEC"/>
    <w:rsid w:val="006A351B"/>
    <w:rsid w:val="006B0422"/>
    <w:rsid w:val="006C1B53"/>
    <w:rsid w:val="006D7730"/>
    <w:rsid w:val="006E5284"/>
    <w:rsid w:val="006F3EB5"/>
    <w:rsid w:val="00702E34"/>
    <w:rsid w:val="00704395"/>
    <w:rsid w:val="00720FF1"/>
    <w:rsid w:val="00812ED5"/>
    <w:rsid w:val="008277D9"/>
    <w:rsid w:val="008A3E8D"/>
    <w:rsid w:val="009237C4"/>
    <w:rsid w:val="00950252"/>
    <w:rsid w:val="00967F5D"/>
    <w:rsid w:val="009A0F95"/>
    <w:rsid w:val="009B3ADF"/>
    <w:rsid w:val="009C3B52"/>
    <w:rsid w:val="00A42218"/>
    <w:rsid w:val="00A70249"/>
    <w:rsid w:val="00B33BEA"/>
    <w:rsid w:val="00B57C9F"/>
    <w:rsid w:val="00B845B3"/>
    <w:rsid w:val="00B85D8B"/>
    <w:rsid w:val="00BE3674"/>
    <w:rsid w:val="00C13E30"/>
    <w:rsid w:val="00C3049A"/>
    <w:rsid w:val="00C31B1E"/>
    <w:rsid w:val="00C77645"/>
    <w:rsid w:val="00CD3B06"/>
    <w:rsid w:val="00CE04C3"/>
    <w:rsid w:val="00CE76A0"/>
    <w:rsid w:val="00D148C6"/>
    <w:rsid w:val="00DD06FF"/>
    <w:rsid w:val="00DD5FE9"/>
    <w:rsid w:val="00E00C7A"/>
    <w:rsid w:val="00E55B68"/>
    <w:rsid w:val="00F74360"/>
    <w:rsid w:val="00FB462F"/>
    <w:rsid w:val="00FE16FA"/>
    <w:rsid w:val="00FE328A"/>
    <w:rsid w:val="0E0B36FE"/>
    <w:rsid w:val="130A4E4C"/>
    <w:rsid w:val="1C081EFC"/>
    <w:rsid w:val="1EEF62CC"/>
    <w:rsid w:val="23214BCE"/>
    <w:rsid w:val="24AC7AE3"/>
    <w:rsid w:val="387C0C8E"/>
    <w:rsid w:val="3BF73BA1"/>
    <w:rsid w:val="465E67E5"/>
    <w:rsid w:val="4ADB4E1B"/>
    <w:rsid w:val="4DDF3D46"/>
    <w:rsid w:val="5D310426"/>
    <w:rsid w:val="613A2A98"/>
    <w:rsid w:val="63C5502A"/>
    <w:rsid w:val="6B97327E"/>
    <w:rsid w:val="7115304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Balloon Text"/>
    <w:basedOn w:val="1"/>
    <w:link w:val="12"/>
    <w:semiHidden/>
    <w:unhideWhenUsed/>
    <w:qFormat/>
    <w:uiPriority w:val="99"/>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spacing w:beforeAutospacing="1" w:afterAutospacing="1"/>
      <w:jc w:val="left"/>
    </w:pPr>
    <w:rPr>
      <w:kern w:val="0"/>
      <w:sz w:val="24"/>
    </w:rPr>
  </w:style>
  <w:style w:type="character" w:customStyle="1" w:styleId="8">
    <w:name w:val="页眉 Char"/>
    <w:basedOn w:val="7"/>
    <w:link w:val="4"/>
    <w:qFormat/>
    <w:uiPriority w:val="99"/>
    <w:rPr>
      <w:sz w:val="18"/>
      <w:szCs w:val="18"/>
    </w:rPr>
  </w:style>
  <w:style w:type="character" w:customStyle="1" w:styleId="9">
    <w:name w:val="页脚 Char"/>
    <w:basedOn w:val="7"/>
    <w:link w:val="2"/>
    <w:qFormat/>
    <w:uiPriority w:val="99"/>
    <w:rPr>
      <w:sz w:val="18"/>
      <w:szCs w:val="18"/>
    </w:r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批注框文本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CA967F-99A7-44AE-8CB3-A0222E97AF6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1795</Words>
  <Characters>10234</Characters>
  <Lines>85</Lines>
  <Paragraphs>24</Paragraphs>
  <TotalTime>22</TotalTime>
  <ScaleCrop>false</ScaleCrop>
  <LinksUpToDate>false</LinksUpToDate>
  <CharactersWithSpaces>12005</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2021-06-04T03:37:00Z</dcterms:created>
  <dc:creator>李航 null</dc:creator>
  <cp:lastModifiedBy>撇捺人生</cp:lastModifiedBy>
  <cp:lastPrinted>2020-07-15T07:25:00Z</cp:lastPrinted>
  <dcterms:modified xsi:type="dcterms:W3CDTF">2021-06-25T02:06:41Z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SaveFontToCloudKey">
    <vt:lpwstr>368129058_btnclosed</vt:lpwstr>
  </property>
  <property fmtid="{D5CDD505-2E9C-101B-9397-08002B2CF9AE}" pid="4" name="ICV">
    <vt:lpwstr>5A6CB1C83708473794A05FF5925755F7</vt:lpwstr>
  </property>
</Properties>
</file>