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0B4BC">
      <w:pPr>
        <w:widowControl/>
        <w:spacing w:afterAutospacing="1" w:line="420" w:lineRule="atLeast"/>
        <w:jc w:val="center"/>
        <w:rPr>
          <w:rFonts w:ascii="宋体" w:hAnsi="宋体"/>
          <w:kern w:val="0"/>
        </w:rPr>
      </w:pPr>
      <w:r>
        <w:rPr>
          <w:rFonts w:ascii="宋体" w:hAnsi="宋体" w:cs="宋体"/>
          <w:b/>
          <w:bCs/>
          <w:color w:val="010101"/>
          <w:kern w:val="0"/>
          <w:sz w:val="44"/>
          <w:szCs w:val="44"/>
        </w:rPr>
        <w:t>溆浦县司法局202</w:t>
      </w:r>
      <w:r>
        <w:rPr>
          <w:rFonts w:hint="eastAsia" w:ascii="宋体" w:hAnsi="宋体" w:cs="宋体"/>
          <w:b/>
          <w:bCs/>
          <w:color w:val="010101"/>
          <w:kern w:val="0"/>
          <w:sz w:val="44"/>
          <w:szCs w:val="44"/>
        </w:rPr>
        <w:t>3</w:t>
      </w:r>
      <w:r>
        <w:rPr>
          <w:rFonts w:ascii="宋体" w:hAnsi="宋体" w:cs="宋体"/>
          <w:b/>
          <w:bCs/>
          <w:color w:val="010101"/>
          <w:kern w:val="0"/>
          <w:sz w:val="44"/>
          <w:szCs w:val="44"/>
        </w:rPr>
        <w:t>年度</w:t>
      </w:r>
    </w:p>
    <w:p w14:paraId="027B0242">
      <w:pPr>
        <w:jc w:val="center"/>
        <w:rPr>
          <w:rFonts w:ascii="宋体" w:hAnsi="宋体" w:cs="宋体"/>
          <w:b/>
          <w:bCs/>
          <w:color w:val="010101"/>
          <w:kern w:val="0"/>
          <w:sz w:val="44"/>
          <w:szCs w:val="44"/>
        </w:rPr>
      </w:pPr>
      <w:r>
        <w:rPr>
          <w:rFonts w:ascii="宋体" w:hAnsi="宋体" w:cs="宋体"/>
          <w:b/>
          <w:bCs/>
          <w:color w:val="010101"/>
          <w:kern w:val="0"/>
          <w:sz w:val="44"/>
          <w:szCs w:val="44"/>
        </w:rPr>
        <w:t>部门整体支出绩效自评报告</w:t>
      </w:r>
    </w:p>
    <w:p w14:paraId="7A3FF432">
      <w:pPr>
        <w:jc w:val="center"/>
        <w:rPr>
          <w:rFonts w:ascii="宋体" w:hAnsi="宋体" w:cs="宋体"/>
          <w:b/>
          <w:bCs/>
          <w:color w:val="010101"/>
          <w:kern w:val="0"/>
          <w:sz w:val="44"/>
          <w:szCs w:val="44"/>
        </w:rPr>
      </w:pPr>
    </w:p>
    <w:p w14:paraId="6BADB8F9">
      <w:pPr>
        <w:widowControl/>
        <w:spacing w:line="600" w:lineRule="exact"/>
        <w:ind w:firstLine="609"/>
        <w:jc w:val="left"/>
        <w:rPr>
          <w:rFonts w:ascii="仿宋" w:hAnsi="仿宋"/>
          <w:kern w:val="0"/>
        </w:rPr>
      </w:pPr>
      <w:r>
        <w:rPr>
          <w:rFonts w:ascii="仿宋" w:hAnsi="仿宋" w:cs="宋体"/>
          <w:b/>
          <w:bCs/>
          <w:color w:val="010101"/>
          <w:kern w:val="0"/>
          <w:sz w:val="32"/>
          <w:szCs w:val="32"/>
        </w:rPr>
        <w:t>一、</w:t>
      </w:r>
      <w:r>
        <w:rPr>
          <w:rFonts w:hint="eastAsia" w:ascii="仿宋" w:hAnsi="仿宋" w:cs="宋体"/>
          <w:b/>
          <w:bCs/>
          <w:color w:val="010101"/>
          <w:kern w:val="0"/>
          <w:sz w:val="32"/>
          <w:szCs w:val="32"/>
        </w:rPr>
        <w:t>部门</w:t>
      </w:r>
      <w:r>
        <w:rPr>
          <w:rFonts w:ascii="仿宋" w:hAnsi="仿宋" w:cs="宋体"/>
          <w:b/>
          <w:bCs/>
          <w:color w:val="010101"/>
          <w:kern w:val="0"/>
          <w:sz w:val="32"/>
          <w:szCs w:val="32"/>
        </w:rPr>
        <w:t>概况</w:t>
      </w:r>
    </w:p>
    <w:p w14:paraId="73129D83">
      <w:pPr>
        <w:spacing w:line="600" w:lineRule="exact"/>
        <w:ind w:firstLine="607"/>
        <w:rPr>
          <w:rFonts w:ascii="仿宋" w:hAnsi="仿宋" w:eastAsia="仿宋"/>
          <w:kern w:val="0"/>
        </w:rPr>
      </w:pPr>
      <w:r>
        <w:rPr>
          <w:rFonts w:ascii="仿宋" w:hAnsi="仿宋" w:eastAsia="仿宋" w:cs="宋体"/>
          <w:color w:val="010101"/>
          <w:kern w:val="0"/>
          <w:sz w:val="32"/>
          <w:szCs w:val="32"/>
        </w:rPr>
        <w:t>　</w:t>
      </w:r>
      <w:r>
        <w:rPr>
          <w:rFonts w:ascii="仿宋" w:hAnsi="仿宋" w:eastAsia="仿宋"/>
          <w:kern w:val="0"/>
          <w:sz w:val="32"/>
          <w:szCs w:val="32"/>
        </w:rPr>
        <w:t>本单位是行政单位，核定编制1</w:t>
      </w:r>
      <w:r>
        <w:rPr>
          <w:rFonts w:hint="eastAsia" w:ascii="仿宋" w:hAnsi="仿宋" w:eastAsia="仿宋"/>
          <w:kern w:val="0"/>
          <w:sz w:val="32"/>
          <w:szCs w:val="32"/>
        </w:rPr>
        <w:t>22</w:t>
      </w:r>
      <w:r>
        <w:rPr>
          <w:rFonts w:ascii="仿宋" w:hAnsi="仿宋" w:eastAsia="仿宋"/>
          <w:kern w:val="0"/>
          <w:sz w:val="32"/>
          <w:szCs w:val="32"/>
        </w:rPr>
        <w:t>名，其中政法编制8</w:t>
      </w:r>
      <w:r>
        <w:rPr>
          <w:rFonts w:hint="eastAsia" w:ascii="仿宋" w:hAnsi="仿宋" w:eastAsia="仿宋"/>
          <w:kern w:val="0"/>
          <w:sz w:val="32"/>
          <w:szCs w:val="32"/>
        </w:rPr>
        <w:t>3</w:t>
      </w:r>
      <w:r>
        <w:rPr>
          <w:rFonts w:ascii="仿宋" w:hAnsi="仿宋" w:eastAsia="仿宋"/>
          <w:kern w:val="0"/>
          <w:sz w:val="32"/>
          <w:szCs w:val="32"/>
        </w:rPr>
        <w:t>名、</w:t>
      </w:r>
      <w:r>
        <w:rPr>
          <w:rFonts w:hint="eastAsia" w:ascii="仿宋" w:hAnsi="仿宋" w:eastAsia="仿宋"/>
          <w:kern w:val="0"/>
          <w:sz w:val="32"/>
          <w:szCs w:val="32"/>
        </w:rPr>
        <w:t>自收自支</w:t>
      </w:r>
      <w:r>
        <w:rPr>
          <w:rFonts w:ascii="仿宋" w:hAnsi="仿宋" w:eastAsia="仿宋"/>
          <w:kern w:val="0"/>
          <w:sz w:val="32"/>
          <w:szCs w:val="32"/>
        </w:rPr>
        <w:t>事业编2</w:t>
      </w:r>
      <w:r>
        <w:rPr>
          <w:rFonts w:hint="eastAsia" w:ascii="仿宋" w:hAnsi="仿宋" w:eastAsia="仿宋"/>
          <w:kern w:val="0"/>
          <w:sz w:val="32"/>
          <w:szCs w:val="32"/>
        </w:rPr>
        <w:t>4</w:t>
      </w:r>
      <w:r>
        <w:rPr>
          <w:rFonts w:ascii="仿宋" w:hAnsi="仿宋" w:eastAsia="仿宋"/>
          <w:kern w:val="0"/>
          <w:sz w:val="32"/>
          <w:szCs w:val="32"/>
        </w:rPr>
        <w:t>名</w:t>
      </w:r>
      <w:r>
        <w:rPr>
          <w:rFonts w:hint="eastAsia" w:ascii="仿宋" w:hAnsi="仿宋" w:eastAsia="仿宋"/>
          <w:kern w:val="0"/>
          <w:sz w:val="32"/>
          <w:szCs w:val="32"/>
        </w:rPr>
        <w:t>、全额拨款事业编15名</w:t>
      </w:r>
      <w:r>
        <w:rPr>
          <w:rFonts w:ascii="仿宋" w:hAnsi="仿宋" w:eastAsia="仿宋"/>
          <w:kern w:val="0"/>
          <w:sz w:val="32"/>
          <w:szCs w:val="32"/>
        </w:rPr>
        <w:t>。实有在职人员</w:t>
      </w:r>
      <w:r>
        <w:rPr>
          <w:rFonts w:hint="eastAsia" w:ascii="仿宋" w:hAnsi="仿宋" w:eastAsia="仿宋"/>
          <w:kern w:val="0"/>
          <w:sz w:val="32"/>
          <w:szCs w:val="32"/>
        </w:rPr>
        <w:t>101</w:t>
      </w:r>
      <w:r>
        <w:rPr>
          <w:rFonts w:ascii="仿宋" w:hAnsi="仿宋" w:eastAsia="仿宋"/>
          <w:kern w:val="0"/>
          <w:sz w:val="32"/>
          <w:szCs w:val="32"/>
        </w:rPr>
        <w:t>人，其中</w:t>
      </w:r>
      <w:r>
        <w:rPr>
          <w:rFonts w:hint="eastAsia" w:ascii="仿宋" w:hAnsi="仿宋" w:eastAsia="仿宋"/>
          <w:kern w:val="0"/>
          <w:sz w:val="32"/>
          <w:szCs w:val="32"/>
        </w:rPr>
        <w:t>公务员71人，行政干部4人，全额事业人员13人，自收自支人员13人</w:t>
      </w:r>
      <w:r>
        <w:rPr>
          <w:rFonts w:ascii="仿宋" w:hAnsi="仿宋" w:eastAsia="仿宋"/>
          <w:kern w:val="0"/>
          <w:sz w:val="32"/>
          <w:szCs w:val="32"/>
        </w:rPr>
        <w:t>；退休人员</w:t>
      </w:r>
      <w:r>
        <w:rPr>
          <w:rFonts w:hint="eastAsia" w:ascii="仿宋" w:hAnsi="仿宋" w:eastAsia="仿宋"/>
          <w:kern w:val="0"/>
          <w:sz w:val="32"/>
          <w:szCs w:val="32"/>
        </w:rPr>
        <w:t>51</w:t>
      </w:r>
      <w:r>
        <w:rPr>
          <w:rFonts w:ascii="仿宋" w:hAnsi="仿宋" w:eastAsia="仿宋"/>
          <w:kern w:val="0"/>
          <w:sz w:val="32"/>
          <w:szCs w:val="32"/>
        </w:rPr>
        <w:t>人</w:t>
      </w:r>
      <w:r>
        <w:rPr>
          <w:rFonts w:hint="eastAsia" w:ascii="仿宋" w:hAnsi="仿宋" w:eastAsia="仿宋"/>
          <w:kern w:val="0"/>
          <w:sz w:val="32"/>
          <w:szCs w:val="32"/>
        </w:rPr>
        <w:t>。</w:t>
      </w:r>
    </w:p>
    <w:p w14:paraId="25BBD652">
      <w:pPr>
        <w:spacing w:line="600" w:lineRule="exact"/>
        <w:ind w:firstLine="607"/>
        <w:rPr>
          <w:rFonts w:ascii="仿宋" w:hAnsi="仿宋" w:eastAsia="仿宋"/>
          <w:b/>
          <w:bCs/>
          <w:kern w:val="0"/>
        </w:rPr>
      </w:pPr>
      <w:r>
        <w:rPr>
          <w:rFonts w:ascii="仿宋" w:hAnsi="仿宋" w:eastAsia="仿宋" w:cs="宋体"/>
          <w:b/>
          <w:bCs/>
          <w:color w:val="010101"/>
          <w:kern w:val="0"/>
          <w:sz w:val="32"/>
          <w:szCs w:val="32"/>
        </w:rPr>
        <w:t>（一）机构设置情况</w:t>
      </w:r>
    </w:p>
    <w:p w14:paraId="299611BE">
      <w:pPr>
        <w:spacing w:line="600" w:lineRule="exact"/>
        <w:ind w:firstLine="607"/>
        <w:rPr>
          <w:rFonts w:ascii="仿宋" w:hAnsi="仿宋" w:eastAsia="仿宋"/>
          <w:kern w:val="0"/>
        </w:rPr>
      </w:pPr>
      <w:r>
        <w:rPr>
          <w:rFonts w:ascii="仿宋" w:hAnsi="仿宋" w:eastAsia="仿宋"/>
          <w:color w:val="010101"/>
          <w:kern w:val="0"/>
          <w:sz w:val="32"/>
          <w:szCs w:val="32"/>
        </w:rPr>
        <w:t>溆浦县司法局设立12个内设机构：</w:t>
      </w:r>
      <w:r>
        <w:rPr>
          <w:rFonts w:ascii="仿宋" w:hAnsi="仿宋" w:eastAsia="仿宋"/>
          <w:kern w:val="0"/>
          <w:sz w:val="32"/>
          <w:szCs w:val="32"/>
        </w:rPr>
        <w:t>办公室、法治调研督察与政策法规股(县委全面依法治县委员会办公室秘书组)；行政执法协调监督股（规范性文件管理股）；行政复议与应诉股；社区矫正工作局（社区矫正执法大队）；人民参与和促进法治股（人民陪审员和监督员选任管理办公室）;公共法律服务管理股（县法律援助中心）；普法与依法治理股；律师工作股；装备财务保障股；戒毒工作管理股；政工室（党建办公室）。本单位无独立核算的二</w:t>
      </w:r>
      <w:r>
        <w:rPr>
          <w:rFonts w:hint="eastAsia" w:ascii="仿宋" w:hAnsi="仿宋" w:eastAsia="仿宋"/>
          <w:kern w:val="0"/>
          <w:sz w:val="32"/>
          <w:szCs w:val="32"/>
        </w:rPr>
        <w:t>级</w:t>
      </w:r>
      <w:r>
        <w:rPr>
          <w:rFonts w:ascii="仿宋" w:hAnsi="仿宋" w:eastAsia="仿宋"/>
          <w:kern w:val="0"/>
          <w:sz w:val="32"/>
          <w:szCs w:val="32"/>
        </w:rPr>
        <w:t>机构。</w:t>
      </w:r>
    </w:p>
    <w:p w14:paraId="77869E8C">
      <w:pPr>
        <w:spacing w:line="600" w:lineRule="exact"/>
        <w:ind w:firstLine="607"/>
        <w:rPr>
          <w:rFonts w:ascii="仿宋" w:hAnsi="仿宋" w:eastAsia="仿宋"/>
          <w:b/>
          <w:bCs/>
          <w:kern w:val="0"/>
        </w:rPr>
      </w:pPr>
      <w:r>
        <w:rPr>
          <w:rFonts w:ascii="仿宋" w:hAnsi="仿宋" w:eastAsia="仿宋" w:cs="宋体"/>
          <w:b/>
          <w:bCs/>
          <w:color w:val="010101"/>
          <w:kern w:val="0"/>
          <w:sz w:val="32"/>
          <w:szCs w:val="32"/>
        </w:rPr>
        <w:t>（二）主要工作职责</w:t>
      </w:r>
    </w:p>
    <w:p w14:paraId="4068080B">
      <w:pPr>
        <w:spacing w:line="600" w:lineRule="exact"/>
        <w:ind w:firstLine="607"/>
        <w:rPr>
          <w:rFonts w:ascii="仿宋" w:hAnsi="仿宋" w:eastAsia="仿宋"/>
          <w:kern w:val="0"/>
        </w:rPr>
      </w:pPr>
      <w:r>
        <w:rPr>
          <w:rFonts w:ascii="仿宋" w:hAnsi="仿宋" w:eastAsia="仿宋"/>
          <w:kern w:val="0"/>
          <w:sz w:val="32"/>
          <w:szCs w:val="32"/>
        </w:rPr>
        <w:t>1、承担全面依法治县重大问题的调查研究，协调有关方面提出全面依法治县中长期规划建议，负责有关重大决策部署督察工作。</w:t>
      </w:r>
    </w:p>
    <w:p w14:paraId="290FF40D">
      <w:pPr>
        <w:spacing w:line="600" w:lineRule="exact"/>
        <w:ind w:firstLine="607"/>
        <w:rPr>
          <w:rFonts w:ascii="仿宋" w:hAnsi="仿宋" w:eastAsia="仿宋"/>
          <w:kern w:val="0"/>
        </w:rPr>
      </w:pPr>
      <w:r>
        <w:rPr>
          <w:rFonts w:ascii="仿宋" w:hAnsi="仿宋" w:eastAsia="仿宋"/>
          <w:kern w:val="0"/>
          <w:sz w:val="32"/>
          <w:szCs w:val="32"/>
        </w:rPr>
        <w:t>2、贯彻执行国家、省、市关于司法行政工作的方针政策和法律法规，编制全县司法行政工作发展规划和年度计划并监督实施。</w:t>
      </w:r>
    </w:p>
    <w:p w14:paraId="571E8959">
      <w:pPr>
        <w:spacing w:line="600" w:lineRule="exact"/>
        <w:ind w:firstLine="607"/>
        <w:rPr>
          <w:rFonts w:ascii="仿宋" w:hAnsi="仿宋" w:eastAsia="仿宋"/>
          <w:kern w:val="0"/>
        </w:rPr>
      </w:pPr>
      <w:r>
        <w:rPr>
          <w:rFonts w:ascii="仿宋" w:hAnsi="仿宋" w:eastAsia="仿宋"/>
          <w:kern w:val="0"/>
          <w:sz w:val="32"/>
          <w:szCs w:val="32"/>
        </w:rPr>
        <w:t>3、负责指导全县规范性文件管理有关工作。</w:t>
      </w:r>
    </w:p>
    <w:p w14:paraId="75DE6315">
      <w:pPr>
        <w:spacing w:line="600" w:lineRule="exact"/>
        <w:ind w:firstLine="607"/>
        <w:rPr>
          <w:rFonts w:ascii="仿宋" w:hAnsi="仿宋" w:eastAsia="仿宋"/>
          <w:kern w:val="0"/>
        </w:rPr>
      </w:pPr>
      <w:r>
        <w:rPr>
          <w:rFonts w:ascii="仿宋" w:hAnsi="仿宋" w:eastAsia="仿宋"/>
          <w:kern w:val="0"/>
          <w:sz w:val="32"/>
          <w:szCs w:val="32"/>
        </w:rPr>
        <w:t>4、承担统筹推进法治政府建设的责任。</w:t>
      </w:r>
    </w:p>
    <w:p w14:paraId="614A52EC">
      <w:pPr>
        <w:spacing w:line="600" w:lineRule="exact"/>
        <w:ind w:firstLine="607"/>
        <w:rPr>
          <w:rFonts w:ascii="仿宋" w:hAnsi="仿宋" w:eastAsia="仿宋"/>
          <w:kern w:val="0"/>
        </w:rPr>
      </w:pPr>
      <w:r>
        <w:rPr>
          <w:rFonts w:ascii="仿宋" w:hAnsi="仿宋" w:eastAsia="仿宋"/>
          <w:kern w:val="0"/>
          <w:sz w:val="32"/>
          <w:szCs w:val="32"/>
        </w:rPr>
        <w:t>5、承办向县人民政府申请的行政复议案件，承办以县政府为被申请人向省、市政府申请行政复议案件的有关行政复议事项，承办或指导有关单位办理县人民政府受理的行政赔偿案件，承办或指导有关单位办理县人民政府应诉事项。指导、监督全县行政复议和行政应诉工作。</w:t>
      </w:r>
    </w:p>
    <w:p w14:paraId="7B71DB45">
      <w:pPr>
        <w:spacing w:line="600" w:lineRule="exact"/>
        <w:ind w:firstLine="607"/>
        <w:rPr>
          <w:rFonts w:ascii="仿宋" w:hAnsi="仿宋" w:eastAsia="仿宋"/>
          <w:kern w:val="0"/>
        </w:rPr>
      </w:pPr>
      <w:r>
        <w:rPr>
          <w:rFonts w:ascii="仿宋" w:hAnsi="仿宋" w:eastAsia="仿宋"/>
          <w:kern w:val="0"/>
          <w:sz w:val="32"/>
          <w:szCs w:val="32"/>
        </w:rPr>
        <w:t>6、承担统筹规划全县法治社会建设的责任。</w:t>
      </w:r>
    </w:p>
    <w:p w14:paraId="15F17743">
      <w:pPr>
        <w:spacing w:line="600" w:lineRule="exact"/>
        <w:ind w:firstLine="607"/>
        <w:rPr>
          <w:rFonts w:ascii="仿宋" w:hAnsi="仿宋" w:eastAsia="仿宋"/>
          <w:kern w:val="0"/>
        </w:rPr>
      </w:pPr>
      <w:r>
        <w:rPr>
          <w:rFonts w:ascii="仿宋" w:hAnsi="仿宋" w:eastAsia="仿宋"/>
          <w:kern w:val="0"/>
          <w:sz w:val="32"/>
          <w:szCs w:val="32"/>
        </w:rPr>
        <w:t>7、指导、管理社区矫正工作。</w:t>
      </w:r>
      <w:r>
        <w:rPr>
          <w:rFonts w:hint="eastAsia" w:ascii="仿宋" w:hAnsi="仿宋" w:eastAsia="仿宋"/>
          <w:kern w:val="0"/>
          <w:sz w:val="32"/>
          <w:szCs w:val="32"/>
        </w:rPr>
        <w:t>指导、管理、负责刑满释放人员安置帮教工作。</w:t>
      </w:r>
    </w:p>
    <w:p w14:paraId="49396DD6">
      <w:pPr>
        <w:spacing w:line="600" w:lineRule="exact"/>
        <w:ind w:firstLine="607"/>
        <w:rPr>
          <w:rFonts w:ascii="仿宋" w:hAnsi="仿宋" w:eastAsia="仿宋"/>
          <w:kern w:val="0"/>
        </w:rPr>
      </w:pPr>
      <w:r>
        <w:rPr>
          <w:rFonts w:ascii="仿宋" w:hAnsi="仿宋" w:eastAsia="仿宋"/>
          <w:kern w:val="0"/>
          <w:sz w:val="32"/>
          <w:szCs w:val="32"/>
        </w:rPr>
        <w:t>8、指导管理本系统强制隔离戒毒执行和戒毒康复工作。</w:t>
      </w:r>
    </w:p>
    <w:p w14:paraId="7FAA42D6">
      <w:pPr>
        <w:spacing w:line="600" w:lineRule="exact"/>
        <w:ind w:firstLine="607"/>
        <w:rPr>
          <w:rFonts w:ascii="仿宋" w:hAnsi="仿宋" w:eastAsia="仿宋"/>
          <w:kern w:val="0"/>
        </w:rPr>
      </w:pPr>
      <w:r>
        <w:rPr>
          <w:rFonts w:ascii="仿宋" w:hAnsi="仿宋" w:eastAsia="仿宋"/>
          <w:kern w:val="0"/>
          <w:sz w:val="32"/>
          <w:szCs w:val="32"/>
        </w:rPr>
        <w:t>9、负责县人民政府法律顾问工作。</w:t>
      </w:r>
    </w:p>
    <w:p w14:paraId="3618164B">
      <w:pPr>
        <w:spacing w:line="600" w:lineRule="exact"/>
        <w:ind w:firstLine="607"/>
        <w:rPr>
          <w:rFonts w:ascii="仿宋" w:hAnsi="仿宋" w:eastAsia="仿宋"/>
          <w:kern w:val="0"/>
        </w:rPr>
      </w:pPr>
      <w:r>
        <w:rPr>
          <w:rFonts w:ascii="仿宋" w:hAnsi="仿宋" w:eastAsia="仿宋"/>
          <w:kern w:val="0"/>
          <w:sz w:val="32"/>
          <w:szCs w:val="32"/>
        </w:rPr>
        <w:t>10、负责全县法治对外合作工作。</w:t>
      </w:r>
    </w:p>
    <w:p w14:paraId="3667B27B">
      <w:pPr>
        <w:spacing w:line="600" w:lineRule="exact"/>
        <w:ind w:firstLine="607"/>
        <w:rPr>
          <w:rFonts w:ascii="仿宋" w:hAnsi="仿宋" w:eastAsia="仿宋"/>
          <w:kern w:val="0"/>
        </w:rPr>
      </w:pPr>
      <w:r>
        <w:rPr>
          <w:rFonts w:ascii="仿宋" w:hAnsi="仿宋" w:eastAsia="仿宋"/>
          <w:kern w:val="0"/>
          <w:sz w:val="32"/>
          <w:szCs w:val="32"/>
        </w:rPr>
        <w:t>11、负责本系统服装和警车管理工作，指导、监督本系统财务、装备、设施、场所等保障工作。</w:t>
      </w:r>
    </w:p>
    <w:p w14:paraId="25FD2895">
      <w:pPr>
        <w:spacing w:line="600" w:lineRule="exact"/>
        <w:ind w:firstLine="607"/>
        <w:rPr>
          <w:rFonts w:ascii="仿宋" w:hAnsi="仿宋" w:eastAsia="仿宋"/>
          <w:kern w:val="0"/>
        </w:rPr>
      </w:pPr>
      <w:r>
        <w:rPr>
          <w:rFonts w:ascii="仿宋" w:hAnsi="仿宋" w:eastAsia="仿宋"/>
          <w:kern w:val="0"/>
          <w:sz w:val="32"/>
          <w:szCs w:val="32"/>
        </w:rPr>
        <w:t>12、规划、协调、指导法治人才队伍建设相关工作。</w:t>
      </w:r>
    </w:p>
    <w:p w14:paraId="0FCC191F">
      <w:pPr>
        <w:spacing w:line="600" w:lineRule="exact"/>
        <w:ind w:firstLine="607"/>
        <w:rPr>
          <w:rFonts w:ascii="仿宋" w:hAnsi="仿宋" w:eastAsia="仿宋"/>
          <w:kern w:val="0"/>
          <w:sz w:val="32"/>
          <w:szCs w:val="32"/>
        </w:rPr>
      </w:pPr>
      <w:r>
        <w:rPr>
          <w:rFonts w:ascii="仿宋" w:hAnsi="仿宋" w:eastAsia="仿宋"/>
          <w:kern w:val="0"/>
          <w:sz w:val="32"/>
          <w:szCs w:val="32"/>
        </w:rPr>
        <w:t>13、完成县委、县政府交办的其他任务。</w:t>
      </w:r>
    </w:p>
    <w:p w14:paraId="047F3031">
      <w:pPr>
        <w:spacing w:line="600" w:lineRule="exact"/>
        <w:ind w:firstLine="607"/>
        <w:rPr>
          <w:rFonts w:ascii="仿宋" w:hAnsi="仿宋" w:eastAsia="仿宋"/>
          <w:b/>
          <w:kern w:val="0"/>
          <w:sz w:val="32"/>
          <w:szCs w:val="32"/>
        </w:rPr>
      </w:pPr>
      <w:r>
        <w:rPr>
          <w:rFonts w:hint="eastAsia" w:ascii="仿宋" w:hAnsi="仿宋" w:eastAsia="仿宋"/>
          <w:b/>
          <w:kern w:val="0"/>
          <w:sz w:val="32"/>
          <w:szCs w:val="32"/>
        </w:rPr>
        <w:t>（三）部门整体支出情况</w:t>
      </w:r>
    </w:p>
    <w:p w14:paraId="3F50DFC7">
      <w:pPr>
        <w:spacing w:line="600" w:lineRule="exact"/>
        <w:ind w:firstLine="640" w:firstLineChars="200"/>
        <w:jc w:val="left"/>
        <w:rPr>
          <w:rFonts w:ascii="仿宋_GB2312" w:hAnsi="仿宋_GB2312" w:eastAsia="仿宋_GB2312" w:cs="仿宋_GB2312"/>
          <w:color w:val="000000"/>
          <w:sz w:val="32"/>
          <w:szCs w:val="32"/>
          <w:shd w:val="clear" w:color="auto" w:fill="FFFFFF"/>
        </w:rPr>
      </w:pPr>
      <w:r>
        <w:rPr>
          <w:rFonts w:hint="eastAsia" w:ascii="仿宋" w:hAnsi="仿宋" w:eastAsia="仿宋"/>
          <w:kern w:val="0"/>
          <w:sz w:val="32"/>
          <w:szCs w:val="32"/>
        </w:rPr>
        <w:t>2023</w:t>
      </w:r>
      <w:r>
        <w:rPr>
          <w:rFonts w:ascii="仿宋" w:hAnsi="仿宋" w:eastAsia="仿宋"/>
          <w:kern w:val="0"/>
          <w:sz w:val="32"/>
          <w:szCs w:val="32"/>
        </w:rPr>
        <w:t>年收入共计</w:t>
      </w:r>
      <w:r>
        <w:rPr>
          <w:rFonts w:hint="eastAsia" w:ascii="仿宋" w:hAnsi="仿宋" w:eastAsia="仿宋"/>
          <w:kern w:val="0"/>
          <w:sz w:val="32"/>
          <w:szCs w:val="32"/>
        </w:rPr>
        <w:t>2237.3</w:t>
      </w:r>
      <w:r>
        <w:rPr>
          <w:rFonts w:ascii="仿宋" w:hAnsi="仿宋" w:eastAsia="仿宋"/>
          <w:kern w:val="0"/>
          <w:sz w:val="32"/>
          <w:szCs w:val="32"/>
        </w:rPr>
        <w:t>万元</w:t>
      </w:r>
      <w:r>
        <w:rPr>
          <w:rFonts w:hint="eastAsia" w:ascii="仿宋" w:hAnsi="仿宋" w:eastAsia="仿宋"/>
          <w:kern w:val="0"/>
          <w:sz w:val="32"/>
          <w:szCs w:val="32"/>
        </w:rPr>
        <w:t>，支出共计2237.3</w:t>
      </w:r>
      <w:r>
        <w:rPr>
          <w:rFonts w:ascii="仿宋" w:hAnsi="仿宋" w:eastAsia="仿宋"/>
          <w:kern w:val="0"/>
          <w:sz w:val="32"/>
          <w:szCs w:val="32"/>
        </w:rPr>
        <w:t>万元</w:t>
      </w:r>
      <w:r>
        <w:rPr>
          <w:rFonts w:hint="eastAsia" w:ascii="仿宋" w:hAnsi="仿宋" w:eastAsia="仿宋"/>
          <w:kern w:val="0"/>
          <w:sz w:val="32"/>
          <w:szCs w:val="32"/>
        </w:rPr>
        <w:t>.</w:t>
      </w:r>
      <w:r>
        <w:rPr>
          <w:rFonts w:hint="eastAsia" w:ascii="仿宋_GB2312" w:hAnsi="仿宋_GB2312" w:eastAsia="仿宋_GB2312" w:cs="仿宋_GB2312"/>
          <w:color w:val="000000"/>
          <w:sz w:val="32"/>
          <w:szCs w:val="32"/>
          <w:shd w:val="clear" w:color="auto" w:fill="FFFFFF"/>
        </w:rPr>
        <w:t>紧紧围绕中央和省、市、县的决策部署，以推进新时代新征程司法行政工作现代化为总目标，以维护社会稳定为主线，聚焦主责主业，推进司法所规范化建设，突出队伍建设，为全面建设社会主义现代化新溆浦提供有力法治保障。</w:t>
      </w:r>
    </w:p>
    <w:p w14:paraId="366F4D89">
      <w:pPr>
        <w:widowControl/>
        <w:spacing w:line="600" w:lineRule="exact"/>
        <w:ind w:firstLine="609"/>
        <w:jc w:val="left"/>
        <w:rPr>
          <w:rFonts w:ascii="仿宋" w:hAnsi="仿宋"/>
          <w:kern w:val="0"/>
        </w:rPr>
      </w:pPr>
      <w:r>
        <w:rPr>
          <w:rFonts w:ascii="仿宋" w:hAnsi="仿宋" w:cs="宋体"/>
          <w:b/>
          <w:bCs/>
          <w:color w:val="010101"/>
          <w:kern w:val="0"/>
          <w:sz w:val="32"/>
          <w:szCs w:val="32"/>
        </w:rPr>
        <w:t>二、</w:t>
      </w:r>
      <w:r>
        <w:rPr>
          <w:rFonts w:hint="eastAsia" w:ascii="仿宋" w:hAnsi="仿宋" w:cs="宋体"/>
          <w:b/>
          <w:bCs/>
          <w:color w:val="010101"/>
          <w:kern w:val="0"/>
          <w:sz w:val="32"/>
          <w:szCs w:val="32"/>
        </w:rPr>
        <w:t>一般公共预算支出</w:t>
      </w:r>
      <w:r>
        <w:rPr>
          <w:rFonts w:ascii="仿宋" w:hAnsi="仿宋" w:cs="宋体"/>
          <w:b/>
          <w:bCs/>
          <w:color w:val="010101"/>
          <w:kern w:val="0"/>
          <w:sz w:val="32"/>
          <w:szCs w:val="32"/>
        </w:rPr>
        <w:t>情况</w:t>
      </w:r>
    </w:p>
    <w:p w14:paraId="65B68402">
      <w:pPr>
        <w:spacing w:line="600" w:lineRule="exact"/>
        <w:ind w:firstLine="607"/>
        <w:rPr>
          <w:rFonts w:ascii="仿宋" w:hAnsi="仿宋" w:eastAsia="仿宋"/>
          <w:b/>
          <w:bCs/>
          <w:kern w:val="0"/>
        </w:rPr>
      </w:pPr>
      <w:r>
        <w:rPr>
          <w:rFonts w:ascii="仿宋" w:hAnsi="仿宋" w:eastAsia="仿宋"/>
          <w:b/>
          <w:bCs/>
          <w:kern w:val="0"/>
          <w:sz w:val="32"/>
          <w:szCs w:val="32"/>
        </w:rPr>
        <w:t>（一）</w:t>
      </w:r>
      <w:r>
        <w:rPr>
          <w:rFonts w:hint="eastAsia" w:ascii="仿宋" w:hAnsi="仿宋" w:eastAsia="仿宋"/>
          <w:b/>
          <w:bCs/>
          <w:kern w:val="0"/>
          <w:sz w:val="32"/>
          <w:szCs w:val="32"/>
        </w:rPr>
        <w:t>基本支出</w:t>
      </w:r>
    </w:p>
    <w:p w14:paraId="051961AB">
      <w:pPr>
        <w:spacing w:line="600" w:lineRule="exact"/>
        <w:ind w:firstLine="607"/>
        <w:rPr>
          <w:rFonts w:ascii="仿宋" w:hAnsi="仿宋" w:eastAsia="仿宋"/>
          <w:kern w:val="0"/>
          <w:sz w:val="32"/>
          <w:szCs w:val="32"/>
        </w:rPr>
      </w:pPr>
      <w:r>
        <w:rPr>
          <w:rFonts w:ascii="仿宋" w:hAnsi="仿宋" w:eastAsia="仿宋" w:cs="宋体"/>
          <w:color w:val="010101"/>
          <w:kern w:val="0"/>
          <w:sz w:val="32"/>
          <w:szCs w:val="32"/>
        </w:rPr>
        <w:t>司法局基本支出范围和主要用途包括：司法行政工作人员经费和日常公用经费。具体包括：工资福利支出、对个人和家庭的补助、商品和服务支出、资本性支出。基本支出的管理和使用情况如下：</w:t>
      </w:r>
      <w:r>
        <w:rPr>
          <w:rFonts w:ascii="仿宋" w:hAnsi="仿宋" w:eastAsia="仿宋"/>
          <w:kern w:val="0"/>
          <w:sz w:val="32"/>
          <w:szCs w:val="32"/>
        </w:rPr>
        <w:t>基本支出</w:t>
      </w:r>
      <w:r>
        <w:rPr>
          <w:rFonts w:hint="eastAsia" w:ascii="仿宋" w:hAnsi="仿宋" w:eastAsia="仿宋"/>
          <w:kern w:val="0"/>
          <w:sz w:val="32"/>
          <w:szCs w:val="32"/>
        </w:rPr>
        <w:t>1551.58</w:t>
      </w:r>
      <w:r>
        <w:rPr>
          <w:rFonts w:ascii="仿宋" w:hAnsi="仿宋" w:eastAsia="仿宋"/>
          <w:kern w:val="0"/>
          <w:sz w:val="32"/>
          <w:szCs w:val="32"/>
        </w:rPr>
        <w:t>万元。①工资福利支出</w:t>
      </w:r>
      <w:r>
        <w:rPr>
          <w:rFonts w:hint="eastAsia" w:ascii="仿宋" w:hAnsi="仿宋" w:eastAsia="仿宋"/>
          <w:kern w:val="0"/>
          <w:sz w:val="32"/>
          <w:szCs w:val="32"/>
        </w:rPr>
        <w:t>1329.98</w:t>
      </w:r>
      <w:r>
        <w:rPr>
          <w:rFonts w:ascii="仿宋" w:hAnsi="仿宋" w:eastAsia="仿宋"/>
          <w:kern w:val="0"/>
          <w:sz w:val="32"/>
          <w:szCs w:val="32"/>
        </w:rPr>
        <w:t>万元。②商品和服务支出</w:t>
      </w:r>
      <w:r>
        <w:rPr>
          <w:rFonts w:hint="eastAsia" w:ascii="仿宋" w:hAnsi="仿宋" w:eastAsia="仿宋"/>
          <w:kern w:val="0"/>
          <w:sz w:val="32"/>
          <w:szCs w:val="32"/>
        </w:rPr>
        <w:t>179.25</w:t>
      </w:r>
      <w:r>
        <w:rPr>
          <w:rFonts w:ascii="仿宋" w:hAnsi="仿宋" w:eastAsia="仿宋"/>
          <w:kern w:val="0"/>
          <w:sz w:val="32"/>
          <w:szCs w:val="32"/>
        </w:rPr>
        <w:t>万元。③对个人和家庭的补助</w:t>
      </w:r>
      <w:r>
        <w:rPr>
          <w:rFonts w:hint="eastAsia" w:ascii="仿宋" w:hAnsi="仿宋" w:eastAsia="仿宋"/>
          <w:kern w:val="0"/>
          <w:sz w:val="32"/>
          <w:szCs w:val="32"/>
        </w:rPr>
        <w:t>42.35</w:t>
      </w:r>
      <w:r>
        <w:rPr>
          <w:rFonts w:ascii="仿宋" w:hAnsi="仿宋" w:eastAsia="仿宋"/>
          <w:kern w:val="0"/>
          <w:sz w:val="32"/>
          <w:szCs w:val="32"/>
        </w:rPr>
        <w:t>万元。</w:t>
      </w:r>
    </w:p>
    <w:p w14:paraId="6943C562">
      <w:pPr>
        <w:widowControl/>
        <w:spacing w:line="600" w:lineRule="exact"/>
        <w:ind w:firstLine="601"/>
        <w:jc w:val="left"/>
        <w:rPr>
          <w:rFonts w:ascii="仿宋" w:hAnsi="仿宋" w:eastAsia="仿宋"/>
          <w:kern w:val="0"/>
        </w:rPr>
      </w:pPr>
      <w:r>
        <w:rPr>
          <w:rFonts w:ascii="仿宋" w:hAnsi="仿宋" w:eastAsia="仿宋" w:cs="宋体"/>
          <w:color w:val="010101"/>
          <w:kern w:val="0"/>
          <w:sz w:val="32"/>
          <w:szCs w:val="32"/>
        </w:rPr>
        <w:t>本年“三公”经费各费用均控制在预算范围内</w:t>
      </w:r>
      <w:r>
        <w:rPr>
          <w:rFonts w:hint="eastAsia" w:ascii="仿宋" w:hAnsi="仿宋" w:eastAsia="仿宋" w:cs="宋体"/>
          <w:color w:val="010101"/>
          <w:kern w:val="0"/>
          <w:sz w:val="32"/>
          <w:szCs w:val="32"/>
        </w:rPr>
        <w:t>，2023年本部门“三公”经费预算数为20.28万元，其中公务用车购置及运行维护费6.23</w:t>
      </w:r>
      <w:r>
        <w:rPr>
          <w:rFonts w:ascii="仿宋" w:hAnsi="仿宋" w:eastAsia="仿宋" w:cs="宋体"/>
          <w:color w:val="010101"/>
          <w:kern w:val="0"/>
          <w:sz w:val="32"/>
          <w:szCs w:val="32"/>
        </w:rPr>
        <w:t>万元，未超过年初预算</w:t>
      </w:r>
      <w:r>
        <w:rPr>
          <w:rFonts w:hint="eastAsia" w:ascii="仿宋" w:hAnsi="仿宋" w:eastAsia="仿宋" w:cs="宋体"/>
          <w:color w:val="010101"/>
          <w:kern w:val="0"/>
          <w:sz w:val="32"/>
          <w:szCs w:val="32"/>
        </w:rPr>
        <w:t>14.7</w:t>
      </w:r>
      <w:r>
        <w:rPr>
          <w:rFonts w:ascii="仿宋" w:hAnsi="仿宋" w:eastAsia="仿宋" w:cs="宋体"/>
          <w:color w:val="010101"/>
          <w:kern w:val="0"/>
          <w:sz w:val="32"/>
          <w:szCs w:val="32"/>
        </w:rPr>
        <w:t>万元；公务接待费为</w:t>
      </w:r>
      <w:r>
        <w:rPr>
          <w:rFonts w:hint="eastAsia" w:ascii="仿宋" w:hAnsi="仿宋" w:eastAsia="仿宋" w:cs="宋体"/>
          <w:color w:val="010101"/>
          <w:kern w:val="0"/>
          <w:sz w:val="32"/>
          <w:szCs w:val="32"/>
        </w:rPr>
        <w:t>1.78</w:t>
      </w:r>
      <w:r>
        <w:rPr>
          <w:rFonts w:ascii="仿宋" w:hAnsi="仿宋" w:eastAsia="仿宋" w:cs="宋体"/>
          <w:color w:val="010101"/>
          <w:kern w:val="0"/>
          <w:sz w:val="32"/>
          <w:szCs w:val="32"/>
        </w:rPr>
        <w:t>万元，未超过年初预算5.5</w:t>
      </w:r>
      <w:r>
        <w:rPr>
          <w:rFonts w:hint="eastAsia" w:ascii="仿宋" w:hAnsi="仿宋" w:eastAsia="仿宋" w:cs="宋体"/>
          <w:color w:val="010101"/>
          <w:kern w:val="0"/>
          <w:sz w:val="32"/>
          <w:szCs w:val="32"/>
        </w:rPr>
        <w:t>8</w:t>
      </w:r>
      <w:r>
        <w:rPr>
          <w:rFonts w:ascii="仿宋" w:hAnsi="仿宋" w:eastAsia="仿宋" w:cs="宋体"/>
          <w:color w:val="010101"/>
          <w:kern w:val="0"/>
          <w:sz w:val="32"/>
          <w:szCs w:val="32"/>
        </w:rPr>
        <w:t>万元；无因公出国（境）费用。</w:t>
      </w:r>
    </w:p>
    <w:p w14:paraId="7214B544">
      <w:pPr>
        <w:widowControl/>
        <w:spacing w:line="600" w:lineRule="exact"/>
        <w:ind w:left="441" w:firstLine="152"/>
        <w:jc w:val="left"/>
        <w:rPr>
          <w:rFonts w:ascii="仿宋" w:hAnsi="仿宋" w:eastAsia="仿宋"/>
          <w:b/>
          <w:kern w:val="0"/>
        </w:rPr>
      </w:pPr>
      <w:r>
        <w:rPr>
          <w:rFonts w:hint="eastAsia" w:ascii="仿宋" w:hAnsi="仿宋" w:eastAsia="仿宋" w:cs="宋体"/>
          <w:b/>
          <w:color w:val="010101"/>
          <w:kern w:val="0"/>
          <w:sz w:val="32"/>
          <w:szCs w:val="32"/>
        </w:rPr>
        <w:t>（二）专项支出</w:t>
      </w:r>
      <w:r>
        <w:rPr>
          <w:rFonts w:ascii="仿宋" w:hAnsi="仿宋" w:eastAsia="仿宋" w:cs="宋体"/>
          <w:b/>
          <w:color w:val="010101"/>
          <w:kern w:val="0"/>
          <w:sz w:val="32"/>
          <w:szCs w:val="32"/>
        </w:rPr>
        <w:t xml:space="preserve">    </w:t>
      </w:r>
    </w:p>
    <w:p w14:paraId="7B806CB4">
      <w:pPr>
        <w:spacing w:line="600" w:lineRule="exact"/>
        <w:ind w:firstLine="607"/>
        <w:rPr>
          <w:rFonts w:ascii="仿宋" w:hAnsi="仿宋" w:eastAsia="仿宋"/>
          <w:color w:val="010101"/>
          <w:kern w:val="0"/>
          <w:sz w:val="32"/>
          <w:szCs w:val="32"/>
        </w:rPr>
      </w:pPr>
      <w:r>
        <w:rPr>
          <w:rFonts w:hint="eastAsia" w:ascii="仿宋" w:hAnsi="仿宋" w:eastAsia="仿宋"/>
          <w:color w:val="010101"/>
          <w:kern w:val="0"/>
          <w:sz w:val="32"/>
          <w:szCs w:val="32"/>
        </w:rPr>
        <w:t>2023年本单位投入专项资金共计627.51</w:t>
      </w:r>
      <w:r>
        <w:rPr>
          <w:rFonts w:ascii="仿宋" w:hAnsi="仿宋" w:eastAsia="仿宋"/>
          <w:color w:val="010101"/>
          <w:kern w:val="0"/>
          <w:sz w:val="32"/>
          <w:szCs w:val="32"/>
        </w:rPr>
        <w:t>万元</w:t>
      </w:r>
      <w:r>
        <w:rPr>
          <w:rFonts w:hint="eastAsia" w:ascii="仿宋" w:hAnsi="仿宋" w:eastAsia="仿宋"/>
          <w:color w:val="010101"/>
          <w:kern w:val="0"/>
          <w:sz w:val="32"/>
          <w:szCs w:val="32"/>
        </w:rPr>
        <w:t>，实际使用627.51万元</w:t>
      </w:r>
      <w:r>
        <w:rPr>
          <w:rFonts w:ascii="仿宋" w:hAnsi="仿宋" w:eastAsia="仿宋"/>
          <w:color w:val="010101"/>
          <w:kern w:val="0"/>
          <w:sz w:val="32"/>
          <w:szCs w:val="32"/>
        </w:rPr>
        <w:t>。</w:t>
      </w:r>
      <w:r>
        <w:rPr>
          <w:rFonts w:hint="eastAsia" w:ascii="仿宋" w:hAnsi="仿宋" w:eastAsia="仿宋"/>
          <w:color w:val="010101"/>
          <w:kern w:val="0"/>
          <w:sz w:val="32"/>
          <w:szCs w:val="32"/>
        </w:rPr>
        <w:t>其中：八五普法、社区矫正项目资金53万元，法律顾问聘请项目资金26万元，购买安置帮教服务项目资金58.67万元，购买法律援助服务项目资金115.7万元，购买人民调解岗位服务项目资金126万元，购买社区矫正服务项目资金89.1万元，人民调解“以奖代补”项目资金70万元，司法局业务用房项目资金9.04万元，行政复议工作经费项目资金20万元，自收自支人员工资项目资金60万元。</w:t>
      </w:r>
    </w:p>
    <w:p w14:paraId="63A76EB2">
      <w:pPr>
        <w:spacing w:line="600" w:lineRule="exact"/>
        <w:ind w:firstLine="607"/>
        <w:rPr>
          <w:rFonts w:ascii="仿宋" w:hAnsi="仿宋" w:eastAsia="仿宋"/>
          <w:color w:val="010101"/>
          <w:kern w:val="0"/>
          <w:sz w:val="32"/>
          <w:szCs w:val="32"/>
        </w:rPr>
      </w:pPr>
      <w:r>
        <w:rPr>
          <w:rFonts w:ascii="仿宋" w:hAnsi="仿宋" w:eastAsia="仿宋"/>
          <w:color w:val="010101"/>
          <w:kern w:val="0"/>
          <w:sz w:val="32"/>
          <w:szCs w:val="32"/>
        </w:rPr>
        <w:t>根据我局的工作职能和职责设立，经费支出范围为开展司法业务工作相关的工作经费，为持续性、常年性项目，具体包括社区矫正、人民调解、法律援助、法律顾问、</w:t>
      </w:r>
      <w:r>
        <w:rPr>
          <w:rFonts w:hint="eastAsia" w:ascii="仿宋" w:hAnsi="仿宋" w:eastAsia="仿宋"/>
          <w:color w:val="010101"/>
          <w:kern w:val="0"/>
          <w:sz w:val="32"/>
          <w:szCs w:val="32"/>
        </w:rPr>
        <w:t>八五普法</w:t>
      </w:r>
      <w:r>
        <w:rPr>
          <w:rFonts w:ascii="仿宋" w:hAnsi="仿宋" w:eastAsia="仿宋"/>
          <w:color w:val="010101"/>
          <w:kern w:val="0"/>
          <w:sz w:val="32"/>
          <w:szCs w:val="32"/>
        </w:rPr>
        <w:t>、安置帮教等项目。通过专项工作的开展，实现全</w:t>
      </w:r>
      <w:r>
        <w:rPr>
          <w:rFonts w:hint="eastAsia" w:ascii="仿宋" w:hAnsi="仿宋" w:eastAsia="仿宋"/>
          <w:color w:val="010101"/>
          <w:kern w:val="0"/>
          <w:sz w:val="32"/>
          <w:szCs w:val="32"/>
        </w:rPr>
        <w:t>年</w:t>
      </w:r>
      <w:r>
        <w:rPr>
          <w:rFonts w:ascii="仿宋" w:hAnsi="仿宋" w:eastAsia="仿宋"/>
          <w:color w:val="010101"/>
          <w:kern w:val="0"/>
          <w:sz w:val="32"/>
          <w:szCs w:val="32"/>
        </w:rPr>
        <w:t>工作的持续安全稳定；全面推进法</w:t>
      </w:r>
      <w:r>
        <w:rPr>
          <w:rFonts w:hint="eastAsia" w:ascii="仿宋" w:hAnsi="仿宋" w:eastAsia="仿宋"/>
          <w:color w:val="010101"/>
          <w:kern w:val="0"/>
          <w:sz w:val="32"/>
          <w:szCs w:val="32"/>
        </w:rPr>
        <w:t>治</w:t>
      </w:r>
      <w:r>
        <w:rPr>
          <w:rFonts w:ascii="仿宋" w:hAnsi="仿宋" w:eastAsia="仿宋"/>
          <w:color w:val="010101"/>
          <w:kern w:val="0"/>
          <w:sz w:val="32"/>
          <w:szCs w:val="32"/>
        </w:rPr>
        <w:t>建设，严格律师监管，加强人民调解，扩展和规范基层法律服务，推进安置帮教工作，落实社区矫正工作的快速发展绩效目标，使政府职能依法全面履行。</w:t>
      </w:r>
    </w:p>
    <w:p w14:paraId="31CD36F8">
      <w:pPr>
        <w:widowControl/>
        <w:spacing w:line="600" w:lineRule="exact"/>
        <w:ind w:firstLine="601"/>
        <w:jc w:val="left"/>
        <w:rPr>
          <w:rFonts w:ascii="仿宋" w:hAnsi="仿宋" w:eastAsia="仿宋"/>
          <w:kern w:val="0"/>
        </w:rPr>
      </w:pPr>
      <w:r>
        <w:rPr>
          <w:rFonts w:ascii="仿宋" w:hAnsi="仿宋" w:eastAsia="仿宋" w:cs="宋体"/>
          <w:color w:val="010101"/>
          <w:kern w:val="0"/>
          <w:sz w:val="32"/>
          <w:szCs w:val="32"/>
        </w:rPr>
        <w:t>部门专项经费严格预算制度实施，没有超预算支出项目。部门专项工作按照上级文件和合同约定执行，资金支付严格按照内部控制制度办理，采取承办单位申报，我局和财政部门审核后确定并支付。</w:t>
      </w:r>
      <w:r>
        <w:rPr>
          <w:rFonts w:hint="eastAsia" w:ascii="仿宋" w:hAnsi="仿宋" w:eastAsia="仿宋" w:cs="宋体"/>
          <w:color w:val="010101"/>
          <w:kern w:val="0"/>
          <w:sz w:val="32"/>
          <w:szCs w:val="32"/>
        </w:rPr>
        <w:t>所有专项经费实行专款专用，并按照核定的金额和用途进行支付，没有存在截留、挤占、挪用和套取现象。</w:t>
      </w:r>
    </w:p>
    <w:p w14:paraId="725EAA2B">
      <w:pPr>
        <w:spacing w:line="600" w:lineRule="exact"/>
        <w:ind w:firstLine="607"/>
        <w:rPr>
          <w:rFonts w:ascii="仿宋" w:hAnsi="仿宋" w:eastAsia="仿宋"/>
          <w:b/>
          <w:color w:val="010101"/>
          <w:kern w:val="0"/>
          <w:sz w:val="32"/>
          <w:szCs w:val="32"/>
        </w:rPr>
      </w:pPr>
      <w:r>
        <w:rPr>
          <w:rFonts w:hint="eastAsia" w:ascii="仿宋" w:hAnsi="仿宋" w:eastAsia="仿宋"/>
          <w:b/>
          <w:color w:val="010101"/>
          <w:kern w:val="0"/>
          <w:sz w:val="32"/>
          <w:szCs w:val="32"/>
        </w:rPr>
        <w:t>三、政府性基金预算支出情况</w:t>
      </w:r>
    </w:p>
    <w:p w14:paraId="364A5862">
      <w:pPr>
        <w:spacing w:line="600" w:lineRule="exact"/>
        <w:ind w:firstLine="607"/>
        <w:rPr>
          <w:rFonts w:ascii="仿宋" w:hAnsi="仿宋" w:eastAsia="仿宋"/>
          <w:color w:val="010101"/>
          <w:kern w:val="0"/>
          <w:sz w:val="32"/>
          <w:szCs w:val="32"/>
        </w:rPr>
      </w:pPr>
      <w:r>
        <w:rPr>
          <w:rFonts w:hint="eastAsia" w:ascii="仿宋" w:hAnsi="仿宋" w:eastAsia="仿宋"/>
          <w:color w:val="010101"/>
          <w:kern w:val="0"/>
          <w:sz w:val="32"/>
          <w:szCs w:val="32"/>
        </w:rPr>
        <w:t>2023年本部门无政府性基金预算支出情况。</w:t>
      </w:r>
    </w:p>
    <w:p w14:paraId="375BC082">
      <w:pPr>
        <w:spacing w:line="600" w:lineRule="exact"/>
        <w:ind w:firstLine="607"/>
        <w:rPr>
          <w:rFonts w:ascii="仿宋" w:hAnsi="仿宋" w:eastAsia="仿宋"/>
          <w:b/>
          <w:color w:val="010101"/>
          <w:kern w:val="0"/>
          <w:sz w:val="32"/>
          <w:szCs w:val="32"/>
        </w:rPr>
      </w:pPr>
      <w:r>
        <w:rPr>
          <w:rFonts w:hint="eastAsia" w:ascii="仿宋" w:hAnsi="仿宋" w:eastAsia="仿宋"/>
          <w:b/>
          <w:color w:val="010101"/>
          <w:kern w:val="0"/>
          <w:sz w:val="32"/>
          <w:szCs w:val="32"/>
        </w:rPr>
        <w:t>四、国有资本经营预算支出情况</w:t>
      </w:r>
    </w:p>
    <w:p w14:paraId="71393441">
      <w:pPr>
        <w:spacing w:line="600" w:lineRule="exact"/>
        <w:ind w:firstLine="607"/>
        <w:rPr>
          <w:rFonts w:ascii="仿宋" w:hAnsi="仿宋" w:eastAsia="仿宋"/>
          <w:color w:val="010101"/>
          <w:kern w:val="0"/>
          <w:sz w:val="32"/>
          <w:szCs w:val="32"/>
        </w:rPr>
      </w:pPr>
      <w:r>
        <w:rPr>
          <w:rFonts w:hint="eastAsia" w:ascii="仿宋" w:hAnsi="仿宋" w:eastAsia="仿宋"/>
          <w:color w:val="010101"/>
          <w:kern w:val="0"/>
          <w:sz w:val="32"/>
          <w:szCs w:val="32"/>
        </w:rPr>
        <w:t>2023年本部门无国有资本经营预算支出情况</w:t>
      </w:r>
    </w:p>
    <w:p w14:paraId="41B68CCB">
      <w:pPr>
        <w:spacing w:line="600" w:lineRule="exact"/>
        <w:ind w:firstLine="607"/>
        <w:rPr>
          <w:rFonts w:ascii="仿宋" w:hAnsi="仿宋" w:eastAsia="仿宋"/>
          <w:b/>
          <w:color w:val="010101"/>
          <w:kern w:val="0"/>
          <w:sz w:val="32"/>
          <w:szCs w:val="32"/>
        </w:rPr>
      </w:pPr>
      <w:r>
        <w:rPr>
          <w:rFonts w:hint="eastAsia" w:ascii="仿宋" w:hAnsi="仿宋" w:eastAsia="仿宋"/>
          <w:b/>
          <w:color w:val="010101"/>
          <w:kern w:val="0"/>
          <w:sz w:val="32"/>
          <w:szCs w:val="32"/>
        </w:rPr>
        <w:t>五、社会保险基金预算支出情况</w:t>
      </w:r>
    </w:p>
    <w:p w14:paraId="020C7752">
      <w:pPr>
        <w:spacing w:line="600" w:lineRule="exact"/>
        <w:ind w:firstLine="607"/>
        <w:rPr>
          <w:rFonts w:ascii="仿宋" w:hAnsi="仿宋" w:eastAsia="仿宋"/>
          <w:kern w:val="0"/>
        </w:rPr>
      </w:pPr>
      <w:r>
        <w:rPr>
          <w:rFonts w:hint="eastAsia" w:ascii="仿宋" w:hAnsi="仿宋" w:eastAsia="仿宋"/>
          <w:color w:val="010101"/>
          <w:kern w:val="0"/>
          <w:sz w:val="32"/>
          <w:szCs w:val="32"/>
        </w:rPr>
        <w:t>2023年本部门无社会保险基金预算支出情况</w:t>
      </w:r>
    </w:p>
    <w:p w14:paraId="3F351970">
      <w:pPr>
        <w:widowControl/>
        <w:spacing w:line="600" w:lineRule="exact"/>
        <w:ind w:firstLine="603"/>
        <w:jc w:val="left"/>
        <w:rPr>
          <w:rFonts w:ascii="仿宋" w:hAnsi="仿宋"/>
          <w:kern w:val="0"/>
        </w:rPr>
      </w:pPr>
      <w:r>
        <w:rPr>
          <w:rFonts w:hint="eastAsia" w:ascii="仿宋" w:hAnsi="仿宋" w:cs="宋体"/>
          <w:b/>
          <w:color w:val="010101"/>
          <w:kern w:val="0"/>
          <w:sz w:val="32"/>
          <w:szCs w:val="32"/>
        </w:rPr>
        <w:t>六</w:t>
      </w:r>
      <w:r>
        <w:rPr>
          <w:rFonts w:ascii="仿宋" w:hAnsi="仿宋" w:cs="宋体"/>
          <w:b/>
          <w:color w:val="010101"/>
          <w:kern w:val="0"/>
          <w:sz w:val="32"/>
          <w:szCs w:val="32"/>
        </w:rPr>
        <w:t>、资产管理情况</w:t>
      </w:r>
    </w:p>
    <w:p w14:paraId="234A921D">
      <w:pPr>
        <w:widowControl/>
        <w:spacing w:line="600" w:lineRule="exact"/>
        <w:ind w:firstLine="601"/>
        <w:jc w:val="left"/>
        <w:rPr>
          <w:rFonts w:ascii="仿宋" w:hAnsi="仿宋" w:eastAsia="仿宋"/>
          <w:kern w:val="0"/>
        </w:rPr>
      </w:pPr>
      <w:r>
        <w:rPr>
          <w:rFonts w:ascii="仿宋" w:hAnsi="仿宋" w:eastAsia="仿宋" w:cs="宋体"/>
          <w:kern w:val="0"/>
          <w:sz w:val="32"/>
          <w:szCs w:val="32"/>
        </w:rPr>
        <w:t>202</w:t>
      </w:r>
      <w:r>
        <w:rPr>
          <w:rFonts w:hint="eastAsia" w:ascii="仿宋" w:hAnsi="仿宋" w:eastAsia="仿宋" w:cs="宋体"/>
          <w:kern w:val="0"/>
          <w:sz w:val="32"/>
          <w:szCs w:val="32"/>
        </w:rPr>
        <w:t>3</w:t>
      </w:r>
      <w:r>
        <w:rPr>
          <w:rFonts w:ascii="仿宋" w:hAnsi="仿宋" w:eastAsia="仿宋" w:cs="宋体"/>
          <w:kern w:val="0"/>
          <w:sz w:val="32"/>
          <w:szCs w:val="32"/>
        </w:rPr>
        <w:t>年我单位固定资产为</w:t>
      </w:r>
      <w:r>
        <w:rPr>
          <w:rFonts w:hint="eastAsia" w:ascii="仿宋" w:hAnsi="仿宋" w:eastAsia="仿宋" w:cs="宋体"/>
          <w:kern w:val="0"/>
          <w:sz w:val="32"/>
          <w:szCs w:val="32"/>
        </w:rPr>
        <w:t>1924.24</w:t>
      </w:r>
      <w:r>
        <w:rPr>
          <w:rFonts w:ascii="仿宋" w:hAnsi="仿宋" w:eastAsia="仿宋" w:cs="宋体"/>
          <w:kern w:val="0"/>
          <w:sz w:val="32"/>
          <w:szCs w:val="32"/>
        </w:rPr>
        <w:t>万元，主要是</w:t>
      </w:r>
      <w:r>
        <w:rPr>
          <w:rFonts w:hint="eastAsia" w:ascii="仿宋" w:hAnsi="仿宋" w:eastAsia="仿宋" w:cs="宋体"/>
          <w:kern w:val="0"/>
          <w:sz w:val="32"/>
          <w:szCs w:val="32"/>
        </w:rPr>
        <w:t>办公用房转固定资产</w:t>
      </w:r>
      <w:r>
        <w:rPr>
          <w:rFonts w:ascii="仿宋" w:hAnsi="仿宋" w:eastAsia="仿宋" w:cs="宋体"/>
          <w:kern w:val="0"/>
          <w:sz w:val="32"/>
          <w:szCs w:val="32"/>
        </w:rPr>
        <w:t>。资产的增加或减少严格按照内部控制制度履行审批程序，及时办理相关手续，重大的支出形成党组会议纪要。</w:t>
      </w:r>
    </w:p>
    <w:p w14:paraId="2F6E860C">
      <w:pPr>
        <w:widowControl/>
        <w:spacing w:line="600" w:lineRule="exact"/>
        <w:ind w:firstLine="609"/>
        <w:jc w:val="left"/>
        <w:rPr>
          <w:rFonts w:ascii="仿宋" w:hAnsi="仿宋"/>
          <w:kern w:val="0"/>
        </w:rPr>
      </w:pPr>
      <w:r>
        <w:rPr>
          <w:rFonts w:hint="eastAsia" w:ascii="仿宋" w:hAnsi="仿宋" w:cs="宋体"/>
          <w:b/>
          <w:bCs/>
          <w:color w:val="010101"/>
          <w:kern w:val="0"/>
          <w:sz w:val="32"/>
          <w:szCs w:val="32"/>
        </w:rPr>
        <w:t>七</w:t>
      </w:r>
      <w:r>
        <w:rPr>
          <w:rFonts w:ascii="仿宋" w:hAnsi="仿宋" w:cs="宋体"/>
          <w:b/>
          <w:bCs/>
          <w:color w:val="010101"/>
          <w:kern w:val="0"/>
          <w:sz w:val="32"/>
          <w:szCs w:val="32"/>
        </w:rPr>
        <w:t>、部门整体支出绩效情况</w:t>
      </w:r>
    </w:p>
    <w:p w14:paraId="7744ADB1">
      <w:pPr>
        <w:widowControl/>
        <w:spacing w:line="600" w:lineRule="exact"/>
        <w:ind w:firstLine="607"/>
        <w:jc w:val="left"/>
        <w:rPr>
          <w:rFonts w:ascii="仿宋" w:hAnsi="仿宋" w:eastAsia="仿宋"/>
          <w:kern w:val="0"/>
        </w:rPr>
      </w:pPr>
      <w:r>
        <w:rPr>
          <w:rFonts w:ascii="仿宋" w:hAnsi="仿宋" w:eastAsia="仿宋" w:cs="宋体"/>
          <w:color w:val="010101"/>
          <w:kern w:val="0"/>
          <w:sz w:val="32"/>
          <w:szCs w:val="32"/>
        </w:rPr>
        <w:t>根据年初工作规划和工作要求，围绕县委、县政府全面建成小康社会的发展蓝图，积极履职，强化管理，较好地完成了年度工作目标。通过加强预算收支的管理，不断建立健全内部管理制度，理顺内部管理流程，部门整体支出管理情况得到了提升。部门整体支出绩效情况如下：</w:t>
      </w:r>
    </w:p>
    <w:p w14:paraId="342DC935">
      <w:pPr>
        <w:widowControl/>
        <w:spacing w:line="600" w:lineRule="exact"/>
        <w:ind w:firstLine="607"/>
        <w:jc w:val="left"/>
        <w:rPr>
          <w:rFonts w:ascii="仿宋" w:hAnsi="仿宋" w:eastAsia="仿宋"/>
          <w:b/>
          <w:bCs/>
          <w:kern w:val="0"/>
        </w:rPr>
      </w:pPr>
      <w:r>
        <w:rPr>
          <w:rFonts w:ascii="仿宋" w:hAnsi="仿宋" w:eastAsia="仿宋" w:cs="宋体"/>
          <w:b/>
          <w:bCs/>
          <w:color w:val="010101"/>
          <w:kern w:val="0"/>
          <w:sz w:val="32"/>
          <w:szCs w:val="32"/>
        </w:rPr>
        <w:t>（一）经济性评价</w:t>
      </w:r>
    </w:p>
    <w:p w14:paraId="4F82AED4">
      <w:pPr>
        <w:widowControl/>
        <w:spacing w:line="600" w:lineRule="exact"/>
        <w:ind w:firstLine="607"/>
        <w:jc w:val="left"/>
        <w:rPr>
          <w:rFonts w:ascii="仿宋" w:hAnsi="仿宋" w:eastAsia="仿宋"/>
          <w:kern w:val="0"/>
        </w:rPr>
      </w:pPr>
      <w:r>
        <w:rPr>
          <w:rFonts w:ascii="仿宋" w:hAnsi="仿宋" w:eastAsia="仿宋" w:cs="宋体"/>
          <w:color w:val="010101"/>
          <w:kern w:val="0"/>
          <w:sz w:val="32"/>
          <w:szCs w:val="32"/>
        </w:rPr>
        <w:t>1、本年预算安排控制较好，“三公”经费预算总额未突破上年。</w:t>
      </w:r>
    </w:p>
    <w:p w14:paraId="3923F4D2">
      <w:pPr>
        <w:widowControl/>
        <w:shd w:val="clear" w:color="auto" w:fill="FFFFFF"/>
        <w:spacing w:line="600" w:lineRule="exact"/>
        <w:ind w:firstLine="607"/>
        <w:jc w:val="left"/>
        <w:rPr>
          <w:rFonts w:ascii="仿宋" w:hAnsi="仿宋" w:eastAsia="仿宋"/>
          <w:kern w:val="0"/>
        </w:rPr>
      </w:pPr>
      <w:r>
        <w:rPr>
          <w:rFonts w:ascii="仿宋" w:hAnsi="仿宋" w:eastAsia="仿宋" w:cs="宋体"/>
          <w:color w:val="010101"/>
          <w:kern w:val="0"/>
          <w:sz w:val="32"/>
          <w:szCs w:val="32"/>
        </w:rPr>
        <w:t>2、预算执行方面，支出总额控制在预算总额以内</w:t>
      </w:r>
      <w:r>
        <w:rPr>
          <w:rFonts w:hint="eastAsia" w:ascii="仿宋" w:hAnsi="仿宋" w:eastAsia="仿宋" w:cs="宋体"/>
          <w:color w:val="010101"/>
          <w:kern w:val="0"/>
          <w:sz w:val="32"/>
          <w:szCs w:val="32"/>
        </w:rPr>
        <w:t>实行专账核算、专款专用，并按照核定的金额和用途进行支付，没有存在截留、挤占、挪用和套取现象</w:t>
      </w:r>
      <w:r>
        <w:rPr>
          <w:rFonts w:ascii="仿宋" w:hAnsi="仿宋" w:eastAsia="仿宋" w:cs="宋体"/>
          <w:color w:val="010101"/>
          <w:kern w:val="0"/>
          <w:sz w:val="32"/>
          <w:szCs w:val="32"/>
        </w:rPr>
        <w:t>。</w:t>
      </w:r>
    </w:p>
    <w:p w14:paraId="3D2E206A">
      <w:pPr>
        <w:widowControl/>
        <w:spacing w:line="600" w:lineRule="exact"/>
        <w:ind w:firstLine="607"/>
        <w:jc w:val="left"/>
        <w:rPr>
          <w:rFonts w:ascii="仿宋" w:hAnsi="仿宋" w:eastAsia="仿宋"/>
          <w:b/>
          <w:bCs/>
          <w:kern w:val="0"/>
        </w:rPr>
      </w:pPr>
      <w:r>
        <w:rPr>
          <w:rFonts w:ascii="仿宋" w:hAnsi="仿宋" w:eastAsia="仿宋" w:cs="宋体"/>
          <w:b/>
          <w:bCs/>
          <w:color w:val="010101"/>
          <w:kern w:val="0"/>
          <w:sz w:val="32"/>
          <w:szCs w:val="32"/>
        </w:rPr>
        <w:t>（二）行政效能评价</w:t>
      </w:r>
    </w:p>
    <w:p w14:paraId="209E5CE4">
      <w:pPr>
        <w:widowControl/>
        <w:spacing w:line="600" w:lineRule="exact"/>
        <w:ind w:firstLine="607"/>
        <w:jc w:val="left"/>
        <w:rPr>
          <w:rFonts w:ascii="仿宋" w:hAnsi="仿宋" w:eastAsia="仿宋"/>
          <w:kern w:val="0"/>
        </w:rPr>
      </w:pPr>
      <w:r>
        <w:rPr>
          <w:rFonts w:ascii="仿宋" w:hAnsi="仿宋" w:eastAsia="仿宋" w:cs="宋体"/>
          <w:color w:val="010101"/>
          <w:kern w:val="0"/>
          <w:sz w:val="32"/>
          <w:szCs w:val="32"/>
        </w:rPr>
        <w:t>为强化部门整体支出，加强国有资产管理，提高资金使用效益，提升财务管理，建立节约型机关，在强化业务管理、财务管理和厉行节约方面开展了大量工作，行政效能显著。</w:t>
      </w:r>
    </w:p>
    <w:p w14:paraId="431A91A7">
      <w:pPr>
        <w:widowControl/>
        <w:spacing w:line="600" w:lineRule="exact"/>
        <w:ind w:firstLine="607"/>
        <w:jc w:val="left"/>
        <w:rPr>
          <w:rFonts w:ascii="仿宋" w:hAnsi="仿宋" w:eastAsia="仿宋"/>
          <w:kern w:val="0"/>
        </w:rPr>
      </w:pPr>
      <w:r>
        <w:rPr>
          <w:rFonts w:ascii="仿宋" w:hAnsi="仿宋" w:eastAsia="仿宋" w:cs="宋体"/>
          <w:color w:val="010101"/>
          <w:kern w:val="0"/>
          <w:sz w:val="32"/>
          <w:szCs w:val="32"/>
        </w:rPr>
        <w:t>1、在原有相对健全的财务管理制度基础上，适时地、针对性地进行了相关制度的增补，建立更为完善的规章制度。</w:t>
      </w:r>
    </w:p>
    <w:p w14:paraId="779B08CE">
      <w:pPr>
        <w:widowControl/>
        <w:spacing w:line="600" w:lineRule="exact"/>
        <w:ind w:firstLine="607"/>
        <w:jc w:val="left"/>
        <w:rPr>
          <w:rFonts w:ascii="仿宋" w:hAnsi="仿宋" w:eastAsia="仿宋"/>
          <w:kern w:val="0"/>
        </w:rPr>
      </w:pPr>
      <w:r>
        <w:rPr>
          <w:rFonts w:ascii="仿宋" w:hAnsi="仿宋" w:eastAsia="仿宋" w:cs="宋体"/>
          <w:color w:val="010101"/>
          <w:kern w:val="0"/>
          <w:sz w:val="32"/>
          <w:szCs w:val="32"/>
        </w:rPr>
        <w:t>2、重视制度的学习和宣讲工作，并已逐步形成了崇尚厉行节约反对浪费的机关文化。</w:t>
      </w:r>
    </w:p>
    <w:p w14:paraId="2F3BFE93">
      <w:pPr>
        <w:widowControl/>
        <w:spacing w:line="600" w:lineRule="exact"/>
        <w:ind w:firstLine="607"/>
        <w:jc w:val="left"/>
        <w:rPr>
          <w:rFonts w:ascii="仿宋" w:hAnsi="仿宋" w:eastAsia="仿宋"/>
          <w:kern w:val="0"/>
        </w:rPr>
      </w:pPr>
      <w:r>
        <w:rPr>
          <w:rFonts w:ascii="仿宋" w:hAnsi="仿宋" w:eastAsia="仿宋" w:cs="宋体"/>
          <w:color w:val="010101"/>
          <w:kern w:val="0"/>
          <w:sz w:val="32"/>
          <w:szCs w:val="32"/>
        </w:rPr>
        <w:t>3、建立了经费支出定期汇报和公示机制，经费支出的公开透明性得到提高。</w:t>
      </w:r>
    </w:p>
    <w:p w14:paraId="1BDB5B62">
      <w:pPr>
        <w:widowControl/>
        <w:spacing w:line="600" w:lineRule="exact"/>
        <w:ind w:firstLine="607"/>
        <w:jc w:val="left"/>
        <w:rPr>
          <w:rFonts w:ascii="仿宋" w:hAnsi="仿宋" w:eastAsia="仿宋"/>
          <w:kern w:val="0"/>
        </w:rPr>
      </w:pPr>
      <w:r>
        <w:rPr>
          <w:rFonts w:ascii="仿宋" w:hAnsi="仿宋" w:eastAsia="仿宋" w:cs="宋体"/>
          <w:color w:val="010101"/>
          <w:kern w:val="0"/>
          <w:sz w:val="32"/>
          <w:szCs w:val="32"/>
        </w:rPr>
        <w:t>除按照财政要求对部门预算、“三公”经费进行例行公示外，根据经费支出情况，每月进行经费支出财务统计和分析，并及时向分管领导和绩效评价领导小组进行汇报，对经费支出的管理状况提出建设性的意见，使各项经费管理和监督发挥了较好的作用。</w:t>
      </w:r>
    </w:p>
    <w:p w14:paraId="6DC2D4BF">
      <w:pPr>
        <w:widowControl/>
        <w:spacing w:line="600" w:lineRule="exact"/>
        <w:ind w:firstLine="607"/>
        <w:jc w:val="left"/>
        <w:rPr>
          <w:rFonts w:ascii="仿宋" w:hAnsi="仿宋" w:eastAsia="仿宋"/>
          <w:kern w:val="0"/>
        </w:rPr>
      </w:pPr>
      <w:r>
        <w:rPr>
          <w:rFonts w:ascii="仿宋" w:hAnsi="仿宋" w:eastAsia="仿宋" w:cs="宋体"/>
          <w:color w:val="010101"/>
          <w:kern w:val="0"/>
          <w:sz w:val="32"/>
          <w:szCs w:val="32"/>
        </w:rPr>
        <w:t>4、严格执行了国库集中支付、三重一大制度、公务卡结算制度、政府采购等有关规定，政府采购目录内的货物与服务全部按要求实施了政府采购，确保了支出管理流程、审批手续的完整。</w:t>
      </w:r>
    </w:p>
    <w:p w14:paraId="165EF142">
      <w:pPr>
        <w:widowControl/>
        <w:spacing w:line="600" w:lineRule="exact"/>
        <w:ind w:firstLine="607"/>
        <w:jc w:val="left"/>
        <w:rPr>
          <w:rFonts w:ascii="仿宋" w:hAnsi="仿宋" w:eastAsia="仿宋"/>
          <w:kern w:val="0"/>
        </w:rPr>
      </w:pPr>
      <w:r>
        <w:rPr>
          <w:rFonts w:ascii="仿宋" w:hAnsi="仿宋" w:eastAsia="仿宋" w:cs="宋体"/>
          <w:color w:val="010101"/>
          <w:kern w:val="0"/>
          <w:sz w:val="32"/>
          <w:szCs w:val="32"/>
        </w:rPr>
        <w:t>5、加强了会计核算工作。继续对《政府会计制度》进行了全面系统学习，按照新制度的要求，对财务管理软件进行优化升级，提高了财务核算质量。</w:t>
      </w:r>
    </w:p>
    <w:p w14:paraId="24C39295">
      <w:pPr>
        <w:widowControl/>
        <w:spacing w:line="600" w:lineRule="exact"/>
        <w:ind w:firstLine="607"/>
        <w:jc w:val="left"/>
        <w:rPr>
          <w:rFonts w:ascii="仿宋" w:hAnsi="仿宋" w:eastAsia="仿宋"/>
          <w:b/>
          <w:bCs/>
          <w:kern w:val="0"/>
        </w:rPr>
      </w:pPr>
      <w:r>
        <w:rPr>
          <w:rFonts w:ascii="仿宋" w:hAnsi="仿宋" w:eastAsia="仿宋" w:cs="宋体"/>
          <w:b/>
          <w:bCs/>
          <w:color w:val="010101"/>
          <w:kern w:val="0"/>
          <w:sz w:val="32"/>
          <w:szCs w:val="32"/>
        </w:rPr>
        <w:t>（三）项目产出及社会效益评价</w:t>
      </w:r>
    </w:p>
    <w:p w14:paraId="22472E9A">
      <w:pPr>
        <w:widowControl/>
        <w:spacing w:line="600" w:lineRule="exact"/>
        <w:ind w:firstLine="607"/>
        <w:jc w:val="left"/>
        <w:rPr>
          <w:rFonts w:ascii="仿宋" w:hAnsi="仿宋" w:eastAsia="仿宋"/>
          <w:kern w:val="0"/>
        </w:rPr>
      </w:pPr>
      <w:r>
        <w:rPr>
          <w:rFonts w:ascii="仿宋" w:hAnsi="仿宋" w:eastAsia="仿宋" w:cs="宋体"/>
          <w:color w:val="010101"/>
          <w:kern w:val="0"/>
          <w:sz w:val="32"/>
          <w:szCs w:val="32"/>
        </w:rPr>
        <w:t>一年来，通过专项工作的开展，我们狠抓重点工作，较好地完成了各项目标任务，取得了较好的社会效益。</w:t>
      </w:r>
    </w:p>
    <w:p w14:paraId="7D1408FF">
      <w:pPr>
        <w:widowControl/>
        <w:spacing w:line="600" w:lineRule="exact"/>
        <w:ind w:firstLine="607"/>
        <w:jc w:val="left"/>
        <w:rPr>
          <w:rFonts w:ascii="仿宋" w:hAnsi="仿宋" w:eastAsia="仿宋"/>
          <w:kern w:val="0"/>
          <w:sz w:val="32"/>
          <w:szCs w:val="32"/>
        </w:rPr>
      </w:pPr>
      <w:r>
        <w:rPr>
          <w:rFonts w:ascii="仿宋" w:hAnsi="仿宋" w:eastAsia="仿宋" w:cs="宋体"/>
          <w:color w:val="010101"/>
          <w:kern w:val="0"/>
          <w:sz w:val="32"/>
          <w:szCs w:val="32"/>
        </w:rPr>
        <w:t>1、</w:t>
      </w:r>
      <w:r>
        <w:rPr>
          <w:rFonts w:hint="eastAsia" w:ascii="仿宋_GB2312" w:hAnsi="仿宋_GB2312" w:eastAsia="仿宋_GB2312" w:cs="仿宋_GB2312"/>
          <w:color w:val="000000" w:themeColor="text1"/>
          <w:kern w:val="0"/>
          <w:sz w:val="32"/>
          <w:szCs w:val="32"/>
          <w14:textFill>
            <w14:solidFill>
              <w14:schemeClr w14:val="tx1"/>
            </w14:solidFill>
          </w14:textFill>
        </w:rPr>
        <w:t>进一步抓实司法所规范化建设三年行动。</w:t>
      </w:r>
      <w:r>
        <w:rPr>
          <w:rFonts w:ascii="仿宋" w:hAnsi="仿宋" w:eastAsia="仿宋" w:cs="宋体"/>
          <w:color w:val="010101"/>
          <w:kern w:val="0"/>
          <w:sz w:val="32"/>
          <w:szCs w:val="32"/>
        </w:rPr>
        <w:t>完成了各基层司法所外观标识和内部设置统一规范工作，配齐了电脑、打印机、档案柜、执法记录仪等办公设备。加大基层司法员的学习培训力度，组织基层司法所长参加</w:t>
      </w:r>
      <w:r>
        <w:rPr>
          <w:rFonts w:hint="eastAsia" w:ascii="仿宋" w:hAnsi="仿宋" w:eastAsia="仿宋" w:cs="宋体"/>
          <w:color w:val="010101"/>
          <w:kern w:val="0"/>
          <w:sz w:val="32"/>
          <w:szCs w:val="32"/>
        </w:rPr>
        <w:t>省、</w:t>
      </w:r>
      <w:r>
        <w:rPr>
          <w:rFonts w:ascii="仿宋" w:hAnsi="仿宋" w:eastAsia="仿宋" w:cs="宋体"/>
          <w:color w:val="010101"/>
          <w:kern w:val="0"/>
          <w:sz w:val="32"/>
          <w:szCs w:val="32"/>
        </w:rPr>
        <w:t>市局举办的业务培训。按照</w:t>
      </w:r>
      <w:r>
        <w:rPr>
          <w:rFonts w:hint="eastAsia" w:ascii="仿宋" w:hAnsi="仿宋" w:eastAsia="仿宋" w:cs="CESI仿宋-GB18030"/>
          <w:sz w:val="32"/>
          <w:szCs w:val="32"/>
        </w:rPr>
        <w:t>《全省司法所规范化建设评价标准》</w:t>
      </w:r>
      <w:r>
        <w:rPr>
          <w:rFonts w:ascii="仿宋" w:hAnsi="仿宋" w:eastAsia="仿宋" w:cs="宋体"/>
          <w:color w:val="010101"/>
          <w:kern w:val="0"/>
          <w:sz w:val="32"/>
          <w:szCs w:val="32"/>
        </w:rPr>
        <w:t>的要求，大力加强模范化、规范化司法所建设。</w:t>
      </w:r>
    </w:p>
    <w:p w14:paraId="34CD7D57">
      <w:pPr>
        <w:widowControl/>
        <w:spacing w:line="600" w:lineRule="exact"/>
        <w:ind w:firstLine="607"/>
        <w:jc w:val="left"/>
        <w:rPr>
          <w:rFonts w:ascii="仿宋" w:hAnsi="仿宋" w:eastAsia="仿宋"/>
          <w:kern w:val="0"/>
        </w:rPr>
      </w:pPr>
      <w:r>
        <w:rPr>
          <w:rFonts w:ascii="仿宋" w:hAnsi="仿宋" w:eastAsia="仿宋" w:cs="宋体"/>
          <w:color w:val="010101"/>
          <w:kern w:val="0"/>
          <w:sz w:val="32"/>
          <w:szCs w:val="32"/>
        </w:rPr>
        <w:t>2、进一步提升人民调解工作水平一是继续发扬“枫桥经验“，</w:t>
      </w:r>
      <w:r>
        <w:rPr>
          <w:rFonts w:hint="eastAsia" w:ascii="仿宋" w:hAnsi="仿宋" w:eastAsia="仿宋" w:cs="宋体"/>
          <w:color w:val="010101"/>
          <w:kern w:val="0"/>
          <w:sz w:val="32"/>
          <w:szCs w:val="32"/>
        </w:rPr>
        <w:t>把矛盾纠纷日常排查化解与两节两会、春耕生产活动结合起来，大力化解各类矛盾。</w:t>
      </w:r>
      <w:r>
        <w:rPr>
          <w:rFonts w:ascii="仿宋" w:hAnsi="仿宋" w:eastAsia="仿宋" w:cs="宋体"/>
          <w:color w:val="010101"/>
          <w:kern w:val="0"/>
          <w:sz w:val="32"/>
          <w:szCs w:val="32"/>
        </w:rPr>
        <w:t>加大与行政调解、司法调解的衔接配合力度，积极构建“大调解”格局。二是进一步规范了人民调解组织建设。在县级全面推进行业性、专业性人民调解委员会的建设</w:t>
      </w:r>
      <w:r>
        <w:rPr>
          <w:rFonts w:hint="eastAsia" w:ascii="仿宋" w:hAnsi="仿宋" w:eastAsia="仿宋" w:cs="宋体"/>
          <w:color w:val="010101"/>
          <w:kern w:val="0"/>
          <w:sz w:val="32"/>
          <w:szCs w:val="32"/>
        </w:rPr>
        <w:t>，</w:t>
      </w:r>
      <w:r>
        <w:rPr>
          <w:rFonts w:hint="eastAsia" w:ascii="仿宋" w:hAnsi="仿宋" w:eastAsia="仿宋" w:cs="CESI仿宋-GB18030"/>
          <w:sz w:val="32"/>
          <w:szCs w:val="32"/>
        </w:rPr>
        <w:t>努力推进人民调解服务优化营商环境工作，指导成立了溆浦县金融系统人民调解委员会（6月15日挂牌）、县物业纠纷人民调解委员会（8月18日挂牌）。</w:t>
      </w:r>
      <w:r>
        <w:rPr>
          <w:rFonts w:ascii="仿宋" w:hAnsi="仿宋" w:eastAsia="仿宋" w:cs="宋体"/>
          <w:color w:val="010101"/>
          <w:kern w:val="0"/>
          <w:sz w:val="32"/>
          <w:szCs w:val="32"/>
        </w:rPr>
        <w:t>现已设立各级人民调解组织</w:t>
      </w:r>
      <w:r>
        <w:rPr>
          <w:rFonts w:hint="eastAsia" w:ascii="仿宋" w:hAnsi="仿宋" w:eastAsia="仿宋" w:cs="宋体"/>
          <w:color w:val="010101"/>
          <w:kern w:val="0"/>
          <w:sz w:val="32"/>
          <w:szCs w:val="32"/>
        </w:rPr>
        <w:t>443</w:t>
      </w:r>
      <w:r>
        <w:rPr>
          <w:rFonts w:ascii="仿宋" w:hAnsi="仿宋" w:eastAsia="仿宋" w:cs="宋体"/>
          <w:color w:val="010101"/>
          <w:kern w:val="0"/>
          <w:sz w:val="32"/>
          <w:szCs w:val="32"/>
        </w:rPr>
        <w:t>个，人民调解员</w:t>
      </w:r>
      <w:r>
        <w:rPr>
          <w:rFonts w:hint="eastAsia" w:ascii="仿宋" w:hAnsi="仿宋" w:eastAsia="仿宋" w:cs="宋体"/>
          <w:color w:val="010101"/>
          <w:kern w:val="0"/>
          <w:sz w:val="32"/>
          <w:szCs w:val="32"/>
        </w:rPr>
        <w:t>1819</w:t>
      </w:r>
      <w:r>
        <w:rPr>
          <w:rFonts w:ascii="仿宋" w:hAnsi="仿宋" w:eastAsia="仿宋" w:cs="宋体"/>
          <w:color w:val="010101"/>
          <w:kern w:val="0"/>
          <w:sz w:val="32"/>
          <w:szCs w:val="32"/>
        </w:rPr>
        <w:t>名。三是不断探索建立多元化解矛盾纠纷的机制，在全县范围内推广试点经验，完善了五级调解网络。截止202</w:t>
      </w:r>
      <w:r>
        <w:rPr>
          <w:rFonts w:hint="eastAsia" w:ascii="仿宋" w:hAnsi="仿宋" w:eastAsia="仿宋" w:cs="宋体"/>
          <w:color w:val="010101"/>
          <w:kern w:val="0"/>
          <w:sz w:val="32"/>
          <w:szCs w:val="32"/>
        </w:rPr>
        <w:t>3</w:t>
      </w:r>
      <w:r>
        <w:rPr>
          <w:rFonts w:ascii="仿宋" w:hAnsi="仿宋" w:eastAsia="仿宋" w:cs="宋体"/>
          <w:color w:val="010101"/>
          <w:kern w:val="0"/>
          <w:sz w:val="32"/>
          <w:szCs w:val="32"/>
        </w:rPr>
        <w:t>年底，全年人民调解案件</w:t>
      </w:r>
      <w:r>
        <w:rPr>
          <w:rFonts w:hint="eastAsia" w:ascii="仿宋" w:hAnsi="仿宋" w:eastAsia="仿宋" w:cs="宋体"/>
          <w:color w:val="010101"/>
          <w:kern w:val="0"/>
          <w:sz w:val="32"/>
          <w:szCs w:val="32"/>
        </w:rPr>
        <w:t>4628</w:t>
      </w:r>
      <w:r>
        <w:rPr>
          <w:rFonts w:ascii="仿宋" w:hAnsi="仿宋" w:eastAsia="仿宋" w:cs="宋体"/>
          <w:color w:val="010101"/>
          <w:kern w:val="0"/>
          <w:sz w:val="32"/>
          <w:szCs w:val="32"/>
        </w:rPr>
        <w:t>件。</w:t>
      </w:r>
    </w:p>
    <w:p w14:paraId="3764FAEF">
      <w:pPr>
        <w:widowControl/>
        <w:spacing w:line="600" w:lineRule="exact"/>
        <w:ind w:firstLine="607"/>
        <w:jc w:val="left"/>
        <w:rPr>
          <w:rFonts w:ascii="仿宋" w:hAnsi="仿宋" w:eastAsia="仿宋"/>
          <w:kern w:val="0"/>
        </w:rPr>
      </w:pPr>
      <w:r>
        <w:rPr>
          <w:rFonts w:ascii="仿宋" w:hAnsi="仿宋" w:eastAsia="仿宋" w:cs="宋体"/>
          <w:color w:val="010101"/>
          <w:kern w:val="0"/>
          <w:sz w:val="32"/>
          <w:szCs w:val="32"/>
        </w:rPr>
        <w:t>3、进一步提升社区矫正工作水平。一是规范社区矫正中心运行。阅览室、档案室、矫治室、训诫室、宣告室、报到登记室、监控室等职能办公场所已全部配备到位。二是落实监管制度，确保安全底线。严格按照《社区矫正法》</w:t>
      </w:r>
      <w:r>
        <w:rPr>
          <w:rFonts w:hint="eastAsia" w:ascii="仿宋" w:hAnsi="仿宋" w:eastAsia="仿宋" w:cs="宋体"/>
          <w:color w:val="010101"/>
          <w:kern w:val="0"/>
          <w:sz w:val="32"/>
          <w:szCs w:val="32"/>
        </w:rPr>
        <w:t>，落实重点人员管控。落实对社区矫正对象和刑满释放人员的教育管控措施。1、加强社区矫正对象教育监管。</w:t>
      </w:r>
      <w:r>
        <w:rPr>
          <w:rFonts w:hint="eastAsia" w:ascii="仿宋_GB2312" w:hAnsi="仿宋_GB2312" w:eastAsia="仿宋_GB2312" w:cs="仿宋_GB2312"/>
          <w:color w:val="000000" w:themeColor="text1"/>
          <w:sz w:val="32"/>
          <w:szCs w:val="32"/>
          <w14:textFill>
            <w14:solidFill>
              <w14:schemeClr w14:val="tx1"/>
            </w14:solidFill>
          </w14:textFill>
        </w:rPr>
        <w:t>我县现有社区矫正对象291人，其中缓刑矫正对象275人，假释类矫正对象4人，暂予监外执行类矫正对象12人</w:t>
      </w:r>
      <w:r>
        <w:rPr>
          <w:rFonts w:hint="eastAsia" w:ascii="仿宋" w:hAnsi="仿宋" w:eastAsia="仿宋" w:cs="宋体"/>
          <w:color w:val="010101"/>
          <w:kern w:val="0"/>
          <w:sz w:val="32"/>
          <w:szCs w:val="32"/>
        </w:rPr>
        <w:t>。对所有在册社区矫正对象，特别是对涉黑涉恶、涉枪、涉毒类等重点矫正对象实行月度走访考核制，全方位排查监管安全隐患。</w:t>
      </w:r>
      <w:r>
        <w:rPr>
          <w:rFonts w:hint="eastAsia" w:ascii="仿宋_GB2312" w:hAnsi="仿宋_GB2312" w:eastAsia="仿宋_GB2312" w:cs="仿宋_GB2312"/>
          <w:color w:val="000000" w:themeColor="text1"/>
          <w:sz w:val="32"/>
          <w:szCs w:val="32"/>
          <w14:textFill>
            <w14:solidFill>
              <w14:schemeClr w14:val="tx1"/>
            </w14:solidFill>
          </w14:textFill>
        </w:rPr>
        <w:t>加强对未成年社区矫正对象的监管教育，强化纪律观念和法律意识</w:t>
      </w:r>
      <w:r>
        <w:rPr>
          <w:rFonts w:hint="eastAsia" w:ascii="仿宋" w:hAnsi="仿宋" w:eastAsia="仿宋" w:cs="宋体"/>
          <w:color w:val="010101"/>
          <w:kern w:val="0"/>
          <w:sz w:val="32"/>
          <w:szCs w:val="32"/>
        </w:rPr>
        <w:t>。2、</w:t>
      </w:r>
      <w:r>
        <w:rPr>
          <w:rFonts w:hint="eastAsia" w:ascii="仿宋_GB2312" w:hAnsi="仿宋_GB2312" w:eastAsia="仿宋_GB2312" w:cs="仿宋_GB2312"/>
          <w:color w:val="000000" w:themeColor="text1"/>
          <w:sz w:val="32"/>
          <w:szCs w:val="32"/>
          <w14:textFill>
            <w14:solidFill>
              <w14:schemeClr w14:val="tx1"/>
            </w14:solidFill>
          </w14:textFill>
        </w:rPr>
        <w:t>全县共有五年内刑满释放、三年内解除社区矫正的安置帮教对象2766人，其中重点对象232人，建档立卡做到百分百全覆盖。</w:t>
      </w:r>
      <w:r>
        <w:rPr>
          <w:rFonts w:hint="eastAsia" w:ascii="仿宋" w:hAnsi="仿宋" w:eastAsia="仿宋" w:cs="宋体"/>
          <w:color w:val="010101"/>
          <w:kern w:val="0"/>
          <w:sz w:val="32"/>
          <w:szCs w:val="32"/>
        </w:rPr>
        <w:t>在全县25各乡镇均安排专职工作人员做好对辖区内安置帮教对象的走访、教育、帮扶工作。针对不同情况制定相应帮扶措施，确保每一名安置帮教对象不发生影响社会稳定的事件。</w:t>
      </w:r>
      <w:r>
        <w:rPr>
          <w:rFonts w:ascii="仿宋" w:hAnsi="仿宋" w:eastAsia="仿宋" w:cs="宋体"/>
          <w:kern w:val="0"/>
          <w:sz w:val="32"/>
          <w:szCs w:val="32"/>
        </w:rPr>
        <w:t>202</w:t>
      </w:r>
      <w:r>
        <w:rPr>
          <w:rFonts w:hint="eastAsia" w:ascii="仿宋" w:hAnsi="仿宋" w:eastAsia="仿宋" w:cs="宋体"/>
          <w:kern w:val="0"/>
          <w:sz w:val="32"/>
          <w:szCs w:val="32"/>
        </w:rPr>
        <w:t>3</w:t>
      </w:r>
      <w:r>
        <w:rPr>
          <w:rFonts w:ascii="仿宋" w:hAnsi="仿宋" w:eastAsia="仿宋" w:cs="宋体"/>
          <w:kern w:val="0"/>
          <w:sz w:val="32"/>
          <w:szCs w:val="32"/>
        </w:rPr>
        <w:t>年</w:t>
      </w:r>
      <w:r>
        <w:rPr>
          <w:rFonts w:ascii="仿宋" w:hAnsi="仿宋" w:eastAsia="仿宋" w:cs="宋体"/>
          <w:color w:val="010101"/>
          <w:kern w:val="0"/>
          <w:sz w:val="32"/>
          <w:szCs w:val="32"/>
        </w:rPr>
        <w:t>，累计完成集中教育培训</w:t>
      </w:r>
      <w:r>
        <w:rPr>
          <w:rFonts w:hint="eastAsia" w:ascii="仿宋" w:hAnsi="仿宋" w:eastAsia="仿宋" w:cs="宋体"/>
          <w:color w:val="010101"/>
          <w:kern w:val="0"/>
          <w:sz w:val="32"/>
          <w:szCs w:val="32"/>
        </w:rPr>
        <w:t>169</w:t>
      </w:r>
      <w:r>
        <w:rPr>
          <w:rFonts w:ascii="仿宋" w:hAnsi="仿宋" w:eastAsia="仿宋" w:cs="宋体"/>
          <w:color w:val="010101"/>
          <w:kern w:val="0"/>
          <w:sz w:val="32"/>
          <w:szCs w:val="32"/>
        </w:rPr>
        <w:t>场次，社区服务</w:t>
      </w:r>
      <w:r>
        <w:rPr>
          <w:rFonts w:hint="eastAsia" w:ascii="仿宋" w:hAnsi="仿宋" w:eastAsia="仿宋" w:cs="宋体"/>
          <w:color w:val="010101"/>
          <w:kern w:val="0"/>
          <w:sz w:val="32"/>
          <w:szCs w:val="32"/>
        </w:rPr>
        <w:t>165</w:t>
      </w:r>
      <w:r>
        <w:rPr>
          <w:rFonts w:ascii="仿宋" w:hAnsi="仿宋" w:eastAsia="仿宋" w:cs="宋体"/>
          <w:color w:val="010101"/>
          <w:kern w:val="0"/>
          <w:sz w:val="32"/>
          <w:szCs w:val="32"/>
        </w:rPr>
        <w:t>场次，心理测量评估服务</w:t>
      </w:r>
      <w:r>
        <w:rPr>
          <w:rFonts w:hint="eastAsia" w:ascii="仿宋" w:hAnsi="仿宋" w:eastAsia="仿宋" w:cs="宋体"/>
          <w:color w:val="010101"/>
          <w:kern w:val="0"/>
          <w:sz w:val="32"/>
          <w:szCs w:val="32"/>
        </w:rPr>
        <w:t>268</w:t>
      </w:r>
      <w:r>
        <w:rPr>
          <w:rFonts w:ascii="仿宋" w:hAnsi="仿宋" w:eastAsia="仿宋" w:cs="宋体"/>
          <w:color w:val="010101"/>
          <w:kern w:val="0"/>
          <w:sz w:val="32"/>
          <w:szCs w:val="32"/>
        </w:rPr>
        <w:t>人次，团体心理辅导</w:t>
      </w:r>
      <w:r>
        <w:rPr>
          <w:rFonts w:hint="eastAsia" w:ascii="仿宋" w:hAnsi="仿宋" w:eastAsia="仿宋" w:cs="宋体"/>
          <w:color w:val="010101"/>
          <w:kern w:val="0"/>
          <w:sz w:val="32"/>
          <w:szCs w:val="32"/>
        </w:rPr>
        <w:t>9</w:t>
      </w:r>
      <w:r>
        <w:rPr>
          <w:rFonts w:ascii="仿宋" w:hAnsi="仿宋" w:eastAsia="仿宋" w:cs="宋体"/>
          <w:color w:val="010101"/>
          <w:kern w:val="0"/>
          <w:sz w:val="32"/>
          <w:szCs w:val="32"/>
        </w:rPr>
        <w:t>场次，个案心理咨询</w:t>
      </w:r>
      <w:r>
        <w:rPr>
          <w:rFonts w:hint="eastAsia" w:ascii="仿宋" w:hAnsi="仿宋" w:eastAsia="仿宋" w:cs="宋体"/>
          <w:color w:val="010101"/>
          <w:kern w:val="0"/>
          <w:sz w:val="32"/>
          <w:szCs w:val="32"/>
        </w:rPr>
        <w:t>26</w:t>
      </w:r>
      <w:r>
        <w:rPr>
          <w:rFonts w:ascii="仿宋" w:hAnsi="仿宋" w:eastAsia="仿宋" w:cs="宋体"/>
          <w:color w:val="010101"/>
          <w:kern w:val="0"/>
          <w:sz w:val="32"/>
          <w:szCs w:val="32"/>
        </w:rPr>
        <w:t>人次，</w:t>
      </w:r>
      <w:r>
        <w:rPr>
          <w:rFonts w:hint="eastAsia" w:ascii="仿宋" w:hAnsi="仿宋" w:eastAsia="仿宋" w:cs="宋体"/>
          <w:color w:val="010101"/>
          <w:kern w:val="0"/>
          <w:sz w:val="32"/>
          <w:szCs w:val="32"/>
        </w:rPr>
        <w:t>累计完成</w:t>
      </w:r>
      <w:r>
        <w:rPr>
          <w:rFonts w:ascii="仿宋" w:hAnsi="仿宋" w:eastAsia="仿宋" w:cs="宋体"/>
          <w:color w:val="010101"/>
          <w:kern w:val="0"/>
          <w:sz w:val="32"/>
          <w:szCs w:val="32"/>
        </w:rPr>
        <w:t>定位服务</w:t>
      </w:r>
      <w:r>
        <w:rPr>
          <w:rFonts w:hint="eastAsia" w:ascii="仿宋" w:hAnsi="仿宋" w:eastAsia="仿宋" w:cs="宋体"/>
          <w:color w:val="010101"/>
          <w:kern w:val="0"/>
          <w:sz w:val="32"/>
          <w:szCs w:val="32"/>
        </w:rPr>
        <w:t>2832</w:t>
      </w:r>
      <w:r>
        <w:rPr>
          <w:rFonts w:ascii="仿宋" w:hAnsi="仿宋" w:eastAsia="仿宋" w:cs="宋体"/>
          <w:color w:val="010101"/>
          <w:kern w:val="0"/>
          <w:sz w:val="32"/>
          <w:szCs w:val="32"/>
        </w:rPr>
        <w:t>人次。</w:t>
      </w:r>
    </w:p>
    <w:p w14:paraId="3EC77A52">
      <w:pPr>
        <w:pStyle w:val="4"/>
        <w:widowControl/>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 w:hAnsi="仿宋" w:eastAsia="仿宋" w:cs="宋体"/>
          <w:color w:val="010101"/>
          <w:sz w:val="32"/>
          <w:szCs w:val="32"/>
        </w:rPr>
        <w:t>4、全面推动法治宣传各项工作。</w:t>
      </w:r>
      <w:r>
        <w:rPr>
          <w:rFonts w:hint="eastAsia" w:ascii="仿宋_GB2312" w:hAnsi="仿宋_GB2312" w:eastAsia="仿宋_GB2312" w:cs="仿宋_GB2312"/>
          <w:b/>
          <w:bCs/>
          <w:color w:val="000000" w:themeColor="text1"/>
          <w:sz w:val="32"/>
          <w:szCs w:val="32"/>
          <w14:textFill>
            <w14:solidFill>
              <w14:schemeClr w14:val="tx1"/>
            </w14:solidFill>
          </w14:textFill>
        </w:rPr>
        <w:t>一是</w:t>
      </w:r>
      <w:r>
        <w:rPr>
          <w:rFonts w:hint="eastAsia" w:ascii="仿宋_GB2312" w:hAnsi="仿宋_GB2312" w:eastAsia="仿宋_GB2312" w:cs="仿宋_GB2312"/>
          <w:color w:val="000000" w:themeColor="text1"/>
          <w:sz w:val="32"/>
          <w:szCs w:val="32"/>
          <w14:textFill>
            <w14:solidFill>
              <w14:schemeClr w14:val="tx1"/>
            </w14:solidFill>
          </w14:textFill>
        </w:rPr>
        <w:t>贯彻落实“八五”普法工作，建立“谁执法谁普法”普法责任制，</w:t>
      </w:r>
      <w:r>
        <w:rPr>
          <w:rFonts w:hint="eastAsia" w:ascii="仿宋_GB2312" w:hAnsi="仿宋_GB2312" w:eastAsia="仿宋_GB2312" w:cs="仿宋_GB2312"/>
          <w:bCs/>
          <w:color w:val="000000" w:themeColor="text1"/>
          <w:sz w:val="32"/>
          <w:szCs w:val="32"/>
          <w14:textFill>
            <w14:solidFill>
              <w14:schemeClr w14:val="tx1"/>
            </w14:solidFill>
          </w14:textFill>
        </w:rPr>
        <w:t>扎实开展“八五”普法中期评估抽查，</w:t>
      </w:r>
      <w:r>
        <w:rPr>
          <w:rFonts w:hint="eastAsia" w:ascii="仿宋_GB2312" w:hAnsi="仿宋_GB2312" w:eastAsia="仿宋_GB2312" w:cs="仿宋_GB2312"/>
          <w:color w:val="000000" w:themeColor="text1"/>
          <w:sz w:val="32"/>
          <w:szCs w:val="32"/>
          <w14:textFill>
            <w14:solidFill>
              <w14:schemeClr w14:val="tx1"/>
            </w14:solidFill>
          </w14:textFill>
        </w:rPr>
        <w:t>开展各类送法下乡活动。组织开展春节、农村法治宣传教育月、大学生寒暑假送法下乡、未成年人保护等活动，发放各类宣传资料5.2万余份，部门开展普法宣传68场次。开展青少年法治宣传教育活动，发挥副校长职能作用，加强校园安全工作，共举办中小学法治课堂55余次，悬挂各类普法横幅110条。落实公益普法制度，与县融媒体中心合作开展公益普法。</w:t>
      </w:r>
      <w:r>
        <w:rPr>
          <w:rFonts w:hint="eastAsia" w:ascii="仿宋_GB2312" w:hAnsi="仿宋_GB2312" w:eastAsia="仿宋_GB2312" w:cs="仿宋_GB2312"/>
          <w:b/>
          <w:bCs/>
          <w:color w:val="000000" w:themeColor="text1"/>
          <w:sz w:val="32"/>
          <w:szCs w:val="32"/>
          <w14:textFill>
            <w14:solidFill>
              <w14:schemeClr w14:val="tx1"/>
            </w14:solidFill>
          </w14:textFill>
        </w:rPr>
        <w:t>二是</w:t>
      </w:r>
      <w:r>
        <w:rPr>
          <w:rFonts w:hint="eastAsia" w:ascii="仿宋_GB2312" w:hAnsi="仿宋_GB2312" w:eastAsia="仿宋_GB2312" w:cs="仿宋_GB2312"/>
          <w:color w:val="000000" w:themeColor="text1"/>
          <w:sz w:val="32"/>
          <w:szCs w:val="32"/>
          <w14:textFill>
            <w14:solidFill>
              <w14:schemeClr w14:val="tx1"/>
            </w14:solidFill>
          </w14:textFill>
        </w:rPr>
        <w:t>依法加强未成年人权益保护。紧紧围绕县委县政府重点工作，加强未成年人权益保护，通过开展心理疏导、法律援助等服务工作，为青少年健康成长提供坚强的“保护盾”，落实未成年人保护和预防青少年违法犯罪工作实效。</w:t>
      </w:r>
      <w:r>
        <w:rPr>
          <w:rFonts w:hint="eastAsia" w:ascii="仿宋_GB2312" w:hAnsi="仿宋_GB2312" w:eastAsia="仿宋_GB2312" w:cs="仿宋_GB2312"/>
          <w:b/>
          <w:bCs/>
          <w:color w:val="000000" w:themeColor="text1"/>
          <w:sz w:val="32"/>
          <w:szCs w:val="32"/>
          <w14:textFill>
            <w14:solidFill>
              <w14:schemeClr w14:val="tx1"/>
            </w14:solidFill>
          </w14:textFill>
        </w:rPr>
        <w:t>三是</w:t>
      </w:r>
      <w:r>
        <w:rPr>
          <w:rFonts w:hint="eastAsia" w:ascii="仿宋_GB2312" w:hAnsi="仿宋_GB2312" w:eastAsia="仿宋_GB2312" w:cs="仿宋_GB2312"/>
          <w:color w:val="000000" w:themeColor="text1"/>
          <w:sz w:val="32"/>
          <w:szCs w:val="32"/>
          <w14:textFill>
            <w14:solidFill>
              <w14:schemeClr w14:val="tx1"/>
            </w14:solidFill>
          </w14:textFill>
        </w:rPr>
        <w:t>推进多层次多领域依法治理。大力实施民主法治示范村（社区）创建、“法律明白人”培养，普法工作开展以来，共建成全国民主法治示范村3个，省级10个，培养“法律明白人”2076人。</w:t>
      </w:r>
    </w:p>
    <w:p w14:paraId="1A34FBC0">
      <w:pPr>
        <w:widowControl/>
        <w:spacing w:line="600" w:lineRule="exact"/>
        <w:ind w:firstLine="607"/>
        <w:jc w:val="left"/>
        <w:rPr>
          <w:rFonts w:ascii="仿宋" w:hAnsi="仿宋" w:eastAsia="仿宋"/>
          <w:kern w:val="0"/>
        </w:rPr>
      </w:pPr>
      <w:r>
        <w:rPr>
          <w:rFonts w:hint="eastAsia" w:ascii="仿宋" w:hAnsi="仿宋" w:eastAsia="仿宋" w:cs="宋体"/>
          <w:color w:val="010101"/>
          <w:kern w:val="0"/>
          <w:sz w:val="32"/>
          <w:szCs w:val="32"/>
        </w:rPr>
        <w:t>5</w:t>
      </w:r>
      <w:r>
        <w:rPr>
          <w:rFonts w:ascii="仿宋" w:hAnsi="仿宋" w:eastAsia="仿宋" w:cs="宋体"/>
          <w:color w:val="010101"/>
          <w:kern w:val="0"/>
          <w:sz w:val="32"/>
          <w:szCs w:val="32"/>
        </w:rPr>
        <w:t>、拓宽法律援助服务面。积极探索建立部门互动合作机制，打造好了三个法律援助品牌窗口（法院律师值班室、看守所法援工作站及公共法律服务中心便民窗口），降低法律援助申请经济困难标准，扩大法律援助范围。推进如法网运用，实现了法律援助服务全程网络化、均等化、普惠化，加强案件跟踪管理，提升援务公开率和案件回访率。目前已办理法律援助案件</w:t>
      </w:r>
      <w:r>
        <w:rPr>
          <w:rFonts w:hint="eastAsia" w:ascii="仿宋" w:hAnsi="仿宋" w:eastAsia="仿宋" w:cs="宋体"/>
          <w:color w:val="010101"/>
          <w:kern w:val="0"/>
          <w:sz w:val="32"/>
          <w:szCs w:val="32"/>
        </w:rPr>
        <w:t>626</w:t>
      </w:r>
      <w:r>
        <w:rPr>
          <w:rFonts w:ascii="仿宋" w:hAnsi="仿宋" w:eastAsia="仿宋" w:cs="宋体"/>
          <w:color w:val="010101"/>
          <w:kern w:val="0"/>
          <w:sz w:val="32"/>
          <w:szCs w:val="32"/>
        </w:rPr>
        <w:t>件，</w:t>
      </w:r>
      <w:r>
        <w:rPr>
          <w:rFonts w:ascii="仿宋" w:hAnsi="仿宋" w:eastAsia="仿宋" w:cs="宋体"/>
          <w:color w:val="333333"/>
          <w:kern w:val="0"/>
          <w:sz w:val="32"/>
          <w:szCs w:val="32"/>
        </w:rPr>
        <w:t>公共法律服务中心、涉法涉诉中心、律师值班室、公共法律服务工作站、点由律师及其他法律服务人员值班</w:t>
      </w:r>
      <w:r>
        <w:rPr>
          <w:rFonts w:hint="eastAsia" w:ascii="仿宋" w:hAnsi="仿宋" w:eastAsia="仿宋" w:cs="宋体"/>
          <w:color w:val="333333"/>
          <w:kern w:val="0"/>
          <w:sz w:val="32"/>
          <w:szCs w:val="32"/>
        </w:rPr>
        <w:t>4358人次。</w:t>
      </w:r>
      <w:r>
        <w:rPr>
          <w:rFonts w:ascii="仿宋" w:hAnsi="仿宋" w:eastAsia="仿宋" w:cs="宋体"/>
          <w:color w:val="010101"/>
          <w:kern w:val="0"/>
          <w:sz w:val="32"/>
          <w:szCs w:val="32"/>
        </w:rPr>
        <w:t>组织法律援助宣传及工作培训</w:t>
      </w:r>
      <w:r>
        <w:rPr>
          <w:rFonts w:hint="eastAsia" w:ascii="仿宋" w:hAnsi="仿宋" w:eastAsia="仿宋" w:cs="宋体"/>
          <w:color w:val="010101"/>
          <w:kern w:val="0"/>
          <w:sz w:val="32"/>
          <w:szCs w:val="32"/>
        </w:rPr>
        <w:t>19</w:t>
      </w:r>
      <w:r>
        <w:rPr>
          <w:rFonts w:ascii="仿宋" w:hAnsi="仿宋" w:eastAsia="仿宋" w:cs="宋体"/>
          <w:color w:val="010101"/>
          <w:kern w:val="0"/>
          <w:sz w:val="32"/>
          <w:szCs w:val="32"/>
        </w:rPr>
        <w:t>场次，接受法律咨询</w:t>
      </w:r>
      <w:r>
        <w:rPr>
          <w:rFonts w:hint="eastAsia" w:ascii="仿宋" w:hAnsi="仿宋" w:eastAsia="仿宋" w:cs="宋体"/>
          <w:color w:val="010101"/>
          <w:kern w:val="0"/>
          <w:sz w:val="32"/>
          <w:szCs w:val="32"/>
        </w:rPr>
        <w:t>1.8万</w:t>
      </w:r>
      <w:r>
        <w:rPr>
          <w:rFonts w:ascii="仿宋" w:hAnsi="仿宋" w:eastAsia="仿宋" w:cs="宋体"/>
          <w:color w:val="010101"/>
          <w:kern w:val="0"/>
          <w:sz w:val="32"/>
          <w:szCs w:val="32"/>
        </w:rPr>
        <w:t>人次，发放宣传资料</w:t>
      </w:r>
      <w:r>
        <w:rPr>
          <w:rFonts w:hint="eastAsia" w:ascii="仿宋" w:hAnsi="仿宋" w:eastAsia="仿宋" w:cs="宋体"/>
          <w:color w:val="010101"/>
          <w:kern w:val="0"/>
          <w:sz w:val="32"/>
          <w:szCs w:val="32"/>
        </w:rPr>
        <w:t>2.4万余</w:t>
      </w:r>
      <w:r>
        <w:rPr>
          <w:rFonts w:ascii="仿宋" w:hAnsi="仿宋" w:eastAsia="仿宋" w:cs="宋体"/>
          <w:color w:val="010101"/>
          <w:kern w:val="0"/>
          <w:sz w:val="32"/>
          <w:szCs w:val="32"/>
        </w:rPr>
        <w:t>份。</w:t>
      </w:r>
    </w:p>
    <w:p w14:paraId="0BE0FF6D">
      <w:pPr>
        <w:widowControl/>
        <w:spacing w:line="600" w:lineRule="exact"/>
        <w:ind w:firstLine="607"/>
        <w:jc w:val="left"/>
        <w:rPr>
          <w:rFonts w:ascii="仿宋" w:hAnsi="仿宋" w:eastAsia="仿宋"/>
          <w:kern w:val="0"/>
        </w:rPr>
      </w:pPr>
      <w:r>
        <w:rPr>
          <w:rFonts w:hint="eastAsia" w:ascii="仿宋" w:hAnsi="仿宋" w:eastAsia="仿宋" w:cs="宋体"/>
          <w:color w:val="010101"/>
          <w:kern w:val="0"/>
          <w:sz w:val="32"/>
          <w:szCs w:val="32"/>
        </w:rPr>
        <w:t>6</w:t>
      </w:r>
      <w:r>
        <w:rPr>
          <w:rFonts w:ascii="仿宋" w:hAnsi="仿宋" w:eastAsia="仿宋" w:cs="宋体"/>
          <w:color w:val="010101"/>
          <w:kern w:val="0"/>
          <w:sz w:val="32"/>
          <w:szCs w:val="32"/>
        </w:rPr>
        <w:t>、不断健全律师公证工作。一是</w:t>
      </w:r>
      <w:r>
        <w:rPr>
          <w:rFonts w:hint="eastAsia" w:ascii="仿宋" w:hAnsi="仿宋" w:eastAsia="仿宋" w:cs="宋体"/>
          <w:color w:val="010101"/>
          <w:kern w:val="0"/>
          <w:sz w:val="32"/>
          <w:szCs w:val="32"/>
        </w:rPr>
        <w:t>规范</w:t>
      </w:r>
      <w:r>
        <w:rPr>
          <w:rFonts w:ascii="仿宋" w:hAnsi="仿宋" w:eastAsia="仿宋" w:cs="宋体"/>
          <w:color w:val="010101"/>
          <w:kern w:val="0"/>
          <w:sz w:val="32"/>
          <w:szCs w:val="32"/>
        </w:rPr>
        <w:t>公证工作。我县公证处为自收自支、独立承担民事责任的事业单位法人，办理公证案件</w:t>
      </w:r>
      <w:r>
        <w:rPr>
          <w:rFonts w:hint="eastAsia" w:ascii="仿宋" w:hAnsi="仿宋" w:eastAsia="仿宋" w:cs="宋体"/>
          <w:color w:val="010101"/>
          <w:kern w:val="0"/>
          <w:sz w:val="32"/>
          <w:szCs w:val="32"/>
        </w:rPr>
        <w:t>907</w:t>
      </w:r>
      <w:r>
        <w:rPr>
          <w:rFonts w:ascii="仿宋" w:hAnsi="仿宋" w:eastAsia="仿宋" w:cs="宋体"/>
          <w:color w:val="010101"/>
          <w:kern w:val="0"/>
          <w:sz w:val="32"/>
          <w:szCs w:val="32"/>
        </w:rPr>
        <w:t>件。二是进一步规范了律师执业管理。我们对律师工作实行目标考核，规范律师执业行为，强化律师执业教育，加强了律师值班管理。</w:t>
      </w:r>
      <w:r>
        <w:rPr>
          <w:rFonts w:hint="eastAsia" w:ascii="仿宋" w:hAnsi="仿宋" w:eastAsia="仿宋" w:cs="宋体"/>
          <w:color w:val="010101"/>
          <w:kern w:val="0"/>
          <w:sz w:val="32"/>
          <w:szCs w:val="32"/>
        </w:rPr>
        <w:t>全县各律所对县城重点企业进行“法律体检”，出具法律意见，帮助企业化解风险</w:t>
      </w:r>
      <w:r>
        <w:rPr>
          <w:rFonts w:ascii="仿宋" w:hAnsi="仿宋" w:eastAsia="仿宋" w:cs="宋体"/>
          <w:color w:val="010101"/>
          <w:kern w:val="0"/>
          <w:sz w:val="32"/>
          <w:szCs w:val="32"/>
        </w:rPr>
        <w:t>。</w:t>
      </w:r>
    </w:p>
    <w:p w14:paraId="78E5056E">
      <w:pPr>
        <w:widowControl/>
        <w:spacing w:line="600" w:lineRule="exact"/>
        <w:ind w:firstLine="607"/>
        <w:jc w:val="left"/>
        <w:rPr>
          <w:rFonts w:ascii="仿宋" w:hAnsi="仿宋" w:eastAsia="仿宋"/>
          <w:kern w:val="0"/>
        </w:rPr>
      </w:pPr>
      <w:r>
        <w:rPr>
          <w:rFonts w:hint="eastAsia" w:ascii="仿宋" w:hAnsi="仿宋" w:eastAsia="仿宋" w:cs="宋体"/>
          <w:color w:val="010101"/>
          <w:kern w:val="0"/>
          <w:sz w:val="32"/>
          <w:szCs w:val="32"/>
        </w:rPr>
        <w:t>7</w:t>
      </w:r>
      <w:r>
        <w:rPr>
          <w:rFonts w:ascii="仿宋" w:hAnsi="仿宋" w:eastAsia="仿宋" w:cs="宋体"/>
          <w:color w:val="010101"/>
          <w:kern w:val="0"/>
          <w:sz w:val="32"/>
          <w:szCs w:val="32"/>
        </w:rPr>
        <w:t>、大力推进政府购买社会服务。采取购买社会服务的方式，购买了4</w:t>
      </w:r>
      <w:r>
        <w:rPr>
          <w:rFonts w:hint="eastAsia" w:ascii="仿宋" w:hAnsi="仿宋" w:eastAsia="仿宋" w:cs="宋体"/>
          <w:color w:val="010101"/>
          <w:kern w:val="0"/>
          <w:sz w:val="32"/>
          <w:szCs w:val="32"/>
        </w:rPr>
        <w:t>8</w:t>
      </w:r>
      <w:r>
        <w:rPr>
          <w:rFonts w:ascii="仿宋" w:hAnsi="仿宋" w:eastAsia="仿宋" w:cs="宋体"/>
          <w:color w:val="010101"/>
          <w:kern w:val="0"/>
          <w:sz w:val="32"/>
          <w:szCs w:val="32"/>
        </w:rPr>
        <w:t>个人民调解服务岗位，分派至</w:t>
      </w:r>
      <w:r>
        <w:rPr>
          <w:rFonts w:hint="eastAsia" w:ascii="仿宋" w:hAnsi="仿宋" w:eastAsia="仿宋" w:cs="宋体"/>
          <w:color w:val="010101"/>
          <w:kern w:val="0"/>
          <w:sz w:val="32"/>
          <w:szCs w:val="32"/>
        </w:rPr>
        <w:t>各</w:t>
      </w:r>
      <w:r>
        <w:rPr>
          <w:rFonts w:ascii="仿宋" w:hAnsi="仿宋" w:eastAsia="仿宋" w:cs="宋体"/>
          <w:color w:val="010101"/>
          <w:kern w:val="0"/>
          <w:sz w:val="32"/>
          <w:szCs w:val="32"/>
        </w:rPr>
        <w:t>个基层派出所和道路交通事故、医疗纠纷</w:t>
      </w:r>
      <w:r>
        <w:rPr>
          <w:rFonts w:hint="eastAsia" w:ascii="仿宋" w:hAnsi="仿宋" w:eastAsia="仿宋" w:cs="宋体"/>
          <w:color w:val="010101"/>
          <w:kern w:val="0"/>
          <w:sz w:val="32"/>
          <w:szCs w:val="32"/>
        </w:rPr>
        <w:t>、婚姻家庭纠纷、劳动争议、旅游纠纷8</w:t>
      </w:r>
      <w:r>
        <w:rPr>
          <w:rFonts w:ascii="仿宋" w:hAnsi="仿宋" w:eastAsia="仿宋" w:cs="宋体"/>
          <w:color w:val="010101"/>
          <w:kern w:val="0"/>
          <w:sz w:val="32"/>
          <w:szCs w:val="32"/>
        </w:rPr>
        <w:t>个专业性、行业性人民调解委员会。</w:t>
      </w:r>
      <w:r>
        <w:rPr>
          <w:rFonts w:hint="eastAsia" w:ascii="仿宋" w:hAnsi="仿宋" w:eastAsia="仿宋" w:cs="宋体"/>
          <w:color w:val="010101"/>
          <w:kern w:val="0"/>
          <w:sz w:val="32"/>
          <w:szCs w:val="32"/>
        </w:rPr>
        <w:t>2023年</w:t>
      </w:r>
      <w:r>
        <w:rPr>
          <w:rFonts w:ascii="仿宋" w:hAnsi="仿宋" w:eastAsia="仿宋" w:cs="宋体"/>
          <w:color w:val="010101"/>
          <w:kern w:val="0"/>
          <w:sz w:val="32"/>
          <w:szCs w:val="32"/>
        </w:rPr>
        <w:t>已调</w:t>
      </w:r>
      <w:r>
        <w:rPr>
          <w:rFonts w:hint="eastAsia" w:ascii="仿宋" w:hAnsi="仿宋" w:eastAsia="仿宋" w:cs="宋体"/>
          <w:color w:val="010101"/>
          <w:kern w:val="0"/>
          <w:sz w:val="32"/>
          <w:szCs w:val="32"/>
        </w:rPr>
        <w:t>解案件4628件，社会效果良好。通过公开招投标，我们与湖南德馨社会工作服务中心签订了购买社区矫正服务合同，由该中心进行了</w:t>
      </w:r>
      <w:r>
        <w:rPr>
          <w:rFonts w:ascii="仿宋" w:hAnsi="仿宋" w:eastAsia="仿宋" w:cs="宋体"/>
          <w:color w:val="010101"/>
          <w:kern w:val="0"/>
          <w:sz w:val="32"/>
          <w:szCs w:val="32"/>
        </w:rPr>
        <w:t>全县社区</w:t>
      </w:r>
      <w:r>
        <w:rPr>
          <w:rFonts w:hint="eastAsia" w:ascii="仿宋" w:hAnsi="仿宋" w:eastAsia="仿宋" w:cs="宋体"/>
          <w:color w:val="010101"/>
          <w:kern w:val="0"/>
          <w:sz w:val="32"/>
          <w:szCs w:val="32"/>
        </w:rPr>
        <w:t>矫正对象</w:t>
      </w:r>
      <w:r>
        <w:rPr>
          <w:rFonts w:ascii="仿宋" w:hAnsi="仿宋" w:eastAsia="仿宋" w:cs="宋体"/>
          <w:color w:val="010101"/>
          <w:kern w:val="0"/>
          <w:sz w:val="32"/>
          <w:szCs w:val="32"/>
        </w:rPr>
        <w:t>的教育学习、社区劳动、走访调查、定位监控、心理咨询与矫治等方面的社会服务</w:t>
      </w:r>
      <w:r>
        <w:rPr>
          <w:rFonts w:hint="eastAsia" w:ascii="仿宋" w:hAnsi="仿宋" w:eastAsia="仿宋" w:cs="宋体"/>
          <w:color w:val="010101"/>
          <w:kern w:val="0"/>
          <w:sz w:val="32"/>
          <w:szCs w:val="32"/>
        </w:rPr>
        <w:t>。</w:t>
      </w:r>
      <w:r>
        <w:rPr>
          <w:rFonts w:ascii="仿宋" w:hAnsi="仿宋" w:eastAsia="仿宋" w:cs="宋体"/>
          <w:color w:val="010101"/>
          <w:kern w:val="0"/>
          <w:sz w:val="32"/>
          <w:szCs w:val="32"/>
        </w:rPr>
        <w:t>二是积极落实人民调解“以奖代补”政策。将人民调解委员会调处的矛盾纠纷分为</w:t>
      </w:r>
      <w:r>
        <w:rPr>
          <w:rFonts w:hint="eastAsia" w:ascii="仿宋" w:hAnsi="仿宋" w:eastAsia="仿宋" w:cs="宋体"/>
          <w:color w:val="010101"/>
          <w:kern w:val="0"/>
          <w:sz w:val="32"/>
          <w:szCs w:val="32"/>
        </w:rPr>
        <w:t>简单纠纷、</w:t>
      </w:r>
      <w:r>
        <w:rPr>
          <w:rFonts w:ascii="仿宋" w:hAnsi="仿宋" w:eastAsia="仿宋" w:cs="宋体"/>
          <w:color w:val="010101"/>
          <w:kern w:val="0"/>
          <w:sz w:val="32"/>
          <w:szCs w:val="32"/>
        </w:rPr>
        <w:t>一般矛盾纠纷、复杂疑难矛盾纠纷和重大矛盾纠纷</w:t>
      </w:r>
      <w:r>
        <w:rPr>
          <w:rFonts w:hint="eastAsia" w:ascii="仿宋" w:hAnsi="仿宋" w:eastAsia="仿宋" w:cs="宋体"/>
          <w:color w:val="010101"/>
          <w:kern w:val="0"/>
          <w:sz w:val="32"/>
          <w:szCs w:val="32"/>
        </w:rPr>
        <w:t>四</w:t>
      </w:r>
      <w:r>
        <w:rPr>
          <w:rFonts w:ascii="仿宋" w:hAnsi="仿宋" w:eastAsia="仿宋" w:cs="宋体"/>
          <w:color w:val="010101"/>
          <w:kern w:val="0"/>
          <w:sz w:val="32"/>
          <w:szCs w:val="32"/>
        </w:rPr>
        <w:t>类，按</w:t>
      </w:r>
      <w:r>
        <w:rPr>
          <w:rFonts w:hint="eastAsia" w:ascii="仿宋" w:hAnsi="仿宋" w:eastAsia="仿宋" w:cs="宋体"/>
          <w:color w:val="010101"/>
          <w:kern w:val="0"/>
          <w:sz w:val="32"/>
          <w:szCs w:val="32"/>
        </w:rPr>
        <w:t>50元/件、</w:t>
      </w:r>
      <w:r>
        <w:rPr>
          <w:rFonts w:ascii="仿宋" w:hAnsi="仿宋" w:eastAsia="仿宋" w:cs="宋体"/>
          <w:color w:val="010101"/>
          <w:kern w:val="0"/>
          <w:sz w:val="32"/>
          <w:szCs w:val="32"/>
        </w:rPr>
        <w:t>100元/件、200元/件、500元/件的标准发放奖励，破解了人民调解资金短缺难题。</w:t>
      </w:r>
    </w:p>
    <w:p w14:paraId="65A80EA9">
      <w:pPr>
        <w:spacing w:line="600" w:lineRule="exact"/>
        <w:ind w:firstLine="640" w:firstLineChars="200"/>
        <w:rPr>
          <w:rFonts w:ascii="仿宋" w:hAnsi="仿宋" w:eastAsia="仿宋"/>
          <w:sz w:val="32"/>
          <w:szCs w:val="32"/>
        </w:rPr>
      </w:pPr>
      <w:r>
        <w:rPr>
          <w:rFonts w:hint="eastAsia" w:ascii="仿宋" w:hAnsi="仿宋" w:eastAsia="仿宋" w:cs="宋体"/>
          <w:color w:val="010101"/>
          <w:kern w:val="0"/>
          <w:sz w:val="32"/>
          <w:szCs w:val="32"/>
        </w:rPr>
        <w:t>8</w:t>
      </w:r>
      <w:r>
        <w:rPr>
          <w:rFonts w:ascii="仿宋" w:hAnsi="仿宋" w:eastAsia="仿宋" w:cs="宋体"/>
          <w:color w:val="010101"/>
          <w:kern w:val="0"/>
          <w:sz w:val="32"/>
          <w:szCs w:val="32"/>
        </w:rPr>
        <w:t>、全面规范行政执法行为。</w:t>
      </w:r>
      <w:r>
        <w:rPr>
          <w:rFonts w:hint="eastAsia" w:ascii="仿宋" w:hAnsi="仿宋" w:eastAsia="仿宋" w:cs="仿宋"/>
          <w:color w:val="000000" w:themeColor="text1"/>
          <w:sz w:val="32"/>
          <w:szCs w:val="32"/>
          <w14:textFill>
            <w14:solidFill>
              <w14:schemeClr w14:val="tx1"/>
            </w14:solidFill>
          </w14:textFill>
        </w:rPr>
        <w:t>严把规范性文件合法性审查关，确保规范性文件质量，2023年我局共合法性审查上报规范性文件5件，审查通过并备案4件。今年共组织两批次行政执法人员参加行政执法资格考试，共有470人通过行政执法资格考试，取得行政执法证。2023年8月，对全县12个</w:t>
      </w:r>
      <w:r>
        <w:rPr>
          <w:rFonts w:hint="eastAsia" w:ascii="仿宋" w:hAnsi="仿宋" w:eastAsia="仿宋" w:cs="仿宋"/>
          <w:color w:val="000000" w:themeColor="text1"/>
          <w:spacing w:val="8"/>
          <w:sz w:val="32"/>
          <w:szCs w:val="32"/>
          <w:shd w:val="clear" w:color="auto" w:fill="FFFFFF"/>
          <w14:textFill>
            <w14:solidFill>
              <w14:schemeClr w14:val="tx1"/>
            </w14:solidFill>
          </w14:textFill>
        </w:rPr>
        <w:t>乡镇、24个县直行政机关进行了法治督察，</w:t>
      </w:r>
      <w:r>
        <w:rPr>
          <w:rFonts w:hint="eastAsia" w:ascii="仿宋" w:hAnsi="仿宋" w:eastAsia="仿宋" w:cs="仿宋"/>
          <w:color w:val="000000" w:themeColor="text1"/>
          <w:sz w:val="32"/>
          <w:szCs w:val="32"/>
          <w:shd w:val="clear" w:color="auto" w:fill="FFFFFF"/>
          <w14:textFill>
            <w14:solidFill>
              <w14:schemeClr w14:val="tx1"/>
            </w14:solidFill>
          </w14:textFill>
        </w:rPr>
        <w:t>重点围绕党政主要负责人履行法治建设第一责任人职责、</w:t>
      </w:r>
      <w:r>
        <w:rPr>
          <w:rFonts w:hint="eastAsia" w:ascii="仿宋" w:hAnsi="仿宋" w:eastAsia="仿宋" w:cs="仿宋"/>
          <w:color w:val="000000" w:themeColor="text1"/>
          <w:kern w:val="0"/>
          <w:sz w:val="32"/>
          <w:szCs w:val="32"/>
          <w:shd w:val="clear" w:color="auto" w:fill="FFFFFF"/>
          <w:lang w:bidi="ar"/>
          <w14:textFill>
            <w14:solidFill>
              <w14:schemeClr w14:val="tx1"/>
            </w14:solidFill>
          </w14:textFill>
        </w:rPr>
        <w:t>行政执法“三项制度”</w:t>
      </w:r>
      <w:r>
        <w:rPr>
          <w:rFonts w:hint="eastAsia" w:ascii="仿宋" w:hAnsi="仿宋" w:eastAsia="仿宋" w:cs="仿宋"/>
          <w:color w:val="000000" w:themeColor="text1"/>
          <w:sz w:val="32"/>
          <w:szCs w:val="32"/>
          <w:shd w:val="clear" w:color="auto" w:fill="FFFFFF"/>
          <w14:textFill>
            <w14:solidFill>
              <w14:schemeClr w14:val="tx1"/>
            </w14:solidFill>
          </w14:textFill>
        </w:rPr>
        <w:t>、法治化营商环境等方面进行重点督察。</w:t>
      </w:r>
      <w:r>
        <w:rPr>
          <w:rFonts w:hint="eastAsia" w:ascii="仿宋" w:hAnsi="仿宋" w:eastAsia="仿宋" w:cs="仿宋"/>
          <w:color w:val="000000" w:themeColor="text1"/>
          <w:spacing w:val="8"/>
          <w:sz w:val="32"/>
          <w:szCs w:val="32"/>
          <w:shd w:val="clear" w:color="auto" w:fill="FFFFFF"/>
          <w14:textFill>
            <w14:solidFill>
              <w14:schemeClr w14:val="tx1"/>
            </w14:solidFill>
          </w14:textFill>
        </w:rPr>
        <w:t>2023年9月，对县市监局、自然资源局、公安局等13个行政执法机关的行政执法案卷进行评查。</w:t>
      </w:r>
    </w:p>
    <w:p w14:paraId="4DD3C083">
      <w:pPr>
        <w:pStyle w:val="4"/>
        <w:widowControl/>
        <w:spacing w:line="60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 w:hAnsi="仿宋" w:eastAsia="仿宋" w:cs="宋体"/>
          <w:color w:val="010101"/>
          <w:sz w:val="32"/>
          <w:szCs w:val="32"/>
        </w:rPr>
        <w:t>9、</w:t>
      </w:r>
      <w:r>
        <w:rPr>
          <w:rFonts w:hint="eastAsia" w:ascii="仿宋_GB2312" w:hAnsi="仿宋_GB2312" w:eastAsia="仿宋_GB2312" w:cs="仿宋_GB2312"/>
          <w:color w:val="000000" w:themeColor="text1"/>
          <w:sz w:val="32"/>
          <w:szCs w:val="32"/>
          <w14:textFill>
            <w14:solidFill>
              <w14:schemeClr w14:val="tx1"/>
            </w14:solidFill>
          </w14:textFill>
        </w:rPr>
        <w:t>全面推进行政复议规范化建设。2023年，全县共受理行政复议案件35件；办理行政应诉案件47件，行政应诉案件均按程序进行了答辩和负责人出庭应诉；行政答复案件10件。加大预防和化解行政争议力度，助推了政府依法执政。今年9月7日，我局同怀化铁路运输法院、怀化铁路运输检察院三方签订《关于协同推进溆浦县行政争议诉源治理、实质性化解工作方案》，并在我局挂牌成立怀化铁路运输法院行政争议协调中心驻溆浦县工作站。</w:t>
      </w:r>
    </w:p>
    <w:p w14:paraId="79D14021">
      <w:pPr>
        <w:widowControl/>
        <w:spacing w:line="600" w:lineRule="exact"/>
        <w:ind w:firstLine="607"/>
        <w:jc w:val="left"/>
        <w:rPr>
          <w:rFonts w:ascii="仿宋" w:hAnsi="仿宋" w:eastAsia="仿宋"/>
          <w:b/>
          <w:bCs/>
          <w:kern w:val="0"/>
        </w:rPr>
      </w:pPr>
      <w:r>
        <w:rPr>
          <w:rFonts w:ascii="仿宋" w:hAnsi="仿宋" w:eastAsia="仿宋" w:cs="宋体"/>
          <w:b/>
          <w:bCs/>
          <w:color w:val="010101"/>
          <w:kern w:val="0"/>
          <w:sz w:val="32"/>
          <w:szCs w:val="32"/>
        </w:rPr>
        <w:t>（四）社会公众满意度评价</w:t>
      </w:r>
    </w:p>
    <w:p w14:paraId="6ED2D362">
      <w:pPr>
        <w:spacing w:line="600" w:lineRule="exact"/>
        <w:ind w:firstLine="607"/>
        <w:rPr>
          <w:rFonts w:ascii="仿宋" w:hAnsi="仿宋" w:eastAsia="仿宋"/>
          <w:kern w:val="0"/>
        </w:rPr>
      </w:pPr>
      <w:r>
        <w:rPr>
          <w:rFonts w:ascii="仿宋" w:hAnsi="仿宋" w:eastAsia="仿宋" w:cs="宋体"/>
          <w:color w:val="010101"/>
          <w:kern w:val="0"/>
          <w:sz w:val="32"/>
          <w:szCs w:val="32"/>
        </w:rPr>
        <w:t>通过各项工作的开展，</w:t>
      </w:r>
      <w:r>
        <w:rPr>
          <w:rFonts w:hint="eastAsia" w:ascii="仿宋" w:hAnsi="仿宋" w:eastAsia="仿宋" w:cs="宋体"/>
          <w:color w:val="010101"/>
          <w:kern w:val="0"/>
          <w:sz w:val="32"/>
          <w:szCs w:val="32"/>
        </w:rPr>
        <w:t>全县</w:t>
      </w:r>
      <w:r>
        <w:rPr>
          <w:rFonts w:ascii="仿宋" w:hAnsi="仿宋" w:eastAsia="仿宋" w:cs="宋体"/>
          <w:color w:val="010101"/>
          <w:kern w:val="0"/>
          <w:sz w:val="32"/>
          <w:szCs w:val="32"/>
        </w:rPr>
        <w:t>法治环境逐步优化，社会公众的法</w:t>
      </w:r>
      <w:r>
        <w:rPr>
          <w:rFonts w:hint="eastAsia" w:ascii="仿宋" w:hAnsi="仿宋" w:eastAsia="仿宋" w:cs="宋体"/>
          <w:color w:val="010101"/>
          <w:kern w:val="0"/>
          <w:sz w:val="32"/>
          <w:szCs w:val="32"/>
        </w:rPr>
        <w:t>治</w:t>
      </w:r>
      <w:r>
        <w:rPr>
          <w:rFonts w:ascii="仿宋" w:hAnsi="仿宋" w:eastAsia="仿宋" w:cs="宋体"/>
          <w:color w:val="010101"/>
          <w:kern w:val="0"/>
          <w:sz w:val="32"/>
          <w:szCs w:val="32"/>
        </w:rPr>
        <w:t>观念得到加强，社会的安定团结得到保障，社会公众的满意度得到了提高。</w:t>
      </w:r>
    </w:p>
    <w:p w14:paraId="6FFB02ED">
      <w:pPr>
        <w:spacing w:line="600" w:lineRule="exact"/>
        <w:ind w:firstLine="609"/>
        <w:rPr>
          <w:rFonts w:ascii="仿宋" w:hAnsi="仿宋"/>
          <w:kern w:val="0"/>
        </w:rPr>
      </w:pPr>
      <w:r>
        <w:rPr>
          <w:rFonts w:hint="eastAsia" w:ascii="仿宋" w:hAnsi="仿宋" w:cs="宋体"/>
          <w:b/>
          <w:bCs/>
          <w:color w:val="010101"/>
          <w:kern w:val="0"/>
          <w:sz w:val="32"/>
          <w:szCs w:val="32"/>
        </w:rPr>
        <w:t>八</w:t>
      </w:r>
      <w:r>
        <w:rPr>
          <w:rFonts w:ascii="仿宋" w:hAnsi="仿宋" w:cs="宋体"/>
          <w:b/>
          <w:bCs/>
          <w:color w:val="010101"/>
          <w:kern w:val="0"/>
          <w:sz w:val="32"/>
          <w:szCs w:val="32"/>
        </w:rPr>
        <w:t>、存在的主要问题</w:t>
      </w:r>
    </w:p>
    <w:p w14:paraId="3EF8D8E1">
      <w:pPr>
        <w:spacing w:line="600" w:lineRule="exact"/>
        <w:ind w:firstLine="446"/>
        <w:rPr>
          <w:rFonts w:ascii="仿宋" w:hAnsi="仿宋" w:eastAsia="仿宋"/>
          <w:kern w:val="0"/>
        </w:rPr>
      </w:pPr>
      <w:r>
        <w:rPr>
          <w:rFonts w:hint="eastAsia" w:ascii="仿宋" w:hAnsi="仿宋" w:eastAsia="仿宋" w:cs="宋体"/>
          <w:color w:val="010101"/>
          <w:kern w:val="0"/>
          <w:sz w:val="32"/>
          <w:szCs w:val="32"/>
        </w:rPr>
        <w:t>1</w:t>
      </w:r>
      <w:r>
        <w:rPr>
          <w:rFonts w:ascii="仿宋" w:hAnsi="仿宋" w:eastAsia="仿宋" w:cs="宋体"/>
          <w:color w:val="010101"/>
          <w:kern w:val="0"/>
          <w:sz w:val="32"/>
          <w:szCs w:val="32"/>
        </w:rPr>
        <w:t>、经费保障不够。在经费保障上，202</w:t>
      </w:r>
      <w:r>
        <w:rPr>
          <w:rFonts w:hint="eastAsia" w:ascii="仿宋" w:hAnsi="仿宋" w:eastAsia="仿宋" w:cs="宋体"/>
          <w:color w:val="010101"/>
          <w:kern w:val="0"/>
          <w:sz w:val="32"/>
          <w:szCs w:val="32"/>
        </w:rPr>
        <w:t>3</w:t>
      </w:r>
      <w:r>
        <w:rPr>
          <w:rFonts w:ascii="仿宋" w:hAnsi="仿宋" w:eastAsia="仿宋" w:cs="宋体"/>
          <w:color w:val="010101"/>
          <w:kern w:val="0"/>
          <w:sz w:val="32"/>
          <w:szCs w:val="32"/>
        </w:rPr>
        <w:t>年司法行政人均工作经费和大部分人员经费一共只有</w:t>
      </w:r>
      <w:r>
        <w:rPr>
          <w:rFonts w:hint="eastAsia" w:ascii="仿宋" w:hAnsi="仿宋" w:eastAsia="仿宋" w:cs="宋体"/>
          <w:color w:val="010101"/>
          <w:kern w:val="0"/>
          <w:sz w:val="32"/>
          <w:szCs w:val="32"/>
        </w:rPr>
        <w:t>2.4</w:t>
      </w:r>
      <w:r>
        <w:rPr>
          <w:rFonts w:ascii="仿宋" w:hAnsi="仿宋" w:eastAsia="仿宋" w:cs="宋体"/>
          <w:color w:val="010101"/>
          <w:kern w:val="0"/>
          <w:sz w:val="32"/>
          <w:szCs w:val="32"/>
        </w:rPr>
        <w:t>万元。随着司法行政职能的增多和细化，工作经费难以保障所有工作。</w:t>
      </w:r>
    </w:p>
    <w:p w14:paraId="4DE677C6">
      <w:pPr>
        <w:widowControl/>
        <w:spacing w:line="600" w:lineRule="exact"/>
        <w:ind w:firstLine="607"/>
        <w:jc w:val="left"/>
        <w:rPr>
          <w:rFonts w:ascii="仿宋" w:hAnsi="仿宋" w:eastAsia="仿宋"/>
          <w:kern w:val="0"/>
        </w:rPr>
      </w:pPr>
      <w:r>
        <w:rPr>
          <w:rFonts w:hint="eastAsia" w:ascii="仿宋" w:hAnsi="仿宋" w:eastAsia="仿宋" w:cs="宋体"/>
          <w:color w:val="010101"/>
          <w:kern w:val="0"/>
          <w:sz w:val="32"/>
          <w:szCs w:val="32"/>
        </w:rPr>
        <w:t>2</w:t>
      </w:r>
      <w:r>
        <w:rPr>
          <w:rFonts w:ascii="仿宋" w:hAnsi="仿宋" w:eastAsia="仿宋" w:cs="宋体"/>
          <w:color w:val="010101"/>
          <w:kern w:val="0"/>
          <w:sz w:val="32"/>
          <w:szCs w:val="32"/>
        </w:rPr>
        <w:t>、业务上还存在不足。基层工作人员少，专业人才缺乏；职能部门间缺乏合力，衔接不紧密，特殊人群管控工作有待创新发展；基层法律服务队伍人员素质参差不齐，社会责任意识不强；法律服务民众的作用有待进一步加强。</w:t>
      </w:r>
    </w:p>
    <w:p w14:paraId="6D9101DA">
      <w:pPr>
        <w:spacing w:line="600" w:lineRule="exact"/>
        <w:ind w:firstLine="607"/>
        <w:rPr>
          <w:rFonts w:ascii="仿宋" w:hAnsi="仿宋" w:eastAsia="仿宋"/>
          <w:kern w:val="0"/>
        </w:rPr>
      </w:pPr>
      <w:r>
        <w:rPr>
          <w:rFonts w:hint="eastAsia" w:ascii="仿宋" w:hAnsi="仿宋" w:eastAsia="仿宋" w:cs="宋体"/>
          <w:color w:val="010101"/>
          <w:kern w:val="0"/>
          <w:sz w:val="32"/>
          <w:szCs w:val="32"/>
        </w:rPr>
        <w:t>3</w:t>
      </w:r>
      <w:r>
        <w:rPr>
          <w:rFonts w:ascii="仿宋" w:hAnsi="仿宋" w:eastAsia="仿宋" w:cs="宋体"/>
          <w:color w:val="010101"/>
          <w:kern w:val="0"/>
          <w:sz w:val="32"/>
          <w:szCs w:val="32"/>
        </w:rPr>
        <w:t>、宣传力度和深度不够。在对外宣传的方式方法和理念上创新不够，过多注重新闻媒体宣传报道，而没有深入全县各个乡镇采取群众喜闻乐见、参与性强的群众性宣传形式，导致司法行政对外宣传出现“墙里开花墙里香”的被动局面。</w:t>
      </w:r>
    </w:p>
    <w:p w14:paraId="5E07D8A7">
      <w:pPr>
        <w:pStyle w:val="4"/>
        <w:widowControl/>
        <w:spacing w:line="600" w:lineRule="exact"/>
        <w:ind w:left="300" w:right="300" w:firstLine="609"/>
        <w:jc w:val="both"/>
        <w:rPr>
          <w:rFonts w:ascii="仿宋" w:hAnsi="仿宋"/>
        </w:rPr>
      </w:pPr>
      <w:r>
        <w:rPr>
          <w:rFonts w:hint="eastAsia" w:ascii="仿宋" w:hAnsi="仿宋" w:cs="宋体"/>
          <w:b/>
          <w:bCs/>
          <w:color w:val="010101"/>
          <w:sz w:val="32"/>
          <w:szCs w:val="32"/>
        </w:rPr>
        <w:t>九</w:t>
      </w:r>
      <w:r>
        <w:rPr>
          <w:rFonts w:ascii="仿宋" w:hAnsi="仿宋" w:cs="宋体"/>
          <w:b/>
          <w:bCs/>
          <w:color w:val="010101"/>
          <w:sz w:val="32"/>
          <w:szCs w:val="32"/>
        </w:rPr>
        <w:t>、</w:t>
      </w:r>
      <w:r>
        <w:rPr>
          <w:rFonts w:hint="eastAsia" w:ascii="仿宋" w:hAnsi="仿宋" w:cs="宋体"/>
          <w:b/>
          <w:bCs/>
          <w:color w:val="010101"/>
          <w:sz w:val="32"/>
          <w:szCs w:val="32"/>
        </w:rPr>
        <w:t>改进措施和</w:t>
      </w:r>
      <w:r>
        <w:rPr>
          <w:rFonts w:ascii="仿宋" w:hAnsi="仿宋" w:cs="宋体"/>
          <w:b/>
          <w:bCs/>
          <w:color w:val="010101"/>
          <w:sz w:val="32"/>
          <w:szCs w:val="32"/>
        </w:rPr>
        <w:t>有关建议</w:t>
      </w:r>
    </w:p>
    <w:p w14:paraId="312412FC">
      <w:pPr>
        <w:pStyle w:val="4"/>
        <w:widowControl/>
        <w:numPr>
          <w:ilvl w:val="0"/>
          <w:numId w:val="1"/>
        </w:numPr>
        <w:spacing w:line="600" w:lineRule="exact"/>
        <w:ind w:left="300" w:right="300" w:firstLine="607"/>
        <w:jc w:val="both"/>
        <w:rPr>
          <w:rFonts w:ascii="仿宋" w:hAnsi="仿宋" w:eastAsia="仿宋" w:cs="宋体"/>
          <w:color w:val="010101"/>
          <w:sz w:val="32"/>
          <w:szCs w:val="32"/>
        </w:rPr>
      </w:pPr>
      <w:r>
        <w:rPr>
          <w:rFonts w:ascii="仿宋" w:hAnsi="仿宋" w:eastAsia="仿宋" w:cs="宋体"/>
          <w:color w:val="010101"/>
          <w:sz w:val="32"/>
          <w:szCs w:val="32"/>
        </w:rPr>
        <w:t>建议进一步加大对基层司法行政机关政法专项资金的财政转移支付力度，提高人民调解、安置帮教、社区矫正、法律援助办案补助标准和装备水平，从而进一步改善司法行政机关工作环境，提高司法行政干警的主动性和积极性，使广大人民调解员和司法行政干警能够安心基层工作，推动司法行政工作更好向前发展。</w:t>
      </w:r>
    </w:p>
    <w:p w14:paraId="5EBC9BD2">
      <w:pPr>
        <w:pStyle w:val="4"/>
        <w:widowControl/>
        <w:numPr>
          <w:ilvl w:val="0"/>
          <w:numId w:val="1"/>
        </w:numPr>
        <w:spacing w:line="600" w:lineRule="exact"/>
        <w:ind w:left="300" w:right="300" w:firstLine="607"/>
        <w:jc w:val="both"/>
        <w:rPr>
          <w:rFonts w:ascii="仿宋" w:hAnsi="仿宋" w:eastAsia="仿宋" w:cs="宋体"/>
          <w:color w:val="010101"/>
          <w:sz w:val="32"/>
          <w:szCs w:val="32"/>
        </w:rPr>
      </w:pPr>
      <w:r>
        <w:rPr>
          <w:rFonts w:ascii="仿宋" w:hAnsi="仿宋" w:eastAsia="仿宋" w:cs="宋体"/>
          <w:color w:val="010101"/>
          <w:sz w:val="32"/>
          <w:szCs w:val="32"/>
        </w:rPr>
        <w:t>建议加大基层司法所维修、专项业务资金的投入。我县基层司法所绝大部分建成时间较长，已经年久失修，急需进行维修，改造，才能保证正常办公需求。</w:t>
      </w:r>
    </w:p>
    <w:p w14:paraId="0FA2E15B">
      <w:pPr>
        <w:pStyle w:val="4"/>
        <w:widowControl/>
        <w:numPr>
          <w:ilvl w:val="0"/>
          <w:numId w:val="1"/>
        </w:numPr>
        <w:spacing w:line="600" w:lineRule="exact"/>
        <w:ind w:left="300" w:right="300" w:firstLine="607"/>
        <w:jc w:val="both"/>
        <w:rPr>
          <w:rFonts w:ascii="仿宋" w:hAnsi="仿宋" w:eastAsia="仿宋"/>
        </w:rPr>
      </w:pPr>
      <w:r>
        <w:rPr>
          <w:rFonts w:ascii="仿宋" w:hAnsi="仿宋" w:eastAsia="仿宋" w:cs="宋体"/>
          <w:color w:val="010101"/>
          <w:sz w:val="32"/>
          <w:szCs w:val="32"/>
        </w:rPr>
        <w:t>建议安排司法行政系统信息化建设网络运营费、设备维护费等财政专项资金。就我局来说，全县25个乡镇和村级法律服务站点信息化系统建成后，每年的网络运营费和设备维修费支出很大，成为我局的巨大负</w:t>
      </w:r>
      <w:r>
        <w:rPr>
          <w:rFonts w:ascii="仿宋" w:hAnsi="仿宋" w:eastAsia="仿宋" w:cs="仿宋_GB2312"/>
          <w:color w:val="000000"/>
          <w:sz w:val="32"/>
          <w:szCs w:val="32"/>
          <w:shd w:val="clear" w:color="auto" w:fill="FFFFFF"/>
        </w:rPr>
        <w:t>担，严重影响其他工作的正常开展。因此建议安排专项财政资金，以减轻基层司法行政机关的压力。</w:t>
      </w:r>
    </w:p>
    <w:p w14:paraId="2049BBF4">
      <w:pPr>
        <w:pStyle w:val="4"/>
        <w:widowControl/>
        <w:spacing w:line="600" w:lineRule="exact"/>
        <w:ind w:right="300"/>
        <w:jc w:val="both"/>
        <w:rPr>
          <w:rFonts w:ascii="黑体" w:hAnsi="黑体" w:eastAsia="黑体" w:cs="仿宋_GB2312"/>
          <w:color w:val="000000"/>
          <w:sz w:val="32"/>
          <w:szCs w:val="32"/>
          <w:shd w:val="clear" w:color="auto" w:fill="FFFFFF"/>
        </w:rPr>
      </w:pPr>
      <w:r>
        <w:rPr>
          <w:rFonts w:hint="eastAsia" w:ascii="黑体" w:hAnsi="黑体" w:eastAsia="黑体" w:cs="仿宋_GB2312"/>
          <w:color w:val="000000"/>
          <w:sz w:val="32"/>
          <w:szCs w:val="32"/>
          <w:shd w:val="clear" w:color="auto" w:fill="FFFFFF"/>
        </w:rPr>
        <w:t>十、部门整体支出绩效自评结果拟应用和公开情况</w:t>
      </w:r>
    </w:p>
    <w:p w14:paraId="5967681D">
      <w:pPr>
        <w:pStyle w:val="4"/>
        <w:widowControl/>
        <w:spacing w:line="600" w:lineRule="exact"/>
        <w:ind w:right="300" w:firstLine="640" w:firstLineChars="200"/>
        <w:jc w:val="both"/>
        <w:rPr>
          <w:rFonts w:ascii="仿宋" w:hAnsi="仿宋" w:eastAsia="仿宋" w:cs="仿宋_GB2312"/>
          <w:color w:val="000000"/>
          <w:sz w:val="32"/>
          <w:szCs w:val="32"/>
          <w:shd w:val="clear" w:color="auto" w:fill="FFFFFF"/>
        </w:rPr>
      </w:pPr>
      <w:r>
        <w:rPr>
          <w:rFonts w:hint="eastAsia" w:ascii="仿宋" w:hAnsi="仿宋" w:eastAsia="仿宋" w:cs="仿宋_GB2312"/>
          <w:color w:val="000000"/>
          <w:sz w:val="32"/>
          <w:szCs w:val="32"/>
          <w:shd w:val="clear" w:color="auto" w:fill="FFFFFF"/>
        </w:rPr>
        <w:t>1、2023年度本部门整体支出绩效评价自查得分为99分，</w:t>
      </w:r>
      <w:r>
        <w:rPr>
          <w:rFonts w:hint="eastAsia" w:ascii="仿宋" w:hAnsi="仿宋" w:eastAsia="仿宋" w:cs="宋体"/>
          <w:color w:val="333333"/>
          <w:sz w:val="32"/>
          <w:szCs w:val="32"/>
        </w:rPr>
        <w:t>相关管理制度不够完善扣1分。</w:t>
      </w:r>
      <w:r>
        <w:rPr>
          <w:rFonts w:hint="eastAsia" w:ascii="仿宋" w:hAnsi="仿宋" w:eastAsia="仿宋" w:cs="仿宋"/>
          <w:sz w:val="32"/>
          <w:szCs w:val="32"/>
        </w:rPr>
        <w:t>今后</w:t>
      </w:r>
      <w:r>
        <w:rPr>
          <w:rFonts w:hint="eastAsia" w:ascii="仿宋" w:hAnsi="仿宋" w:eastAsia="仿宋" w:cs="宋体"/>
          <w:color w:val="333333"/>
          <w:sz w:val="32"/>
          <w:szCs w:val="32"/>
        </w:rPr>
        <w:t>严格内控机制建设，进一步完善业务管理制度</w:t>
      </w:r>
      <w:r>
        <w:rPr>
          <w:rFonts w:hint="eastAsia" w:ascii="仿宋" w:hAnsi="仿宋" w:eastAsia="仿宋" w:cs="仿宋_GB2312"/>
          <w:color w:val="000000"/>
          <w:sz w:val="32"/>
          <w:szCs w:val="32"/>
          <w:shd w:val="clear" w:color="auto" w:fill="FFFFFF"/>
        </w:rPr>
        <w:t>。</w:t>
      </w:r>
    </w:p>
    <w:p w14:paraId="0B7DBA2D">
      <w:pPr>
        <w:pStyle w:val="4"/>
        <w:widowControl/>
        <w:spacing w:line="600" w:lineRule="exact"/>
        <w:ind w:right="300" w:firstLine="640" w:firstLineChars="200"/>
        <w:jc w:val="both"/>
        <w:rPr>
          <w:rFonts w:ascii="仿宋" w:hAnsi="仿宋" w:eastAsia="仿宋" w:cs="仿宋_GB2312"/>
          <w:color w:val="000000"/>
          <w:sz w:val="32"/>
          <w:szCs w:val="32"/>
          <w:shd w:val="clear" w:color="auto" w:fill="FFFFFF"/>
        </w:rPr>
      </w:pPr>
      <w:r>
        <w:rPr>
          <w:rFonts w:hint="eastAsia" w:ascii="仿宋" w:hAnsi="仿宋" w:eastAsia="仿宋" w:cs="仿宋_GB2312"/>
          <w:color w:val="000000"/>
          <w:sz w:val="32"/>
          <w:szCs w:val="32"/>
          <w:shd w:val="clear" w:color="auto" w:fill="FFFFFF"/>
        </w:rPr>
        <w:t>2、及时将部门整体支出绩效自评情况在部门门户网站或政府门户网站上公开，自觉接受社会监督。</w:t>
      </w:r>
    </w:p>
    <w:p w14:paraId="3BB312C0">
      <w:pPr>
        <w:ind w:firstLine="5440" w:firstLineChars="1700"/>
        <w:rPr>
          <w:rFonts w:ascii="仿宋" w:hAnsi="仿宋" w:eastAsia="仿宋" w:cs="仿宋_GB2312"/>
          <w:color w:val="000000"/>
          <w:kern w:val="0"/>
          <w:sz w:val="32"/>
          <w:szCs w:val="32"/>
          <w:shd w:val="clear" w:color="auto"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ESI仿宋-GB18030">
    <w:altName w:val="微软雅黑"/>
    <w:panose1 w:val="00000000000000000000"/>
    <w:charset w:val="86"/>
    <w:family w:val="script"/>
    <w:pitch w:val="default"/>
    <w:sig w:usb0="00000000" w:usb1="00000000"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7E21EF"/>
    <w:multiLevelType w:val="multilevel"/>
    <w:tmpl w:val="4D7E21EF"/>
    <w:lvl w:ilvl="0" w:tentative="0">
      <w:start w:val="1"/>
      <w:numFmt w:val="chineseCountingThousand"/>
      <w:suff w:val="nothing"/>
      <w:lvlText w:val="（%1）"/>
      <w:lvlJc w:val="left"/>
      <w:pPr>
        <w:tabs>
          <w:tab w:val="left" w:pos="0"/>
        </w:tabs>
        <w:ind w:left="0" w:firstLine="0"/>
      </w:pPr>
      <w:rPr>
        <w:rFonts w:cs="Times New Roman"/>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TNmMDQ2MDMwZDBhNjAyYTdhZmM2YjVjMTExZjEifQ=="/>
  </w:docVars>
  <w:rsids>
    <w:rsidRoot w:val="00CD02C9"/>
    <w:rsid w:val="000B1508"/>
    <w:rsid w:val="000C0CBB"/>
    <w:rsid w:val="000C7512"/>
    <w:rsid w:val="000E35C0"/>
    <w:rsid w:val="001556F1"/>
    <w:rsid w:val="00174A6F"/>
    <w:rsid w:val="001C1927"/>
    <w:rsid w:val="001E52F7"/>
    <w:rsid w:val="00200F1C"/>
    <w:rsid w:val="00254A5A"/>
    <w:rsid w:val="00297C89"/>
    <w:rsid w:val="00384F57"/>
    <w:rsid w:val="003A6CD6"/>
    <w:rsid w:val="003C342C"/>
    <w:rsid w:val="003D2FCF"/>
    <w:rsid w:val="003D71D8"/>
    <w:rsid w:val="003E116E"/>
    <w:rsid w:val="003E2530"/>
    <w:rsid w:val="00412D33"/>
    <w:rsid w:val="004251E9"/>
    <w:rsid w:val="00450B37"/>
    <w:rsid w:val="00493B56"/>
    <w:rsid w:val="004A6893"/>
    <w:rsid w:val="00521047"/>
    <w:rsid w:val="005331EA"/>
    <w:rsid w:val="005420FD"/>
    <w:rsid w:val="00564193"/>
    <w:rsid w:val="00597A30"/>
    <w:rsid w:val="005B35E0"/>
    <w:rsid w:val="005E3C78"/>
    <w:rsid w:val="00610A29"/>
    <w:rsid w:val="00612682"/>
    <w:rsid w:val="00637D3A"/>
    <w:rsid w:val="006C3BF5"/>
    <w:rsid w:val="006F17BE"/>
    <w:rsid w:val="00762F52"/>
    <w:rsid w:val="0077246D"/>
    <w:rsid w:val="007A688B"/>
    <w:rsid w:val="00814DFB"/>
    <w:rsid w:val="008A52CB"/>
    <w:rsid w:val="008C0AC5"/>
    <w:rsid w:val="00921A24"/>
    <w:rsid w:val="009B703E"/>
    <w:rsid w:val="009F3E09"/>
    <w:rsid w:val="00A96D93"/>
    <w:rsid w:val="00AC49E0"/>
    <w:rsid w:val="00AC6D8A"/>
    <w:rsid w:val="00AE20F8"/>
    <w:rsid w:val="00B0209D"/>
    <w:rsid w:val="00B30211"/>
    <w:rsid w:val="00B579FD"/>
    <w:rsid w:val="00B942B4"/>
    <w:rsid w:val="00BA66D8"/>
    <w:rsid w:val="00BA74BC"/>
    <w:rsid w:val="00BD66E0"/>
    <w:rsid w:val="00BF7A98"/>
    <w:rsid w:val="00C50D9F"/>
    <w:rsid w:val="00CD02C9"/>
    <w:rsid w:val="00CE765F"/>
    <w:rsid w:val="00D82B10"/>
    <w:rsid w:val="00D92606"/>
    <w:rsid w:val="00DB6BBD"/>
    <w:rsid w:val="00DC107D"/>
    <w:rsid w:val="00DD01DE"/>
    <w:rsid w:val="00E368B8"/>
    <w:rsid w:val="00E74707"/>
    <w:rsid w:val="00E7749E"/>
    <w:rsid w:val="00EA7A3D"/>
    <w:rsid w:val="00EE32CF"/>
    <w:rsid w:val="00EF0406"/>
    <w:rsid w:val="00F271F6"/>
    <w:rsid w:val="00F31286"/>
    <w:rsid w:val="00F3217A"/>
    <w:rsid w:val="00F64CBA"/>
    <w:rsid w:val="00F64DBC"/>
    <w:rsid w:val="00FA235A"/>
    <w:rsid w:val="00FC526D"/>
    <w:rsid w:val="17CD0AB9"/>
    <w:rsid w:val="23264359"/>
    <w:rsid w:val="28973A32"/>
    <w:rsid w:val="2E9B47CD"/>
    <w:rsid w:val="3531526D"/>
    <w:rsid w:val="398E121E"/>
    <w:rsid w:val="3D976D74"/>
    <w:rsid w:val="53AA6837"/>
    <w:rsid w:val="54903237"/>
    <w:rsid w:val="5B901A74"/>
    <w:rsid w:val="66FB66BA"/>
    <w:rsid w:val="6D0E12D1"/>
    <w:rsid w:val="6E106262"/>
    <w:rsid w:val="722C7C94"/>
    <w:rsid w:val="72867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8"/>
    <w:semiHidden/>
    <w:unhideWhenUsed/>
    <w:uiPriority w:val="99"/>
    <w:pPr>
      <w:ind w:left="100" w:leftChars="2500"/>
    </w:pPr>
  </w:style>
  <w:style w:type="paragraph" w:styleId="3">
    <w:name w:val="Balloon Text"/>
    <w:basedOn w:val="1"/>
    <w:link w:val="7"/>
    <w:semiHidden/>
    <w:unhideWhenUsed/>
    <w:uiPriority w:val="99"/>
    <w:rPr>
      <w:sz w:val="18"/>
      <w:szCs w:val="18"/>
    </w:rPr>
  </w:style>
  <w:style w:type="paragraph" w:styleId="4">
    <w:name w:val="Normal (Web)"/>
    <w:basedOn w:val="1"/>
    <w:qFormat/>
    <w:uiPriority w:val="0"/>
    <w:pPr>
      <w:jc w:val="left"/>
    </w:pPr>
    <w:rPr>
      <w:rFonts w:ascii="Calibri" w:hAnsi="Calibri"/>
      <w:kern w:val="0"/>
      <w:sz w:val="24"/>
    </w:rPr>
  </w:style>
  <w:style w:type="character" w:customStyle="1" w:styleId="7">
    <w:name w:val="批注框文本 Char"/>
    <w:basedOn w:val="6"/>
    <w:link w:val="3"/>
    <w:semiHidden/>
    <w:uiPriority w:val="99"/>
    <w:rPr>
      <w:rFonts w:ascii="Times New Roman" w:hAnsi="Times New Roman" w:eastAsia="宋体" w:cs="Times New Roman"/>
      <w:kern w:val="2"/>
      <w:sz w:val="18"/>
      <w:szCs w:val="18"/>
    </w:rPr>
  </w:style>
  <w:style w:type="character" w:customStyle="1" w:styleId="8">
    <w:name w:val="日期 Char"/>
    <w:basedOn w:val="6"/>
    <w:link w:val="2"/>
    <w:semiHidden/>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XPCX</Company>
  <Pages>12</Pages>
  <Words>5979</Words>
  <Characters>6210</Characters>
  <Lines>44</Lines>
  <Paragraphs>12</Paragraphs>
  <TotalTime>413</TotalTime>
  <ScaleCrop>false</ScaleCrop>
  <LinksUpToDate>false</LinksUpToDate>
  <CharactersWithSpaces>6215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2021-06-23T04:16:00Z</dcterms:created>
  <dc:creator>溆浦县司法局</dc:creator>
  <cp:lastModifiedBy>Administrator</cp:lastModifiedBy>
  <cp:lastPrinted>2024-08-27T03:11:00Z</cp:lastPrinted>
  <dcterms:modified xsi:type="dcterms:W3CDTF">2024-09-30T03:18:14Z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E9397D2BC21148C086BAC464AEC97408</vt:lpwstr>
  </property>
</Properties>
</file>