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溆浦县司法局部门决算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第一部分溆浦县司法局概况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溆浦县司法局概况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（一）承担全面依法治县重大问题的调查研究，协调有关方面提出全面依法治县中长期规划建议，负责有关重大决策部署督察工作。</w:t>
      </w:r>
    </w:p>
    <w:p>
      <w:pPr>
        <w:ind w:firstLine="800" w:firstLineChars="250"/>
        <w:jc w:val="left"/>
        <w:rPr>
          <w:rFonts w:asciiTheme="minorEastAsia" w:hAnsiTheme="minorEastAsia"/>
          <w:sz w:val="32"/>
          <w:szCs w:val="32"/>
        </w:rPr>
      </w:pPr>
      <w:r>
        <w:rPr>
          <w:rFonts w:hint="eastAsia" w:asciiTheme="minorEastAsia" w:hAnsiTheme="minorEastAsia"/>
          <w:sz w:val="32"/>
          <w:szCs w:val="32"/>
        </w:rPr>
        <w:t>（二）贯彻执行国家、省、市关于司法行政工和的方针政策和法律法规，编制全县司法行政工作发展规划和年度计划并监督实施。</w:t>
      </w:r>
    </w:p>
    <w:p>
      <w:pPr>
        <w:jc w:val="left"/>
        <w:rPr>
          <w:rFonts w:asciiTheme="minorEastAsia" w:hAnsiTheme="minorEastAsia"/>
          <w:sz w:val="32"/>
          <w:szCs w:val="32"/>
        </w:rPr>
      </w:pPr>
      <w:r>
        <w:rPr>
          <w:rFonts w:hint="eastAsia" w:ascii="仿宋_GB2312" w:eastAsia="仿宋_GB2312" w:hAnsiTheme="minorEastAsia"/>
          <w:sz w:val="28"/>
          <w:szCs w:val="32"/>
        </w:rPr>
        <w:t xml:space="preserve">     </w:t>
      </w:r>
      <w:r>
        <w:rPr>
          <w:rFonts w:hint="eastAsia" w:asciiTheme="minorEastAsia" w:hAnsiTheme="minorEastAsia"/>
          <w:sz w:val="32"/>
          <w:szCs w:val="32"/>
        </w:rPr>
        <w:t>（三）负责指导全县规范性文件管理有关工作。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（四）承担统筹推进法治政府建设的责任。</w:t>
      </w:r>
    </w:p>
    <w:p>
      <w:pPr>
        <w:ind w:firstLine="640" w:firstLineChars="200"/>
        <w:jc w:val="left"/>
        <w:rPr>
          <w:rFonts w:asciiTheme="minorEastAsia" w:hAnsiTheme="minorEastAsia"/>
          <w:sz w:val="32"/>
          <w:szCs w:val="32"/>
        </w:rPr>
      </w:pPr>
      <w:r>
        <w:rPr>
          <w:rFonts w:hint="eastAsia" w:asciiTheme="minorEastAsia" w:hAnsiTheme="minorEastAsia"/>
          <w:sz w:val="32"/>
          <w:szCs w:val="32"/>
        </w:rPr>
        <w:t>（五）承办向人民政府申请的行政复议案件，承办以县政府为被申请人向省、市政府申请行政复议案件的有关行政复议事项，承办或指导有关单位办理县人民政府受理的行政赔偿案件，承办或指导有关单位办理县人民政府行政应诉事项。</w:t>
      </w:r>
    </w:p>
    <w:p>
      <w:pPr>
        <w:ind w:firstLine="640" w:firstLineChars="200"/>
        <w:jc w:val="left"/>
        <w:rPr>
          <w:rFonts w:asciiTheme="minorEastAsia" w:hAnsiTheme="minorEastAsia"/>
          <w:sz w:val="32"/>
          <w:szCs w:val="32"/>
        </w:rPr>
      </w:pPr>
      <w:r>
        <w:rPr>
          <w:rFonts w:hint="eastAsia" w:asciiTheme="minorEastAsia" w:hAnsiTheme="minorEastAsia"/>
          <w:sz w:val="32"/>
          <w:szCs w:val="32"/>
        </w:rPr>
        <w:t>（六）承担统筹规划全县法治社会建设的责任。</w:t>
      </w:r>
    </w:p>
    <w:p>
      <w:pPr>
        <w:ind w:firstLine="640" w:firstLineChars="200"/>
        <w:jc w:val="left"/>
        <w:rPr>
          <w:rFonts w:asciiTheme="minorEastAsia" w:hAnsiTheme="minorEastAsia"/>
          <w:sz w:val="32"/>
          <w:szCs w:val="32"/>
        </w:rPr>
      </w:pPr>
      <w:r>
        <w:rPr>
          <w:rFonts w:hint="eastAsia" w:asciiTheme="minorEastAsia" w:hAnsiTheme="minorEastAsia"/>
          <w:sz w:val="32"/>
          <w:szCs w:val="32"/>
        </w:rPr>
        <w:t>（七）指导、管理社区矫正工作。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（八）指导管理本系统强制隔离戒毒执行和戒毒康复工作。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（九)负责县人民政府法律顾问工作。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（十）负责全县法治对外合作工作。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（十一）负责本系统服装和警车管理工作，指导、监督本系统财务、装备、设施、场所等保障工作。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（十二）规划、协调、指导法治人才队伍建设相关工作。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（十三）完成县委、县政府交办的其他任务。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本单位是行政单位，设内设机构12个，包括：办公室、法治调研督察与政策法规股（县委全面依法治县委员会办公室秘书组）、行政执法协调监督股（规范性文件管理股）、行政复议与应诉股、社区矫正工作局（社区矫正执法大队）、人民参与和促进法治股（人民陪审员和监督员选任管理办公室）、公共法律服务管理股（县法律援助中心）、普法与依法治理股、律师工作股、装备财务保障股、戒毒工作管理股、政工室（党建办公室）。</w:t>
      </w:r>
    </w:p>
    <w:p>
      <w:pPr>
        <w:widowControl/>
        <w:spacing w:line="600" w:lineRule="exact"/>
        <w:rPr>
          <w:rFonts w:ascii="黑体" w:hAnsi="黑体" w:eastAsia="黑体"/>
          <w:sz w:val="28"/>
          <w:szCs w:val="28"/>
        </w:rPr>
      </w:pPr>
      <w:r>
        <w:rPr>
          <w:rFonts w:hint="eastAsia" w:asciiTheme="minorEastAsia" w:hAnsiTheme="minorEastAsia"/>
          <w:bCs/>
          <w:kern w:val="0"/>
          <w:sz w:val="32"/>
          <w:szCs w:val="32"/>
        </w:rPr>
        <w:t>（二）决算单位构成。溆浦县司法局</w:t>
      </w:r>
      <w:r>
        <w:rPr>
          <w:rFonts w:asciiTheme="minorEastAsia" w:hAnsiTheme="minorEastAsia"/>
          <w:bCs/>
          <w:kern w:val="0"/>
          <w:sz w:val="32"/>
          <w:szCs w:val="32"/>
        </w:rPr>
        <w:t>20</w:t>
      </w:r>
      <w:r>
        <w:rPr>
          <w:rFonts w:hint="eastAsia" w:asciiTheme="minorEastAsia" w:hAnsiTheme="minorEastAsia"/>
          <w:bCs/>
          <w:kern w:val="0"/>
          <w:sz w:val="32"/>
          <w:szCs w:val="32"/>
        </w:rPr>
        <w:t>20年部门决算没有独立核算的二级机构，没有所属单位决算在内的汇总决算。</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溆浦县司法局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2284.31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2201.92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w:t>
            </w:r>
            <w:r>
              <w:rPr>
                <w:rFonts w:hint="eastAsia" w:ascii="宋体" w:hAnsi="宋体" w:eastAsia="宋体" w:cs="宋体"/>
                <w:kern w:val="0"/>
                <w:sz w:val="24"/>
                <w:szCs w:val="24"/>
              </w:rPr>
              <w:t>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20.98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w:t>
            </w:r>
            <w:r>
              <w:rPr>
                <w:rFonts w:hint="eastAsia" w:ascii="宋体" w:hAnsi="宋体" w:eastAsia="宋体" w:cs="宋体"/>
                <w:kern w:val="0"/>
                <w:sz w:val="22"/>
              </w:rPr>
              <w:t>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2.01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2284.31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2284.31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041" w:type="dxa"/>
        <w:tblInd w:w="0" w:type="dxa"/>
        <w:tblLayout w:type="autofit"/>
        <w:tblCellMar>
          <w:top w:w="0" w:type="dxa"/>
          <w:left w:w="0" w:type="dxa"/>
          <w:bottom w:w="0" w:type="dxa"/>
          <w:right w:w="0" w:type="dxa"/>
        </w:tblCellMar>
      </w:tblPr>
      <w:tblGrid>
        <w:gridCol w:w="673"/>
        <w:gridCol w:w="674"/>
        <w:gridCol w:w="4796"/>
        <w:gridCol w:w="3760"/>
        <w:gridCol w:w="1190"/>
        <w:gridCol w:w="634"/>
        <w:gridCol w:w="634"/>
        <w:gridCol w:w="634"/>
        <w:gridCol w:w="634"/>
        <w:gridCol w:w="1799"/>
      </w:tblGrid>
      <w:tr>
        <w:tblPrEx>
          <w:tblCellMar>
            <w:top w:w="0" w:type="dxa"/>
            <w:left w:w="0" w:type="dxa"/>
            <w:bottom w:w="0" w:type="dxa"/>
            <w:right w:w="0" w:type="dxa"/>
          </w:tblCellMar>
        </w:tblPrEx>
        <w:trPr>
          <w:trHeight w:val="435" w:hRule="atLeast"/>
        </w:trPr>
        <w:tc>
          <w:tcPr>
            <w:tcW w:w="15041"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2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3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部门：溆浦县司</w:t>
            </w:r>
          </w:p>
        </w:tc>
        <w:tc>
          <w:tcPr>
            <w:tcW w:w="4285" w:type="dxa"/>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法局</w:t>
            </w:r>
          </w:p>
        </w:tc>
        <w:tc>
          <w:tcPr>
            <w:tcW w:w="3359" w:type="dxa"/>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p>
        </w:tc>
        <w:tc>
          <w:tcPr>
            <w:tcW w:w="1606" w:type="dxa"/>
            <w:tcBorders>
              <w:top w:val="nil"/>
              <w:left w:val="nil"/>
              <w:bottom w:val="nil"/>
              <w:right w:val="nil"/>
            </w:tcBorders>
            <w:shd w:val="clear" w:color="000000" w:fill="FFFFFF"/>
            <w:noWrap/>
            <w:tcMar>
              <w:top w:w="15" w:type="dxa"/>
              <w:left w:w="15" w:type="dxa"/>
              <w:bottom w:w="0" w:type="dxa"/>
              <w:right w:w="15" w:type="dxa"/>
            </w:tcMar>
            <w:vAlign w:val="center"/>
          </w:tcPr>
          <w:p>
            <w:pPr>
              <w:widowControl/>
              <w:ind w:firstLine="700" w:firstLineChars="35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511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33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8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8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28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33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28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3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1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33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1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2284.31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2284.31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204</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公共安全支出</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2201.92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2201.92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20406</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司法</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2201.92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2201.92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2040601</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行政运行</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1251.64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1251.64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2040602</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一般行政管理事务</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192.11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192.11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2040604</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基层司法业务</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101.72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2040607</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法律援助</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2040610</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社区矫正</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187.24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187.24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2040699</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其他司法支出</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338.8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338.8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抚恤</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2080801</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死亡抚恤</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农林水支出</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扶贫</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2130501</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4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33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04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197" w:type="dxa"/>
        <w:tblInd w:w="93" w:type="dxa"/>
        <w:tblLayout w:type="autofit"/>
        <w:tblCellMar>
          <w:top w:w="0" w:type="dxa"/>
          <w:left w:w="108" w:type="dxa"/>
          <w:bottom w:w="0" w:type="dxa"/>
          <w:right w:w="108" w:type="dxa"/>
        </w:tblCellMar>
      </w:tblPr>
      <w:tblGrid>
        <w:gridCol w:w="1042"/>
        <w:gridCol w:w="222"/>
        <w:gridCol w:w="14"/>
        <w:gridCol w:w="1607"/>
        <w:gridCol w:w="1383"/>
        <w:gridCol w:w="14"/>
        <w:gridCol w:w="162"/>
        <w:gridCol w:w="1667"/>
        <w:gridCol w:w="14"/>
        <w:gridCol w:w="162"/>
        <w:gridCol w:w="1383"/>
        <w:gridCol w:w="14"/>
        <w:gridCol w:w="445"/>
        <w:gridCol w:w="1384"/>
        <w:gridCol w:w="14"/>
        <w:gridCol w:w="303"/>
        <w:gridCol w:w="1525"/>
        <w:gridCol w:w="14"/>
        <w:gridCol w:w="1687"/>
        <w:gridCol w:w="14"/>
        <w:gridCol w:w="1971"/>
        <w:gridCol w:w="142"/>
        <w:gridCol w:w="14"/>
      </w:tblGrid>
      <w:tr>
        <w:tblPrEx>
          <w:tblCellMar>
            <w:top w:w="0" w:type="dxa"/>
            <w:left w:w="108" w:type="dxa"/>
            <w:bottom w:w="0" w:type="dxa"/>
            <w:right w:w="108" w:type="dxa"/>
          </w:tblCellMar>
        </w:tblPrEx>
        <w:trPr>
          <w:gridAfter w:val="1"/>
          <w:wAfter w:w="14" w:type="dxa"/>
          <w:trHeight w:val="435" w:hRule="atLeast"/>
        </w:trPr>
        <w:tc>
          <w:tcPr>
            <w:tcW w:w="15183" w:type="dxa"/>
            <w:gridSpan w:val="2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156" w:type="dxa"/>
          <w:trHeight w:val="285" w:hRule="atLeast"/>
        </w:trPr>
        <w:tc>
          <w:tcPr>
            <w:tcW w:w="288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部门：溆浦县司法局　</w:t>
            </w:r>
          </w:p>
        </w:tc>
        <w:tc>
          <w:tcPr>
            <w:tcW w:w="155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p>
        </w:tc>
        <w:tc>
          <w:tcPr>
            <w:tcW w:w="18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17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11" w:type="dxa"/>
            <w:gridSpan w:val="5"/>
            <w:tcBorders>
              <w:top w:val="nil"/>
              <w:left w:val="nil"/>
              <w:bottom w:val="nil"/>
              <w:right w:val="nil"/>
            </w:tcBorders>
            <w:shd w:val="clear" w:color="000000" w:fill="FFFFFF"/>
            <w:noWrap/>
            <w:vAlign w:val="center"/>
          </w:tcPr>
          <w:p>
            <w:pPr>
              <w:widowControl/>
              <w:wordWrap w:val="0"/>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c>
      </w:tr>
      <w:tr>
        <w:tblPrEx>
          <w:tblCellMar>
            <w:top w:w="0" w:type="dxa"/>
            <w:left w:w="108" w:type="dxa"/>
            <w:bottom w:w="0" w:type="dxa"/>
            <w:right w:w="108" w:type="dxa"/>
          </w:tblCellMar>
        </w:tblPrEx>
        <w:trPr>
          <w:gridAfter w:val="1"/>
          <w:wAfter w:w="14" w:type="dxa"/>
          <w:trHeight w:val="450" w:hRule="atLeast"/>
        </w:trPr>
        <w:tc>
          <w:tcPr>
            <w:tcW w:w="4268"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43"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5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43"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2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4"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04"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426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5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2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14" w:type="dxa"/>
          <w:trHeight w:val="450" w:hRule="atLeast"/>
        </w:trPr>
        <w:tc>
          <w:tcPr>
            <w:tcW w:w="426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2284.31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1364.03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920.28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公共安全支出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2201.92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1281.64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920.28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司法</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2201.92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1281.64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920.28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2040601</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1251.64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1251.64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2040602</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一般行政管理事务</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192.11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192.11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2040604</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基层司法业务</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101.72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101.72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2040607</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法律援助</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130.41　</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130.41　</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2040610</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社区矫正</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187.24</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187.24</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2040699</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其他司法支出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338.8</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308.8</w:t>
            </w: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社会保障和就业支出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20.98</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20.98</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20808</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抚恤</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20.98</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20.98</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2080801</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死亡抚恤</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20.98</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20.98</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农林水支出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21305</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扶贫</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2130501</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住房保障支出 </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59.4</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59.4</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住房改革支出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59.4</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59.4</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2210201</w:t>
            </w: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住房公积金</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59.4</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59.4</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3004"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42"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1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 w:type="dxa"/>
          <w:trHeight w:val="630" w:hRule="atLeast"/>
        </w:trPr>
        <w:tc>
          <w:tcPr>
            <w:tcW w:w="15183" w:type="dxa"/>
            <w:gridSpan w:val="2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部门：溆浦县司法局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2284.31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2201.92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2201.92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20.98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20.98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六、农林水支出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2284.31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2284.31</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2284.31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2284.31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1364.03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920.28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公共安全支出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2201.92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1281.64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920.28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司法</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2201.92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1281.64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920.28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1251.64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1251.64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192.11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192.11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2040604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基层司法业务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101.72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101.72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法律援助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130.41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社区矫正</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187.24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187.24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其他司法支出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338.8</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20.98</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抚恤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20.98</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死亡抚恤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20.98</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5000" w:type="pct"/>
        <w:tblInd w:w="0" w:type="dxa"/>
        <w:tblLayout w:type="autofit"/>
        <w:tblCellMar>
          <w:top w:w="0" w:type="dxa"/>
          <w:left w:w="108" w:type="dxa"/>
          <w:bottom w:w="0" w:type="dxa"/>
          <w:right w:w="108" w:type="dxa"/>
        </w:tblCellMar>
      </w:tblPr>
      <w:tblGrid>
        <w:gridCol w:w="1289"/>
        <w:gridCol w:w="3304"/>
        <w:gridCol w:w="1118"/>
        <w:gridCol w:w="731"/>
        <w:gridCol w:w="2274"/>
        <w:gridCol w:w="1019"/>
        <w:gridCol w:w="731"/>
        <w:gridCol w:w="4127"/>
        <w:gridCol w:w="1021"/>
      </w:tblGrid>
      <w:tr>
        <w:tblPrEx>
          <w:tblCellMar>
            <w:top w:w="0" w:type="dxa"/>
            <w:left w:w="108" w:type="dxa"/>
            <w:bottom w:w="0" w:type="dxa"/>
            <w:right w:w="108" w:type="dxa"/>
          </w:tblCellMar>
        </w:tblPrEx>
        <w:trPr>
          <w:trHeight w:val="113" w:hRule="atLeast"/>
        </w:trPr>
        <w:tc>
          <w:tcPr>
            <w:tcW w:w="5000" w:type="pct"/>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溆浦县司法局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94" w:hRule="exact"/>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济分类科目编码</w:t>
            </w:r>
          </w:p>
        </w:tc>
        <w:tc>
          <w:tcPr>
            <w:tcW w:w="10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2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7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3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2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2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3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1119.22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207.94</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430.39</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8.3</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377.21</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3.38</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172.62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18.02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0.55</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12.42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7.9</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33.67</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15.67</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13.55</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59.4</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1.18</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1.94</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36.87</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7.42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5.51</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16.12</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4.86</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23.78</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4.54</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1.86</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2.73</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7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139.81</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3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1156.09</w:t>
            </w:r>
          </w:p>
        </w:tc>
        <w:tc>
          <w:tcPr>
            <w:tcW w:w="2805"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3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207.94</w:t>
            </w:r>
          </w:p>
        </w:tc>
      </w:tr>
      <w:tr>
        <w:tblPrEx>
          <w:tblCellMar>
            <w:top w:w="0" w:type="dxa"/>
            <w:left w:w="108" w:type="dxa"/>
            <w:bottom w:w="0" w:type="dxa"/>
            <w:right w:w="108" w:type="dxa"/>
          </w:tblCellMar>
        </w:tblPrEx>
        <w:trPr>
          <w:trHeight w:val="284" w:hRule="exact"/>
        </w:trPr>
        <w:tc>
          <w:tcPr>
            <w:tcW w:w="5000" w:type="pct"/>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20.29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14.67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9.16</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5.51</w:t>
            </w: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溆浦县司法局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溆浦县司法局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384"/>
        <w:gridCol w:w="236"/>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73" w:hRule="atLeast"/>
        </w:trPr>
        <w:tc>
          <w:tcPr>
            <w:tcW w:w="1384"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部门：溆浦县司法局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2020年度收、支总计2284.31万元。与上年相比，增加92.45万元，增长4.22%，主要是因为社区矫正项目经费增加、县政府的法律顾问聘请项目移交给本单位增加项目支出。</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本年收入合计2284.31万元，其中：财政拨款收入2284.31万元，占100%；上级补助收入0万元，占0%；事业收入0万元，占0%；经营收入0万元，占0%；附属单位上缴收入0万元，占0%；其他收入0万元，占0%。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本年支出合计2284.31万元，其中：基本支出1364.03万元，占59.71%；项目支出920.28万元，占40.29%；上缴上级支出0万元，占0%；经营支出0万元，占0%；对附属单位补助支出0万元，占0%。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2020年度财政拨款收、支总计2284.31万元，与上年相比，增加92.45万元,增长4.22%，主要是因为社区矫正项目经费增加、县政府的法律顾问聘请项目移交给本单位增加项目支出。</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2020年度财政拨款支出2284.31万元，占本年支出合计的100%，与上年相比，财政拨款支出增加92.45万元，增长4.22%，主要是因为社区矫正项目经费增加、县政府的法律顾问聘请项目移交给本单位增加项目支出。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2020年度财政拨款支出2284.31万元，主要用于以下方面：公共安全支出2201.92万元，占96.39%；社会保障和就业支出20.98万元，占0.92%;农林水支出2.01万元，占0.09%；住房保障支出59.4万元，占2.6%。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2020年度财政拨款支出年初预算数为2284.31万元，支出决算数为2284.31万元，完成年初预算的100%，其中：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1、公共安全支出司法行政运行。</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年初预算为1251.64万元，支出决算为1251.64万元，完成年初预算的100%，决算数等于年初预算数。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2、公共安全支出司法一般行政管理事务。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年初预算为192.11万元，支出决算为192.11万元，完成年初预算的100%，决算数等于年初预算数。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3、公共安全支出司法基层司法业务。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年初预算为101.72万元，支出决算为101.72万元，完成年初预算的100%，决算数等于年初预算数。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4、公共安全支出司法法律援助。</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年初预算为130.41万元，支出决算为130.41万元，完成年初预算的100%，决算数等于年初预算数。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5、公共安全支出司法社区矫正。</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年初预算为187.24万元，支出决算为187.24万元，完成年初预算的100%，决算数等于年初预算数。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6、公共安全支出司法其他司法支出。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年初预算为338.8万元，支出决算为338.8万元，完成年初预算的100%，决算数等于年初预算数。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7、社会保障和就业支出抚恤死亡抚恤。</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年初预算为20.98万元，支出决算为20.98万元，完成年初预算的100%，决算数等于年初预算数。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8、农林水支出扶贫行政运行。</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年初预算为2.01万元，支出决算为2.01万元，完成年初预算的100%，决算数等于年初预算数。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9、住房保障支出住房改革支出住房公积金。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年初预算为59.4万元，支出决算为59.4万元，完成年初预算的100%，决算数等于年初预算数。</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1364.03万元，其中：人员经费1156.09万元，占基本支出的84.76%,主要包括基本工资、津贴补贴、奖金、伙食补助费、机关事业单位基本养老保险缴费、职工基本医疗保险缴费、其他社会保障缴费、住房公积金、离休费、退休费、抚恤金、生活补助、奖励金等；公用经费207.94万元，占基本支出的15.24%，主要包括办公费、印刷费、水费、电费、物业管理费、维修（护）费、公务接待费、工会经费、公务用车维护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“三公”经费财政拨款支出预算为20.29万元，支出决算为14.67万元，完成预算的72.3%，其中：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因公出国（境）费支出预算为0万元，支出决算为0万元，决算数等于预算数，与上年相比无变动。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5.59万元，支出决算为5.51万元，完成预算的98.57%，决算数小于预算数的主要原因是节约开支，与上年相比增加5.18万元，增长1569.7%,增长的主要原因是增加上级主管部门和业务部门工作接待开支。</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14.7万元，支出决算为9.16万元，完成预算的62.31%，决算数小于预算数的主要原因是节约支出，与上年相比减少59.89万元，减少86.73%,减少的主要原因是上年购置2台车辆，本年未购置车辆和节约车辆维修护开支。</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2020年度“三公”经费财政拨款支出决算中，公务接待费支出决算5.51万元，占37.56%,因公出国（境）费支出决算0万元，占0%,公务用车购置费及运行维护费支出决算9.16万元，占62.44%。其中：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1、因公出国（境）费支出决算为0万元，全年安排因公出国（境）团组0个，累计0人次,开支内容包括：</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支出0万元。</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2、公务接待费支出决算为5.51万元，全年共接待来宾650人次，主要是上级主管部门和业务部门工作交流发生的接待支出。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9.16万元，其中：公务用车购置费0万元，公务用车运行维护费9.16万元，主要是燃油费、车辆保险费、维修费支出，截止2020年12月31日，我单位开支财政拨款的公务用车保有量为3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auto"/>
          <w:sz w:val="32"/>
          <w:szCs w:val="32"/>
        </w:rPr>
        <w:t>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本部门2020年度机关运行经费支出207.94万元，比上年决算数减少34.86万元，降低14.36%。主要原因是：其他商品服务支出减少。</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2020年本部门开支会议费0万元，人数0人；开支培训费0万元，人数0人。</w:t>
      </w:r>
      <w:r>
        <w:rPr>
          <w:rFonts w:asciiTheme="minorEastAsia" w:hAnsiTheme="minorEastAsia" w:eastAsiaTheme="minorEastAsia"/>
          <w:sz w:val="32"/>
          <w:szCs w:val="32"/>
        </w:rPr>
        <w:t xml:space="preserve"> </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本部门2020年度政府采购支出总额713.64万元，其中：政府采购货物支出97.26万元、政府采购工程支出201.6 万元、政府采购服务支出414.78万元。授予中小企业合同金额414.78万元，占政府采购支出总额的58.12%，其中：授予小微企业合同金额414.78万元，占政府采购支出总额的58.12%。</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3辆，其中，主要领导干部用车0辆，机要通信用车0辆、应急保障用车0辆、执法执勤用车3辆、特种专业技术用车0辆、其他用车0辆0；单位价值50万元以上通用设备0台（套）；单位价值100万元以上专用设备0台（套）。</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在县财政部门的领导下，及时开展预算绩效申报、绩效监控、评价情况，及时提交绩效目标表、监控表和绩效评价报告，并按照财政部门要求已公开。绩效评价结果显示我单位发挥了司法职能作用，对维护社会稳定</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起到了一定作用，为社会法治化作出了应有的贡献。</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ab/>
      </w: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社区矫正是指将符合社区矫正条件的罪犯置于社区内，由专门的国家机关，在相关社会团体和民间组织以及社会志愿者的协助下，在判决、裁定或决定确定的期限内，矫正其犯罪心理和行为恶习，并促进顺利回归社会的非监禁刑罚执行活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jc w:val="center"/>
        <w:rPr>
          <w:rFonts w:ascii="宋体" w:hAnsi="宋体" w:cs="宋体"/>
          <w:b/>
          <w:bCs/>
          <w:color w:val="010101"/>
          <w:kern w:val="0"/>
          <w:sz w:val="44"/>
          <w:szCs w:val="44"/>
        </w:rPr>
      </w:pPr>
    </w:p>
    <w:p>
      <w:pPr>
        <w:widowControl/>
        <w:ind w:firstLine="609"/>
        <w:jc w:val="left"/>
        <w:rPr>
          <w:rFonts w:ascii="仿宋" w:hAnsi="仿宋"/>
          <w:kern w:val="0"/>
        </w:rPr>
      </w:pPr>
      <w:r>
        <w:rPr>
          <w:rFonts w:ascii="仿宋" w:hAnsi="仿宋" w:cs="宋体"/>
          <w:b/>
          <w:bCs/>
          <w:color w:val="010101"/>
          <w:kern w:val="0"/>
          <w:sz w:val="32"/>
          <w:szCs w:val="32"/>
        </w:rPr>
        <w:t>一、基本概况</w:t>
      </w:r>
    </w:p>
    <w:p>
      <w:pPr>
        <w:ind w:firstLine="607"/>
        <w:rPr>
          <w:rFonts w:ascii="仿宋" w:hAnsi="仿宋" w:eastAsia="仿宋"/>
          <w:kern w:val="0"/>
        </w:rPr>
      </w:pPr>
      <w:r>
        <w:rPr>
          <w:rFonts w:ascii="仿宋" w:hAnsi="仿宋" w:eastAsia="仿宋" w:cs="宋体"/>
          <w:color w:val="010101"/>
          <w:kern w:val="0"/>
          <w:sz w:val="32"/>
          <w:szCs w:val="32"/>
        </w:rPr>
        <w:t>　</w:t>
      </w:r>
      <w:r>
        <w:rPr>
          <w:rFonts w:ascii="仿宋" w:hAnsi="仿宋" w:eastAsia="仿宋"/>
          <w:kern w:val="0"/>
          <w:sz w:val="32"/>
          <w:szCs w:val="32"/>
        </w:rPr>
        <w:t xml:space="preserve">本单位是行政单位，核定编制102名，其中政法编制80名、事业编22名。实有在职人员115人，其中政法人员96人、事业人员19人；退休人员46人，离休人员1人。 </w:t>
      </w:r>
    </w:p>
    <w:p>
      <w:pPr>
        <w:ind w:firstLine="607"/>
        <w:rPr>
          <w:rFonts w:ascii="仿宋" w:hAnsi="仿宋" w:eastAsia="仿宋"/>
          <w:b/>
          <w:bCs/>
          <w:kern w:val="0"/>
        </w:rPr>
      </w:pPr>
      <w:r>
        <w:rPr>
          <w:rFonts w:ascii="仿宋" w:hAnsi="仿宋" w:eastAsia="仿宋" w:cs="宋体"/>
          <w:b/>
          <w:bCs/>
          <w:color w:val="010101"/>
          <w:kern w:val="0"/>
          <w:sz w:val="32"/>
          <w:szCs w:val="32"/>
        </w:rPr>
        <w:t>（一）机构设置情况</w:t>
      </w:r>
    </w:p>
    <w:p>
      <w:pPr>
        <w:ind w:firstLine="607"/>
        <w:rPr>
          <w:rFonts w:ascii="仿宋" w:hAnsi="仿宋" w:eastAsia="仿宋"/>
          <w:kern w:val="0"/>
        </w:rPr>
      </w:pPr>
      <w:r>
        <w:rPr>
          <w:rFonts w:ascii="仿宋" w:hAnsi="仿宋" w:eastAsia="仿宋"/>
          <w:color w:val="010101"/>
          <w:kern w:val="0"/>
          <w:sz w:val="32"/>
          <w:szCs w:val="32"/>
        </w:rPr>
        <w:t>溆浦县司法局设立12个内设机构：</w:t>
      </w:r>
      <w:r>
        <w:rPr>
          <w:rFonts w:ascii="仿宋" w:hAnsi="仿宋" w:eastAsia="仿宋"/>
          <w:kern w:val="0"/>
          <w:sz w:val="32"/>
          <w:szCs w:val="32"/>
        </w:rPr>
        <w:t>办公室、法治调研督察与政策法规股(县委全面依法治县委员会办公室秘书组)；行政执法协调监督股（规范性文件管理股）；行政复议与应诉股；社区矫正工作局（社区矫正执法大队）；人民参与和促进法治股（人民陪审员和监督员选任管理办公室）;公共法律服务管理股（县法律援助中心）；普法与依法治理股；律师工作股；装备财务保障股；戒毒工作管理股；政工室（党建办公室）。本单位无独立核算的二组机构。</w:t>
      </w:r>
    </w:p>
    <w:p>
      <w:pPr>
        <w:ind w:firstLine="607"/>
        <w:rPr>
          <w:rFonts w:ascii="仿宋" w:hAnsi="仿宋" w:eastAsia="仿宋"/>
          <w:b/>
          <w:bCs/>
          <w:kern w:val="0"/>
        </w:rPr>
      </w:pPr>
      <w:r>
        <w:rPr>
          <w:rFonts w:ascii="仿宋" w:hAnsi="仿宋" w:eastAsia="仿宋" w:cs="宋体"/>
          <w:b/>
          <w:bCs/>
          <w:color w:val="010101"/>
          <w:kern w:val="0"/>
          <w:sz w:val="32"/>
          <w:szCs w:val="32"/>
        </w:rPr>
        <w:t>（二）主要工作职责</w:t>
      </w:r>
    </w:p>
    <w:p>
      <w:pPr>
        <w:ind w:firstLine="607"/>
        <w:rPr>
          <w:rFonts w:ascii="仿宋" w:hAnsi="仿宋" w:eastAsia="仿宋"/>
          <w:kern w:val="0"/>
        </w:rPr>
      </w:pPr>
      <w:r>
        <w:rPr>
          <w:rFonts w:ascii="仿宋" w:hAnsi="仿宋" w:eastAsia="仿宋"/>
          <w:kern w:val="0"/>
          <w:sz w:val="32"/>
          <w:szCs w:val="32"/>
        </w:rPr>
        <w:t>1、承担全面依法治县重大问题的调查研究，协调有关方面提出全面依法治县中长期规划建议，负责有关重大决策部署督察工作。</w:t>
      </w:r>
    </w:p>
    <w:p>
      <w:pPr>
        <w:ind w:firstLine="607"/>
        <w:rPr>
          <w:rFonts w:ascii="仿宋" w:hAnsi="仿宋" w:eastAsia="仿宋"/>
          <w:kern w:val="0"/>
        </w:rPr>
      </w:pPr>
      <w:r>
        <w:rPr>
          <w:rFonts w:ascii="仿宋" w:hAnsi="仿宋" w:eastAsia="仿宋"/>
          <w:kern w:val="0"/>
          <w:sz w:val="32"/>
          <w:szCs w:val="32"/>
        </w:rPr>
        <w:t>2、贯彻执行国家、省、市关于司法行政工作的方针政策和法律法规，编制全县司法行政工作发展规划和年度计划并监督实施。</w:t>
      </w:r>
    </w:p>
    <w:p>
      <w:pPr>
        <w:ind w:firstLine="607"/>
        <w:rPr>
          <w:rFonts w:ascii="仿宋" w:hAnsi="仿宋" w:eastAsia="仿宋"/>
          <w:kern w:val="0"/>
        </w:rPr>
      </w:pPr>
      <w:r>
        <w:rPr>
          <w:rFonts w:ascii="仿宋" w:hAnsi="仿宋" w:eastAsia="仿宋"/>
          <w:kern w:val="0"/>
          <w:sz w:val="32"/>
          <w:szCs w:val="32"/>
        </w:rPr>
        <w:t>3、负责指导全县规范性文件管理有关工作。</w:t>
      </w:r>
    </w:p>
    <w:p>
      <w:pPr>
        <w:ind w:firstLine="607"/>
        <w:rPr>
          <w:rFonts w:ascii="仿宋" w:hAnsi="仿宋" w:eastAsia="仿宋"/>
          <w:kern w:val="0"/>
        </w:rPr>
      </w:pPr>
      <w:r>
        <w:rPr>
          <w:rFonts w:ascii="仿宋" w:hAnsi="仿宋" w:eastAsia="仿宋"/>
          <w:kern w:val="0"/>
          <w:sz w:val="32"/>
          <w:szCs w:val="32"/>
        </w:rPr>
        <w:t>4、承担统筹推进法治政府建设的责任。</w:t>
      </w:r>
    </w:p>
    <w:p>
      <w:pPr>
        <w:ind w:firstLine="607"/>
        <w:rPr>
          <w:rFonts w:ascii="仿宋" w:hAnsi="仿宋" w:eastAsia="仿宋"/>
          <w:kern w:val="0"/>
        </w:rPr>
      </w:pPr>
      <w:r>
        <w:rPr>
          <w:rFonts w:ascii="仿宋" w:hAnsi="仿宋" w:eastAsia="仿宋"/>
          <w:kern w:val="0"/>
          <w:sz w:val="32"/>
          <w:szCs w:val="32"/>
        </w:rPr>
        <w:t>5、承办向县人民政府申请的行政复议案件，承办以县政府为被申请人向省、市政府申请行政复议案件的有关行政复议事项，承办或指导有关单位办理县人民政府受理的行政赔偿案件，承办或指导有关单位办理县人民政府应诉事项。指导、监督全县行政复议和行政应诉工作。</w:t>
      </w:r>
    </w:p>
    <w:p>
      <w:pPr>
        <w:ind w:firstLine="607"/>
        <w:rPr>
          <w:rFonts w:ascii="仿宋" w:hAnsi="仿宋" w:eastAsia="仿宋"/>
          <w:kern w:val="0"/>
        </w:rPr>
      </w:pPr>
      <w:r>
        <w:rPr>
          <w:rFonts w:ascii="仿宋" w:hAnsi="仿宋" w:eastAsia="仿宋"/>
          <w:kern w:val="0"/>
          <w:sz w:val="32"/>
          <w:szCs w:val="32"/>
        </w:rPr>
        <w:t>6、承担统筹规划全县法治社会建设的责任。</w:t>
      </w:r>
    </w:p>
    <w:p>
      <w:pPr>
        <w:ind w:firstLine="607"/>
        <w:rPr>
          <w:rFonts w:ascii="仿宋" w:hAnsi="仿宋" w:eastAsia="仿宋"/>
          <w:kern w:val="0"/>
        </w:rPr>
      </w:pPr>
      <w:r>
        <w:rPr>
          <w:rFonts w:ascii="仿宋" w:hAnsi="仿宋" w:eastAsia="仿宋"/>
          <w:kern w:val="0"/>
          <w:sz w:val="32"/>
          <w:szCs w:val="32"/>
        </w:rPr>
        <w:t>7、指导、管理社区矫正工作。</w:t>
      </w:r>
    </w:p>
    <w:p>
      <w:pPr>
        <w:ind w:firstLine="607"/>
        <w:rPr>
          <w:rFonts w:ascii="仿宋" w:hAnsi="仿宋" w:eastAsia="仿宋"/>
          <w:kern w:val="0"/>
        </w:rPr>
      </w:pPr>
      <w:r>
        <w:rPr>
          <w:rFonts w:ascii="仿宋" w:hAnsi="仿宋" w:eastAsia="仿宋"/>
          <w:kern w:val="0"/>
          <w:sz w:val="32"/>
          <w:szCs w:val="32"/>
        </w:rPr>
        <w:t>8、指导管理本系统强制隔离戒毒执行和戒毒康复工作。</w:t>
      </w:r>
    </w:p>
    <w:p>
      <w:pPr>
        <w:ind w:firstLine="607"/>
        <w:rPr>
          <w:rFonts w:ascii="仿宋" w:hAnsi="仿宋" w:eastAsia="仿宋"/>
          <w:kern w:val="0"/>
        </w:rPr>
      </w:pPr>
      <w:r>
        <w:rPr>
          <w:rFonts w:ascii="仿宋" w:hAnsi="仿宋" w:eastAsia="仿宋"/>
          <w:kern w:val="0"/>
          <w:sz w:val="32"/>
          <w:szCs w:val="32"/>
        </w:rPr>
        <w:t>9、负责县人民政府法律顾问工作。</w:t>
      </w:r>
    </w:p>
    <w:p>
      <w:pPr>
        <w:ind w:firstLine="607"/>
        <w:rPr>
          <w:rFonts w:ascii="仿宋" w:hAnsi="仿宋" w:eastAsia="仿宋"/>
          <w:kern w:val="0"/>
        </w:rPr>
      </w:pPr>
      <w:r>
        <w:rPr>
          <w:rFonts w:ascii="仿宋" w:hAnsi="仿宋" w:eastAsia="仿宋"/>
          <w:kern w:val="0"/>
          <w:sz w:val="32"/>
          <w:szCs w:val="32"/>
        </w:rPr>
        <w:t>10、负责全县法治对外合作工作。</w:t>
      </w:r>
    </w:p>
    <w:p>
      <w:pPr>
        <w:ind w:firstLine="607"/>
        <w:rPr>
          <w:rFonts w:ascii="仿宋" w:hAnsi="仿宋" w:eastAsia="仿宋"/>
          <w:kern w:val="0"/>
        </w:rPr>
      </w:pPr>
      <w:r>
        <w:rPr>
          <w:rFonts w:ascii="仿宋" w:hAnsi="仿宋" w:eastAsia="仿宋"/>
          <w:kern w:val="0"/>
          <w:sz w:val="32"/>
          <w:szCs w:val="32"/>
        </w:rPr>
        <w:t>11、负责本系统服装和警车管理工作，指导、监督本系统财务、装备、设施、场所等保障工作。</w:t>
      </w:r>
    </w:p>
    <w:p>
      <w:pPr>
        <w:ind w:firstLine="607"/>
        <w:rPr>
          <w:rFonts w:ascii="仿宋" w:hAnsi="仿宋" w:eastAsia="仿宋"/>
          <w:kern w:val="0"/>
        </w:rPr>
      </w:pPr>
      <w:r>
        <w:rPr>
          <w:rFonts w:ascii="仿宋" w:hAnsi="仿宋" w:eastAsia="仿宋"/>
          <w:kern w:val="0"/>
          <w:sz w:val="32"/>
          <w:szCs w:val="32"/>
        </w:rPr>
        <w:t>12、规划、协调、指导法治人才队伍建设相关工作。</w:t>
      </w:r>
    </w:p>
    <w:p>
      <w:pPr>
        <w:ind w:firstLine="607"/>
        <w:rPr>
          <w:rFonts w:ascii="仿宋" w:hAnsi="仿宋" w:eastAsia="仿宋"/>
          <w:kern w:val="0"/>
        </w:rPr>
      </w:pPr>
      <w:r>
        <w:rPr>
          <w:rFonts w:ascii="仿宋" w:hAnsi="仿宋" w:eastAsia="仿宋"/>
          <w:kern w:val="0"/>
          <w:sz w:val="32"/>
          <w:szCs w:val="32"/>
        </w:rPr>
        <w:t>13、完成县委、县政府交办的其他任务。</w:t>
      </w:r>
    </w:p>
    <w:p>
      <w:pPr>
        <w:widowControl/>
        <w:ind w:firstLine="609"/>
        <w:jc w:val="left"/>
        <w:rPr>
          <w:rFonts w:ascii="仿宋" w:hAnsi="仿宋"/>
          <w:kern w:val="0"/>
        </w:rPr>
      </w:pPr>
      <w:r>
        <w:rPr>
          <w:rFonts w:ascii="仿宋" w:hAnsi="仿宋" w:cs="宋体"/>
          <w:b/>
          <w:bCs/>
          <w:color w:val="010101"/>
          <w:kern w:val="0"/>
          <w:sz w:val="32"/>
          <w:szCs w:val="32"/>
        </w:rPr>
        <w:t>二、部门整体支出管理及使用情况</w:t>
      </w:r>
    </w:p>
    <w:p>
      <w:pPr>
        <w:ind w:firstLine="607"/>
        <w:rPr>
          <w:rFonts w:ascii="仿宋" w:hAnsi="仿宋" w:eastAsia="仿宋"/>
          <w:b/>
          <w:bCs/>
          <w:kern w:val="0"/>
        </w:rPr>
      </w:pPr>
      <w:r>
        <w:rPr>
          <w:rFonts w:ascii="仿宋" w:hAnsi="仿宋" w:eastAsia="仿宋"/>
          <w:b/>
          <w:bCs/>
          <w:kern w:val="0"/>
          <w:sz w:val="32"/>
          <w:szCs w:val="32"/>
        </w:rPr>
        <w:t>（一）收入情况</w:t>
      </w:r>
    </w:p>
    <w:p>
      <w:pPr>
        <w:ind w:firstLine="607"/>
        <w:rPr>
          <w:rFonts w:ascii="仿宋" w:hAnsi="仿宋" w:eastAsia="仿宋"/>
          <w:kern w:val="0"/>
        </w:rPr>
      </w:pPr>
      <w:r>
        <w:rPr>
          <w:rFonts w:ascii="仿宋" w:hAnsi="仿宋" w:eastAsia="仿宋"/>
          <w:kern w:val="0"/>
          <w:sz w:val="32"/>
          <w:szCs w:val="32"/>
        </w:rPr>
        <w:t>本年收入共计2284.31万元，其中公共预算财政拨款收入2284.31万元</w:t>
      </w:r>
      <w:r>
        <w:rPr>
          <w:rFonts w:ascii="仿宋" w:hAnsi="仿宋" w:eastAsia="仿宋"/>
          <w:b/>
          <w:kern w:val="0"/>
          <w:sz w:val="32"/>
          <w:szCs w:val="32"/>
        </w:rPr>
        <w:t>。</w:t>
      </w:r>
    </w:p>
    <w:p>
      <w:pPr>
        <w:ind w:firstLine="607"/>
        <w:rPr>
          <w:rFonts w:ascii="仿宋" w:hAnsi="仿宋" w:eastAsia="仿宋"/>
          <w:b/>
          <w:bCs/>
          <w:kern w:val="0"/>
        </w:rPr>
      </w:pPr>
      <w:r>
        <w:rPr>
          <w:rFonts w:ascii="仿宋" w:hAnsi="仿宋" w:eastAsia="仿宋" w:cs="宋体"/>
          <w:b/>
          <w:bCs/>
          <w:color w:val="010101"/>
          <w:kern w:val="0"/>
          <w:sz w:val="32"/>
          <w:szCs w:val="32"/>
        </w:rPr>
        <w:t xml:space="preserve">（二）支出情况 </w:t>
      </w:r>
    </w:p>
    <w:p>
      <w:pPr>
        <w:ind w:firstLine="607"/>
        <w:rPr>
          <w:rFonts w:ascii="仿宋" w:hAnsi="仿宋" w:eastAsia="仿宋"/>
          <w:kern w:val="0"/>
        </w:rPr>
      </w:pPr>
      <w:r>
        <w:rPr>
          <w:rFonts w:ascii="仿宋" w:hAnsi="仿宋" w:eastAsia="仿宋" w:cs="宋体"/>
          <w:color w:val="010101"/>
          <w:kern w:val="0"/>
          <w:sz w:val="32"/>
          <w:szCs w:val="32"/>
        </w:rPr>
        <w:t>1、基本支出管理情况</w:t>
      </w:r>
    </w:p>
    <w:p>
      <w:pPr>
        <w:widowControl/>
        <w:ind w:firstLine="607"/>
        <w:jc w:val="left"/>
        <w:rPr>
          <w:rFonts w:ascii="仿宋" w:hAnsi="仿宋" w:eastAsia="仿宋"/>
          <w:kern w:val="0"/>
        </w:rPr>
      </w:pPr>
      <w:r>
        <w:rPr>
          <w:rFonts w:ascii="仿宋" w:hAnsi="仿宋" w:eastAsia="仿宋" w:cs="宋体"/>
          <w:color w:val="010101"/>
          <w:kern w:val="0"/>
          <w:sz w:val="32"/>
          <w:szCs w:val="32"/>
        </w:rPr>
        <w:t>司法局基本支出范围和主要用途包括：司法行政工作人员经费和日常公用经费。具体包括：工资福利支出、对个人和家庭的补助、商品和服务支出、资本性支出。基本支出的管理和使用情况如下：</w:t>
      </w:r>
      <w:r>
        <w:rPr>
          <w:rFonts w:ascii="仿宋" w:hAnsi="仿宋" w:eastAsia="仿宋"/>
          <w:kern w:val="0"/>
          <w:sz w:val="32"/>
          <w:szCs w:val="32"/>
        </w:rPr>
        <w:t>基本支出1364.03万元。①工资福利支出1119.2</w:t>
      </w:r>
      <w:r>
        <w:rPr>
          <w:rFonts w:hint="eastAsia" w:ascii="仿宋" w:hAnsi="仿宋" w:eastAsia="仿宋"/>
          <w:kern w:val="0"/>
          <w:sz w:val="32"/>
          <w:szCs w:val="32"/>
        </w:rPr>
        <w:t>2</w:t>
      </w:r>
      <w:r>
        <w:rPr>
          <w:rFonts w:ascii="仿宋" w:hAnsi="仿宋" w:eastAsia="仿宋"/>
          <w:kern w:val="0"/>
          <w:sz w:val="32"/>
          <w:szCs w:val="32"/>
        </w:rPr>
        <w:t>万元。②商品和服务支出207.94万元。③对个人和家庭的补助36.8</w:t>
      </w:r>
      <w:r>
        <w:rPr>
          <w:rFonts w:hint="eastAsia" w:ascii="仿宋" w:hAnsi="仿宋" w:eastAsia="仿宋"/>
          <w:kern w:val="0"/>
          <w:sz w:val="32"/>
          <w:szCs w:val="32"/>
        </w:rPr>
        <w:t>7</w:t>
      </w:r>
      <w:r>
        <w:rPr>
          <w:rFonts w:ascii="仿宋" w:hAnsi="仿宋" w:eastAsia="仿宋"/>
          <w:kern w:val="0"/>
          <w:sz w:val="32"/>
          <w:szCs w:val="32"/>
        </w:rPr>
        <w:t>万元。</w:t>
      </w:r>
    </w:p>
    <w:p>
      <w:pPr>
        <w:widowControl/>
        <w:ind w:left="441" w:firstLine="152"/>
        <w:jc w:val="left"/>
        <w:rPr>
          <w:rFonts w:ascii="仿宋" w:hAnsi="仿宋" w:eastAsia="仿宋"/>
          <w:kern w:val="0"/>
        </w:rPr>
      </w:pPr>
      <w:r>
        <w:rPr>
          <w:rFonts w:ascii="仿宋" w:hAnsi="仿宋" w:eastAsia="仿宋" w:cs="宋体"/>
          <w:color w:val="010101"/>
          <w:kern w:val="0"/>
          <w:sz w:val="32"/>
          <w:szCs w:val="32"/>
        </w:rPr>
        <w:t xml:space="preserve"> 2、项目资金管理和使用情况    </w:t>
      </w:r>
    </w:p>
    <w:p>
      <w:pPr>
        <w:ind w:firstLine="607"/>
        <w:rPr>
          <w:rFonts w:ascii="仿宋" w:hAnsi="仿宋" w:eastAsia="仿宋"/>
          <w:kern w:val="0"/>
        </w:rPr>
      </w:pPr>
      <w:r>
        <w:rPr>
          <w:rFonts w:ascii="仿宋" w:hAnsi="仿宋" w:eastAsia="仿宋"/>
          <w:color w:val="010101"/>
          <w:kern w:val="0"/>
          <w:sz w:val="32"/>
          <w:szCs w:val="32"/>
        </w:rPr>
        <w:t>本年用于业务工作专项的实际开支为920.28万元。根据我局的工作职能和职责设立，经费支出范围为开展司法业务工作相关的工作经费，为持续性、常年性项目，具体包括社区矫正、人民调解、法律援助、法律顾问、法制工作、安置帮教等项目。通过专项工作的开展，实现全工作的持续安全稳定；全面推进法制建设，严格律师监管，加强人民调解，扩展和规范基层法律服务，推进安置帮教工作，落实社区矫正工作的快速发展绩效目标，使政府职能依法全面履行。</w:t>
      </w:r>
    </w:p>
    <w:p>
      <w:pPr>
        <w:widowControl/>
        <w:jc w:val="left"/>
        <w:rPr>
          <w:rFonts w:ascii="仿宋" w:hAnsi="仿宋" w:eastAsia="仿宋"/>
          <w:kern w:val="0"/>
        </w:rPr>
      </w:pPr>
      <w:r>
        <w:rPr>
          <w:rFonts w:ascii="仿宋" w:hAnsi="仿宋" w:eastAsia="仿宋" w:cs="宋体"/>
          <w:color w:val="010101"/>
          <w:kern w:val="0"/>
          <w:sz w:val="32"/>
          <w:szCs w:val="32"/>
        </w:rPr>
        <w:t xml:space="preserve">     3、“三公”经费支出使用和管理情况</w:t>
      </w:r>
    </w:p>
    <w:p>
      <w:pPr>
        <w:widowControl/>
        <w:ind w:firstLine="601"/>
        <w:jc w:val="left"/>
        <w:rPr>
          <w:rFonts w:ascii="仿宋" w:hAnsi="仿宋" w:eastAsia="仿宋"/>
          <w:kern w:val="0"/>
        </w:rPr>
      </w:pPr>
      <w:r>
        <w:rPr>
          <w:rFonts w:ascii="仿宋" w:hAnsi="仿宋" w:eastAsia="仿宋" w:cs="宋体"/>
          <w:color w:val="010101"/>
          <w:kern w:val="0"/>
          <w:sz w:val="32"/>
          <w:szCs w:val="32"/>
        </w:rPr>
        <w:t>本年“三公”经费各费用均控制在预算范围内：公车运行维护费为9.1</w:t>
      </w:r>
      <w:r>
        <w:rPr>
          <w:rFonts w:hint="eastAsia" w:ascii="仿宋" w:hAnsi="仿宋" w:eastAsia="仿宋" w:cs="宋体"/>
          <w:color w:val="010101"/>
          <w:kern w:val="0"/>
          <w:sz w:val="32"/>
          <w:szCs w:val="32"/>
        </w:rPr>
        <w:t>6</w:t>
      </w:r>
      <w:r>
        <w:rPr>
          <w:rFonts w:ascii="仿宋" w:hAnsi="仿宋" w:eastAsia="仿宋" w:cs="宋体"/>
          <w:color w:val="010101"/>
          <w:kern w:val="0"/>
          <w:sz w:val="32"/>
          <w:szCs w:val="32"/>
        </w:rPr>
        <w:t>万元，未超过年初预算14.7万元；公务接待费为5.51万元，未超过年初预算5.59万元；无因公出国（境）费用。</w:t>
      </w:r>
    </w:p>
    <w:p>
      <w:pPr>
        <w:widowControl/>
        <w:ind w:firstLine="603"/>
        <w:jc w:val="left"/>
        <w:rPr>
          <w:rFonts w:ascii="仿宋" w:hAnsi="仿宋"/>
          <w:kern w:val="0"/>
        </w:rPr>
      </w:pPr>
      <w:r>
        <w:rPr>
          <w:rFonts w:ascii="仿宋" w:hAnsi="仿宋" w:cs="宋体"/>
          <w:b/>
          <w:color w:val="010101"/>
          <w:kern w:val="0"/>
          <w:sz w:val="32"/>
          <w:szCs w:val="32"/>
        </w:rPr>
        <w:t>三、部门专项组织实施情况</w:t>
      </w:r>
    </w:p>
    <w:p>
      <w:pPr>
        <w:widowControl/>
        <w:ind w:firstLine="601"/>
        <w:jc w:val="left"/>
        <w:rPr>
          <w:rFonts w:ascii="仿宋" w:hAnsi="仿宋" w:eastAsia="仿宋"/>
          <w:kern w:val="0"/>
        </w:rPr>
      </w:pPr>
      <w:r>
        <w:rPr>
          <w:rFonts w:ascii="仿宋" w:hAnsi="仿宋" w:eastAsia="仿宋" w:cs="宋体"/>
          <w:color w:val="010101"/>
          <w:kern w:val="0"/>
          <w:sz w:val="32"/>
          <w:szCs w:val="32"/>
        </w:rPr>
        <w:t>部门专项经费严格预算制度实施，没有一个超预算支出项目。部门专项工作按照上级文件和合同约定执行，资金支付严格按照内部控制制度办理，采取承办单位申报，我局和财政部门审核后确定并支付。</w:t>
      </w:r>
    </w:p>
    <w:p>
      <w:pPr>
        <w:widowControl/>
        <w:ind w:firstLine="603"/>
        <w:jc w:val="left"/>
        <w:rPr>
          <w:rFonts w:ascii="仿宋" w:hAnsi="仿宋"/>
          <w:kern w:val="0"/>
        </w:rPr>
      </w:pPr>
      <w:r>
        <w:rPr>
          <w:rFonts w:ascii="仿宋" w:hAnsi="仿宋" w:cs="宋体"/>
          <w:b/>
          <w:color w:val="010101"/>
          <w:kern w:val="0"/>
          <w:sz w:val="32"/>
          <w:szCs w:val="32"/>
        </w:rPr>
        <w:t>四、资产管理情况</w:t>
      </w:r>
    </w:p>
    <w:p>
      <w:pPr>
        <w:widowControl/>
        <w:ind w:firstLine="601"/>
        <w:jc w:val="left"/>
        <w:rPr>
          <w:rFonts w:ascii="仿宋" w:hAnsi="仿宋" w:eastAsia="仿宋"/>
          <w:kern w:val="0"/>
        </w:rPr>
      </w:pPr>
      <w:r>
        <w:rPr>
          <w:rFonts w:ascii="仿宋" w:hAnsi="仿宋" w:eastAsia="仿宋" w:cs="宋体"/>
          <w:color w:val="010101"/>
          <w:kern w:val="0"/>
          <w:sz w:val="32"/>
          <w:szCs w:val="32"/>
        </w:rPr>
        <w:t>2020年初我单位固定资产为717.52万元，增加固定资产56.36万元，年末固定资产为773.88万元，主要原因是购置了部分固定资产。资产的增加或减少严格按照内部控制制度履行审批程序，及时办理相关手续，重大的支出形成党组会议纪要。</w:t>
      </w:r>
    </w:p>
    <w:p>
      <w:pPr>
        <w:widowControl/>
        <w:ind w:firstLine="609"/>
        <w:jc w:val="left"/>
        <w:rPr>
          <w:rFonts w:ascii="仿宋" w:hAnsi="仿宋"/>
          <w:kern w:val="0"/>
        </w:rPr>
      </w:pPr>
      <w:r>
        <w:rPr>
          <w:rFonts w:ascii="仿宋" w:hAnsi="仿宋" w:cs="宋体"/>
          <w:b/>
          <w:bCs/>
          <w:color w:val="010101"/>
          <w:kern w:val="0"/>
          <w:sz w:val="32"/>
          <w:szCs w:val="32"/>
        </w:rPr>
        <w:t>五、部门整体支出绩效情况</w:t>
      </w:r>
    </w:p>
    <w:p>
      <w:pPr>
        <w:widowControl/>
        <w:ind w:firstLine="607"/>
        <w:jc w:val="left"/>
        <w:rPr>
          <w:rFonts w:ascii="仿宋" w:hAnsi="仿宋" w:eastAsia="仿宋"/>
          <w:kern w:val="0"/>
        </w:rPr>
      </w:pPr>
      <w:r>
        <w:rPr>
          <w:rFonts w:ascii="仿宋" w:hAnsi="仿宋" w:eastAsia="仿宋" w:cs="宋体"/>
          <w:color w:val="010101"/>
          <w:kern w:val="0"/>
          <w:sz w:val="32"/>
          <w:szCs w:val="32"/>
        </w:rPr>
        <w:t>根据年初工作规划和工作要求，围绕县委、县政府全面建成小康社会的发展蓝图，积极履职，强化管理，较好地完成了年度工作目标。通过加强预算收支的管理，不断建立健全内部管理制度，理顺内部管理流程，部门整体支出管理情况得到了提升。部门整体支出绩效情况如下：</w:t>
      </w:r>
    </w:p>
    <w:p>
      <w:pPr>
        <w:widowControl/>
        <w:ind w:firstLine="607"/>
        <w:jc w:val="left"/>
        <w:rPr>
          <w:rFonts w:ascii="仿宋" w:hAnsi="仿宋" w:eastAsia="仿宋"/>
          <w:b/>
          <w:bCs/>
          <w:kern w:val="0"/>
        </w:rPr>
      </w:pPr>
      <w:r>
        <w:rPr>
          <w:rFonts w:ascii="仿宋" w:hAnsi="仿宋" w:eastAsia="仿宋" w:cs="宋体"/>
          <w:b/>
          <w:bCs/>
          <w:color w:val="010101"/>
          <w:kern w:val="0"/>
          <w:sz w:val="32"/>
          <w:szCs w:val="32"/>
        </w:rPr>
        <w:t>（一）经济性评价</w:t>
      </w:r>
    </w:p>
    <w:p>
      <w:pPr>
        <w:widowControl/>
        <w:ind w:firstLine="607"/>
        <w:jc w:val="left"/>
        <w:rPr>
          <w:rFonts w:ascii="仿宋" w:hAnsi="仿宋" w:eastAsia="仿宋"/>
          <w:kern w:val="0"/>
        </w:rPr>
      </w:pPr>
      <w:r>
        <w:rPr>
          <w:rFonts w:ascii="仿宋" w:hAnsi="仿宋" w:eastAsia="仿宋" w:cs="宋体"/>
          <w:color w:val="010101"/>
          <w:kern w:val="0"/>
          <w:sz w:val="32"/>
          <w:szCs w:val="32"/>
        </w:rPr>
        <w:t>1、本年预算安排控制较好， “三公”经费预算总额未突破上年。</w:t>
      </w:r>
    </w:p>
    <w:p>
      <w:pPr>
        <w:widowControl/>
        <w:shd w:val="clear" w:color="auto" w:fill="FFFFFF"/>
        <w:ind w:firstLine="607"/>
        <w:jc w:val="left"/>
        <w:rPr>
          <w:rFonts w:ascii="仿宋" w:hAnsi="仿宋" w:eastAsia="仿宋"/>
          <w:kern w:val="0"/>
        </w:rPr>
      </w:pPr>
      <w:r>
        <w:rPr>
          <w:rFonts w:ascii="仿宋" w:hAnsi="仿宋" w:eastAsia="仿宋" w:cs="宋体"/>
          <w:color w:val="010101"/>
          <w:kern w:val="0"/>
          <w:sz w:val="32"/>
          <w:szCs w:val="32"/>
        </w:rPr>
        <w:t>2、预算执行方面，支出总额控制在预算总额以内；本年转移资金支付，不存在截留或滞留专项资金情况。</w:t>
      </w:r>
    </w:p>
    <w:p>
      <w:pPr>
        <w:widowControl/>
        <w:ind w:firstLine="607"/>
        <w:jc w:val="left"/>
        <w:rPr>
          <w:rFonts w:ascii="仿宋" w:hAnsi="仿宋" w:eastAsia="仿宋"/>
          <w:b/>
          <w:bCs/>
          <w:kern w:val="0"/>
        </w:rPr>
      </w:pPr>
      <w:r>
        <w:rPr>
          <w:rFonts w:ascii="仿宋" w:hAnsi="仿宋" w:eastAsia="仿宋" w:cs="宋体"/>
          <w:b/>
          <w:bCs/>
          <w:color w:val="010101"/>
          <w:kern w:val="0"/>
          <w:sz w:val="32"/>
          <w:szCs w:val="32"/>
        </w:rPr>
        <w:t>（二）行政效能评价</w:t>
      </w:r>
    </w:p>
    <w:p>
      <w:pPr>
        <w:widowControl/>
        <w:ind w:firstLine="607"/>
        <w:jc w:val="left"/>
        <w:rPr>
          <w:rFonts w:ascii="仿宋" w:hAnsi="仿宋" w:eastAsia="仿宋"/>
          <w:kern w:val="0"/>
        </w:rPr>
      </w:pPr>
      <w:r>
        <w:rPr>
          <w:rFonts w:ascii="仿宋" w:hAnsi="仿宋" w:eastAsia="仿宋" w:cs="宋体"/>
          <w:color w:val="010101"/>
          <w:kern w:val="0"/>
          <w:sz w:val="32"/>
          <w:szCs w:val="32"/>
        </w:rPr>
        <w:t>为强化部门整体支出，加强国有资产管理，提高资金使用效益，提升财务管理，建立节约型机关，在强化业务管理、财务管理和厉行节约方面开展了大量工作，行政效能显著。</w:t>
      </w:r>
    </w:p>
    <w:p>
      <w:pPr>
        <w:widowControl/>
        <w:ind w:firstLine="607"/>
        <w:jc w:val="left"/>
        <w:rPr>
          <w:rFonts w:ascii="仿宋" w:hAnsi="仿宋" w:eastAsia="仿宋"/>
          <w:kern w:val="0"/>
        </w:rPr>
      </w:pPr>
      <w:r>
        <w:rPr>
          <w:rFonts w:ascii="仿宋" w:hAnsi="仿宋" w:eastAsia="仿宋" w:cs="宋体"/>
          <w:color w:val="010101"/>
          <w:kern w:val="0"/>
          <w:sz w:val="32"/>
          <w:szCs w:val="32"/>
        </w:rPr>
        <w:t>1、在原有相对健全的财务管理制度基础上，适时地、针对性地进行了相关制度的增补，建立更为完善的规章制度。</w:t>
      </w:r>
    </w:p>
    <w:p>
      <w:pPr>
        <w:widowControl/>
        <w:ind w:firstLine="607"/>
        <w:jc w:val="left"/>
        <w:rPr>
          <w:rFonts w:ascii="仿宋" w:hAnsi="仿宋" w:eastAsia="仿宋"/>
          <w:kern w:val="0"/>
        </w:rPr>
      </w:pPr>
      <w:r>
        <w:rPr>
          <w:rFonts w:ascii="仿宋" w:hAnsi="仿宋" w:eastAsia="仿宋" w:cs="宋体"/>
          <w:color w:val="010101"/>
          <w:kern w:val="0"/>
          <w:sz w:val="32"/>
          <w:szCs w:val="32"/>
        </w:rPr>
        <w:t>2、重视制度的学习和宣讲工作，并已逐步形成了崇尚厉行节约反对浪费的机关文化。</w:t>
      </w:r>
    </w:p>
    <w:p>
      <w:pPr>
        <w:widowControl/>
        <w:ind w:firstLine="607"/>
        <w:jc w:val="left"/>
        <w:rPr>
          <w:rFonts w:ascii="仿宋" w:hAnsi="仿宋" w:eastAsia="仿宋"/>
          <w:kern w:val="0"/>
        </w:rPr>
      </w:pPr>
      <w:r>
        <w:rPr>
          <w:rFonts w:ascii="仿宋" w:hAnsi="仿宋" w:eastAsia="仿宋" w:cs="宋体"/>
          <w:color w:val="010101"/>
          <w:kern w:val="0"/>
          <w:sz w:val="32"/>
          <w:szCs w:val="32"/>
        </w:rPr>
        <w:t>3、建立了经费支出定期汇报和公示机制，经费支出的公开透明性得到提高。</w:t>
      </w:r>
    </w:p>
    <w:p>
      <w:pPr>
        <w:widowControl/>
        <w:ind w:firstLine="607"/>
        <w:jc w:val="left"/>
        <w:rPr>
          <w:rFonts w:ascii="仿宋" w:hAnsi="仿宋" w:eastAsia="仿宋"/>
          <w:kern w:val="0"/>
        </w:rPr>
      </w:pPr>
      <w:r>
        <w:rPr>
          <w:rFonts w:ascii="仿宋" w:hAnsi="仿宋" w:eastAsia="仿宋" w:cs="宋体"/>
          <w:color w:val="010101"/>
          <w:kern w:val="0"/>
          <w:sz w:val="32"/>
          <w:szCs w:val="32"/>
        </w:rPr>
        <w:t>除按照财政要求对部门预算、“三公”经费进行例行公示外，根据经费支出情况，每月进行经费支出财务统计和分析，并及时向分管领导和绩效评价领导小组进行汇报，对经费支出的管理状况提出建设性的意见，使各项经费管理和监督发挥了较好的作用。</w:t>
      </w:r>
    </w:p>
    <w:p>
      <w:pPr>
        <w:widowControl/>
        <w:ind w:firstLine="607"/>
        <w:jc w:val="left"/>
        <w:rPr>
          <w:rFonts w:ascii="仿宋" w:hAnsi="仿宋" w:eastAsia="仿宋"/>
          <w:kern w:val="0"/>
        </w:rPr>
      </w:pPr>
      <w:r>
        <w:rPr>
          <w:rFonts w:ascii="仿宋" w:hAnsi="仿宋" w:eastAsia="仿宋" w:cs="宋体"/>
          <w:color w:val="010101"/>
          <w:kern w:val="0"/>
          <w:sz w:val="32"/>
          <w:szCs w:val="32"/>
        </w:rPr>
        <w:t>4、严格执行了国库集中支付、三重一大制度、公务卡结算制度、政府采购等有关规定，政府采购目录内的货物与服务全部按要求实施了政府采购，确保了支出管理流程、审批手续的完整。</w:t>
      </w:r>
    </w:p>
    <w:p>
      <w:pPr>
        <w:widowControl/>
        <w:ind w:firstLine="607"/>
        <w:jc w:val="left"/>
        <w:rPr>
          <w:rFonts w:ascii="仿宋" w:hAnsi="仿宋" w:eastAsia="仿宋"/>
          <w:kern w:val="0"/>
        </w:rPr>
      </w:pPr>
      <w:r>
        <w:rPr>
          <w:rFonts w:ascii="仿宋" w:hAnsi="仿宋" w:eastAsia="仿宋" w:cs="宋体"/>
          <w:color w:val="010101"/>
          <w:kern w:val="0"/>
          <w:sz w:val="32"/>
          <w:szCs w:val="32"/>
        </w:rPr>
        <w:t>5、加强了会计核算工作。继续对《政府会计制度》进行了全面系统学习，按照新制度的要求，对财务管理软件进行优化升级，提高了财务核算质量。</w:t>
      </w:r>
    </w:p>
    <w:p>
      <w:pPr>
        <w:widowControl/>
        <w:ind w:firstLine="607"/>
        <w:jc w:val="left"/>
        <w:rPr>
          <w:rFonts w:ascii="仿宋" w:hAnsi="仿宋" w:eastAsia="仿宋"/>
          <w:b/>
          <w:bCs/>
          <w:kern w:val="0"/>
        </w:rPr>
      </w:pPr>
      <w:r>
        <w:rPr>
          <w:rFonts w:ascii="仿宋" w:hAnsi="仿宋" w:eastAsia="仿宋" w:cs="宋体"/>
          <w:b/>
          <w:bCs/>
          <w:color w:val="010101"/>
          <w:kern w:val="0"/>
          <w:sz w:val="32"/>
          <w:szCs w:val="32"/>
        </w:rPr>
        <w:t>（三）项目产出及社会效益评价</w:t>
      </w:r>
    </w:p>
    <w:p>
      <w:pPr>
        <w:widowControl/>
        <w:ind w:firstLine="607"/>
        <w:jc w:val="left"/>
        <w:rPr>
          <w:rFonts w:ascii="仿宋" w:hAnsi="仿宋" w:eastAsia="仿宋"/>
          <w:kern w:val="0"/>
        </w:rPr>
      </w:pPr>
      <w:r>
        <w:rPr>
          <w:rFonts w:ascii="仿宋" w:hAnsi="仿宋" w:eastAsia="仿宋" w:cs="宋体"/>
          <w:color w:val="010101"/>
          <w:kern w:val="0"/>
          <w:sz w:val="32"/>
          <w:szCs w:val="32"/>
        </w:rPr>
        <w:t>一年来，通过专项工作的开展，我们狠抓重点工作，较好地完成了各项目标任务，取得了较好的社会效益。</w:t>
      </w:r>
    </w:p>
    <w:p>
      <w:pPr>
        <w:widowControl/>
        <w:ind w:firstLine="607"/>
        <w:jc w:val="left"/>
        <w:rPr>
          <w:rFonts w:ascii="仿宋" w:hAnsi="仿宋" w:eastAsia="仿宋"/>
          <w:kern w:val="0"/>
        </w:rPr>
      </w:pPr>
      <w:r>
        <w:rPr>
          <w:rFonts w:ascii="仿宋" w:hAnsi="仿宋" w:eastAsia="仿宋" w:cs="宋体"/>
          <w:color w:val="010101"/>
          <w:kern w:val="0"/>
          <w:sz w:val="32"/>
          <w:szCs w:val="32"/>
        </w:rPr>
        <w:t>1、进一步夯实基层司法行政基础。完成了各基层司法所外观标识和内部设置统一规范工作，配齐了电脑、打印机、档案柜、执法记录仪等办公设备。加大基层司法员的学习培训力度，组织了25名基层司法所长参加市局举办的业务培训。按照“组织机构正规化、干部队伍专业化、业务工作法治化、所务管理制度化、基础设施标准化”的要求，大力加强模范化、规范化司法所建设。</w:t>
      </w:r>
    </w:p>
    <w:p>
      <w:pPr>
        <w:widowControl/>
        <w:ind w:firstLine="607"/>
        <w:jc w:val="left"/>
        <w:rPr>
          <w:rFonts w:ascii="仿宋" w:hAnsi="仿宋" w:eastAsia="仿宋"/>
          <w:kern w:val="0"/>
        </w:rPr>
      </w:pPr>
      <w:r>
        <w:rPr>
          <w:rFonts w:ascii="仿宋" w:hAnsi="仿宋" w:eastAsia="仿宋" w:cs="宋体"/>
          <w:color w:val="010101"/>
          <w:kern w:val="0"/>
          <w:sz w:val="32"/>
          <w:szCs w:val="32"/>
        </w:rPr>
        <w:t>2、进一步提升人民调解工作水平。一是继续发扬“枫桥经验“，深入推进”四查四防化纠纷，千乡万村创四无“专项调解活动，加大与行政调解、司法调解的衔接配合力度，积极构建“大调解”格局。二是进一步规范了人民调解组织建设。在县级全面推进行业性、专业性人民调解委员会的建设，现已设立各级人民调解组织449个，人民调解员2139名。三是不断探索建立多元化解矛盾纠纷的机制，在全县范围内推广试点经验，完善了五级调解网络。截止2020年底为止，全年人民调解案件3269件。</w:t>
      </w:r>
    </w:p>
    <w:p>
      <w:pPr>
        <w:widowControl/>
        <w:ind w:firstLine="607"/>
        <w:jc w:val="left"/>
        <w:rPr>
          <w:rFonts w:ascii="仿宋" w:hAnsi="仿宋" w:eastAsia="仿宋"/>
          <w:kern w:val="0"/>
        </w:rPr>
      </w:pPr>
      <w:r>
        <w:rPr>
          <w:rFonts w:ascii="仿宋" w:hAnsi="仿宋" w:eastAsia="仿宋" w:cs="宋体"/>
          <w:color w:val="010101"/>
          <w:kern w:val="0"/>
          <w:sz w:val="32"/>
          <w:szCs w:val="32"/>
        </w:rPr>
        <w:t>3、进一步提升社区矫正工作水平。一是规范社区矫正中心运行。阅览室、档案室、矫治室、训诫室、宣告室、报到登记室、监控室等职能办公场所已全部配备到位。二是落实监管制度，确保安全底线。严格按照《社区矫正实施办法》、《湖南省社区矫正实施细则》和省厅颁布的《湖南省社区服刑人员计分考核和分级管理办法》等规章制度的要求，切实落实报到、走访、请销假、奖惩等社区矫正监管制度。进一步健全和完善社区矫正监管安全工作机制，加强了排查走访力度。三是强化安全意识，提升矫正工作权威。充分利用手机、APP定位等技术手段切实掌握社区服刑人员动态行踪。认真深入剖析存在的监管安全隐患，对排查出的安全隐患及时采取相应处置措施。四是深入开展社区服刑人员行为规范教育专项活动，切实增强社区服刑人员的身份意识、服刑意识和遵纪守法观念。全县各司法所按照县局的统一部署，完成训练计划。五是加强与怀化监狱的衔接合作，积极防控各项社会风险。2020年，累计完成集中教育培训158场次，社区服务158场次，心理测量评估服务255人次，团体心理辅导6场次，个案心理咨询20人次，定位服务255人次。</w:t>
      </w:r>
    </w:p>
    <w:p>
      <w:pPr>
        <w:widowControl/>
        <w:ind w:firstLine="607"/>
        <w:jc w:val="left"/>
        <w:rPr>
          <w:rFonts w:ascii="仿宋" w:hAnsi="仿宋" w:eastAsia="仿宋"/>
          <w:kern w:val="0"/>
        </w:rPr>
      </w:pPr>
      <w:r>
        <w:rPr>
          <w:rFonts w:ascii="仿宋" w:hAnsi="仿宋" w:eastAsia="仿宋" w:cs="宋体"/>
          <w:color w:val="010101"/>
          <w:kern w:val="0"/>
          <w:sz w:val="32"/>
          <w:szCs w:val="32"/>
        </w:rPr>
        <w:t>4、全面推动法治宣传各项工作。一是全面推进七五普法。大力推进“互联网+法治宣传教育”。充分运用溆浦县人民政府门户网、红网、手机报、“溆浦司法行政”微信公众号等法治宣传平台开展法治宣传教育，探索建立普法微信联盟运行机制，进一步扩大宣传影响力，推动全民普法立体式、全时空、广覆盖。二是健全落实国家机关“谁执法谁普法”普法责任制。大力加强国家工作人员特别是领导干部学法用法。组织年度国家工作人员网上学法考法。</w:t>
      </w:r>
      <w:r>
        <w:rPr>
          <w:rFonts w:ascii="仿宋" w:hAnsi="仿宋" w:eastAsia="仿宋" w:cs="宋体"/>
          <w:kern w:val="0"/>
          <w:sz w:val="32"/>
          <w:szCs w:val="32"/>
        </w:rPr>
        <w:t>2020年共有11016名国家工作人员参与普法考试，参考率100%，合格率达100%。三是广泛开展法治文化活动。继续开展法治文化作品、法治公益广告、法治微电影征集评选活动，加强法治文化产品开发应用，扩大法治文化影响力。在全县组织开展“法治文化惠民”活动，开展法治文艺表演。</w:t>
      </w:r>
    </w:p>
    <w:p>
      <w:pPr>
        <w:widowControl/>
        <w:ind w:firstLine="607"/>
        <w:jc w:val="left"/>
        <w:rPr>
          <w:rFonts w:ascii="仿宋" w:hAnsi="仿宋" w:eastAsia="仿宋"/>
          <w:kern w:val="0"/>
        </w:rPr>
      </w:pPr>
      <w:r>
        <w:rPr>
          <w:rFonts w:ascii="仿宋" w:hAnsi="仿宋" w:eastAsia="仿宋" w:cs="宋体"/>
          <w:color w:val="010101"/>
          <w:kern w:val="0"/>
          <w:sz w:val="32"/>
          <w:szCs w:val="32"/>
        </w:rPr>
        <w:t>5、深入开展“八进八创”法治创建活动。一是进一步健全党委（党组）中心组集体学法、政府常务会议会前学法、领导干部述法、法治讲座和法治培训等制度。二是结合扶贫攻坚工作和法治乡村建设实际，联合法律援助和“法润三湘”志愿活动在全县贫困村有针对性的开展法治宣传教育活动，助推精准扶贫。2020年度，开展了6次大型法治宣传活动。发放普法宣传手袋5000多个、法治围裙800多个，法律援助宣传册、扫黑除恶宣传手册、公共法律服务指南、农村法律明白人读本等纸质宣传品5万多册，接待现场法律咨询1000余人次，签订或完善了417个村级组织的法律顾问合同和公共法律服务站点的建设。三是深入推进农村居民法治宣传教育。围绕服务乡村振兴和深化基层依法治理等主题，着眼于务求实效，深入开展元旦春节 “送法下乡”“农村法治宣传教育月”活动。充分利用“村村通”法治广播节目等载体加大农村法治宣传教育力度。采取线上线下相结合的形式，切实加强对村支两委成员的法治培训，继续开展农村“法律明白人”培训。</w:t>
      </w:r>
    </w:p>
    <w:p>
      <w:pPr>
        <w:widowControl/>
        <w:ind w:firstLine="607"/>
        <w:jc w:val="left"/>
        <w:rPr>
          <w:rFonts w:ascii="仿宋" w:hAnsi="仿宋" w:eastAsia="仿宋"/>
          <w:kern w:val="0"/>
        </w:rPr>
      </w:pPr>
      <w:r>
        <w:rPr>
          <w:rFonts w:ascii="仿宋" w:hAnsi="仿宋" w:eastAsia="仿宋" w:cs="宋体"/>
          <w:color w:val="010101"/>
          <w:kern w:val="0"/>
          <w:sz w:val="32"/>
          <w:szCs w:val="32"/>
        </w:rPr>
        <w:t>6、拓宽法律援助服务面。积极探索建立部门互动合作机制，打造好了三个法律援助品牌窗口（法院律师值班室、看守所法援工作站及公共法律服务中心便民窗口），降低法律援助申请经济困难标准，扩大法律援助范围。推进如法网运用，实现了法律援助服务全程网络化、均等化、普惠化，加强案件跟踪管理，提升援务公开率和案件回访率。目前已办理法律援助案件454件，组织法律援助宣传及工作培训18场次，接受法律咨询5000多人次，发放宣传资料10000份。</w:t>
      </w:r>
    </w:p>
    <w:p>
      <w:pPr>
        <w:widowControl/>
        <w:ind w:firstLine="607"/>
        <w:jc w:val="left"/>
        <w:rPr>
          <w:rFonts w:ascii="仿宋" w:hAnsi="仿宋" w:eastAsia="仿宋"/>
          <w:kern w:val="0"/>
        </w:rPr>
      </w:pPr>
      <w:r>
        <w:rPr>
          <w:rFonts w:ascii="仿宋" w:hAnsi="仿宋" w:eastAsia="仿宋" w:cs="宋体"/>
          <w:color w:val="010101"/>
          <w:kern w:val="0"/>
          <w:sz w:val="32"/>
          <w:szCs w:val="32"/>
        </w:rPr>
        <w:t>7、不断健全律师公证工作。一是加快完成公证体制改革工作。我县公证处改为自收自支、独立承担民事责任的事业单位法人，办理公证案件963件。二是进一步规范了律师执业管理。我们每年对律师工作实行目标考核，规范律师执业行为，强化律师执业教育，加强了律师值班管理。不断扶持律所发展，壮大律师队伍，力争律师拥有量达到小康指标要求。</w:t>
      </w:r>
    </w:p>
    <w:p>
      <w:pPr>
        <w:widowControl/>
        <w:ind w:firstLine="607"/>
        <w:jc w:val="left"/>
        <w:rPr>
          <w:rFonts w:ascii="仿宋" w:hAnsi="仿宋" w:eastAsia="仿宋"/>
          <w:kern w:val="0"/>
        </w:rPr>
      </w:pPr>
      <w:r>
        <w:rPr>
          <w:rFonts w:ascii="仿宋" w:hAnsi="仿宋" w:eastAsia="仿宋" w:cs="宋体"/>
          <w:color w:val="010101"/>
          <w:kern w:val="0"/>
          <w:sz w:val="32"/>
          <w:szCs w:val="32"/>
        </w:rPr>
        <w:t>8、全面加强法律服务市场整顿。召开了全县基层法律服务所整顿大会，要求各法律服务所和法律服务工作者严肃查摆各自存在的问题，确定整改措施，明确整改期限。对限期整改不到位的所或者个人，依法给予处罚。</w:t>
      </w:r>
    </w:p>
    <w:p>
      <w:pPr>
        <w:widowControl/>
        <w:ind w:firstLine="607"/>
        <w:jc w:val="left"/>
        <w:rPr>
          <w:rFonts w:ascii="仿宋" w:hAnsi="仿宋" w:eastAsia="仿宋"/>
          <w:kern w:val="0"/>
        </w:rPr>
      </w:pPr>
      <w:r>
        <w:rPr>
          <w:rFonts w:ascii="仿宋" w:hAnsi="仿宋" w:eastAsia="仿宋" w:cs="宋体"/>
          <w:color w:val="010101"/>
          <w:kern w:val="0"/>
          <w:sz w:val="32"/>
          <w:szCs w:val="32"/>
        </w:rPr>
        <w:t>9、大力推进政府购买社会服务。采取购买社会服务的方式，购买了42个人民调解服务岗位，分派至27个基层派出所和道路交通事故、医疗纠纷两个专业性、行业性人民调解委员会。运行两个月，已调解案件3269件，社会效果良好。通过公开招投标，我们与湖南德馨社会工作服务中心购买了全县社区服刑人员的教育学习、社区劳动、走访调查、定位监控、心理咨询与矫治等方面的社会服务，聘任了6名工作人员，成为怀化首个政府购买社区矫正社会服务项目的县级司法局。二是积极落实人民调解“以奖代补”政策。将人民调解委员会调处的矛盾纠纷分为一般矛盾纠纷、复杂疑难矛盾纠纷和重大矛盾纠纷三类，按100元/件、200元/件、500元/件的标准发放奖励，破解了人民调解资金短缺难题。</w:t>
      </w:r>
    </w:p>
    <w:p>
      <w:pPr>
        <w:widowControl/>
        <w:ind w:firstLine="607"/>
        <w:jc w:val="left"/>
        <w:rPr>
          <w:rFonts w:ascii="仿宋" w:hAnsi="仿宋" w:eastAsia="仿宋"/>
          <w:kern w:val="0"/>
        </w:rPr>
      </w:pPr>
      <w:r>
        <w:rPr>
          <w:rFonts w:ascii="仿宋" w:hAnsi="仿宋" w:eastAsia="仿宋" w:cs="宋体"/>
          <w:color w:val="010101"/>
          <w:kern w:val="0"/>
          <w:sz w:val="32"/>
          <w:szCs w:val="32"/>
        </w:rPr>
        <w:t>10、全面规范行政执法行为。2020年10月共组织259人参加湖南省行政执法人员资格考试，并为参加考试的合格人员申办行政执法证件81个。2020年，执法证新发数量74个，换发新证1228个，目前全县持省政府统一式样执法证人数达1302人，且所有持证人员均已按要求录入湖南省行政执法人员信息管理系统。2020年，溆浦县行政执法办案总数1434075件，其中行政处罚28534件，行政许可74218件，行政确认34125件，行政征收1166491件，行政检查8292件，行政强制1806件，行政给付118032件，其它2577件，无行政裁决案件。</w:t>
      </w:r>
    </w:p>
    <w:p>
      <w:pPr>
        <w:widowControl/>
        <w:ind w:firstLine="607"/>
        <w:jc w:val="left"/>
        <w:rPr>
          <w:rFonts w:ascii="仿宋" w:hAnsi="仿宋" w:eastAsia="仿宋"/>
          <w:kern w:val="0"/>
        </w:rPr>
      </w:pPr>
      <w:r>
        <w:rPr>
          <w:rFonts w:ascii="仿宋" w:hAnsi="仿宋" w:eastAsia="仿宋" w:cs="宋体"/>
          <w:color w:val="010101"/>
          <w:kern w:val="0"/>
          <w:sz w:val="32"/>
          <w:szCs w:val="32"/>
        </w:rPr>
        <w:t>11、聚力司法行政信息化建设。司法行政信息化建设分为机关和基层司法所两部分。机关主要是智慧矫正项目，包括了八大子系统，即综合布线系统，安防监控系统，机房网络系统，大屏显示系统，信息发布系统，高清视频会议系统，社区矫正信息化管理系统及基层司法所连接系统，通过“智慧矫正”工程予以建设。基层司法所主要是电子政务外网接通。电子政务外网建设，现全面完成，已经投入使用。</w:t>
      </w:r>
    </w:p>
    <w:p>
      <w:pPr>
        <w:ind w:firstLine="607"/>
        <w:rPr>
          <w:rFonts w:ascii="仿宋" w:hAnsi="仿宋" w:eastAsia="仿宋"/>
          <w:b/>
          <w:bCs/>
          <w:kern w:val="0"/>
        </w:rPr>
      </w:pPr>
      <w:r>
        <w:rPr>
          <w:rFonts w:ascii="仿宋" w:hAnsi="仿宋" w:eastAsia="仿宋" w:cs="宋体"/>
          <w:b/>
          <w:bCs/>
          <w:color w:val="010101"/>
          <w:kern w:val="0"/>
          <w:sz w:val="32"/>
          <w:szCs w:val="32"/>
        </w:rPr>
        <w:t>（四）社会公众满意度评价</w:t>
      </w:r>
    </w:p>
    <w:p>
      <w:pPr>
        <w:ind w:firstLine="607"/>
        <w:rPr>
          <w:rFonts w:ascii="仿宋" w:hAnsi="仿宋" w:eastAsia="仿宋"/>
          <w:kern w:val="0"/>
        </w:rPr>
      </w:pPr>
      <w:r>
        <w:rPr>
          <w:rFonts w:ascii="仿宋" w:hAnsi="仿宋" w:eastAsia="仿宋" w:cs="宋体"/>
          <w:color w:val="010101"/>
          <w:kern w:val="0"/>
          <w:sz w:val="32"/>
          <w:szCs w:val="32"/>
        </w:rPr>
        <w:t>通过各项工作的开展，省内法治环境逐步优化，社会公众的法制观念得到加强，社会的安定团结得到保障，社会公众的满意度得到了提高。</w:t>
      </w:r>
    </w:p>
    <w:p>
      <w:pPr>
        <w:ind w:firstLine="609"/>
        <w:rPr>
          <w:rFonts w:ascii="仿宋" w:hAnsi="仿宋"/>
          <w:kern w:val="0"/>
        </w:rPr>
      </w:pPr>
      <w:r>
        <w:rPr>
          <w:rFonts w:ascii="仿宋" w:hAnsi="仿宋" w:cs="宋体"/>
          <w:b/>
          <w:bCs/>
          <w:color w:val="010101"/>
          <w:kern w:val="0"/>
          <w:sz w:val="32"/>
          <w:szCs w:val="32"/>
        </w:rPr>
        <w:t>六、存在的主要问题及根源</w:t>
      </w:r>
    </w:p>
    <w:p>
      <w:pPr>
        <w:ind w:firstLine="609"/>
        <w:rPr>
          <w:rFonts w:ascii="仿宋" w:hAnsi="仿宋" w:eastAsia="仿宋"/>
          <w:kern w:val="0"/>
        </w:rPr>
      </w:pPr>
      <w:r>
        <w:rPr>
          <w:rFonts w:ascii="仿宋" w:hAnsi="仿宋" w:eastAsia="仿宋" w:cs="宋体"/>
          <w:b/>
          <w:bCs/>
          <w:color w:val="010101"/>
          <w:kern w:val="0"/>
          <w:sz w:val="32"/>
          <w:szCs w:val="32"/>
        </w:rPr>
        <w:t>（一）问题</w:t>
      </w:r>
    </w:p>
    <w:p>
      <w:pPr>
        <w:spacing w:line="600" w:lineRule="exact"/>
        <w:ind w:firstLine="607"/>
        <w:rPr>
          <w:rFonts w:ascii="仿宋" w:hAnsi="仿宋" w:eastAsia="仿宋"/>
          <w:kern w:val="0"/>
        </w:rPr>
      </w:pPr>
      <w:r>
        <w:rPr>
          <w:rFonts w:ascii="仿宋" w:hAnsi="仿宋" w:eastAsia="仿宋" w:cs="宋体"/>
          <w:color w:val="010101"/>
          <w:kern w:val="0"/>
          <w:sz w:val="32"/>
          <w:szCs w:val="32"/>
        </w:rPr>
        <w:t>1、基层司法行政基础薄弱，制约发展的人、财、物等深层次矛盾还没有完全解决。基层司法行政工作点多、线长、面广，全县25个基层司法所中，大部分所只有两个人，导致某些工作进展缓慢；</w:t>
      </w:r>
    </w:p>
    <w:p>
      <w:pPr>
        <w:spacing w:line="600" w:lineRule="exact"/>
        <w:ind w:firstLine="607"/>
        <w:rPr>
          <w:rFonts w:ascii="仿宋" w:hAnsi="仿宋" w:eastAsia="仿宋"/>
          <w:kern w:val="0"/>
        </w:rPr>
      </w:pPr>
      <w:r>
        <w:rPr>
          <w:rFonts w:ascii="仿宋" w:hAnsi="仿宋" w:eastAsia="仿宋" w:cs="宋体"/>
          <w:color w:val="010101"/>
          <w:kern w:val="0"/>
          <w:sz w:val="32"/>
          <w:szCs w:val="32"/>
        </w:rPr>
        <w:t>2、对社区矫正对象安全监管的能力需进一步提升，文明执法、规范执法的水平需进一步提高；</w:t>
      </w:r>
    </w:p>
    <w:p>
      <w:pPr>
        <w:spacing w:line="600" w:lineRule="exact"/>
        <w:ind w:firstLine="607"/>
        <w:rPr>
          <w:rFonts w:ascii="仿宋" w:hAnsi="仿宋" w:eastAsia="仿宋"/>
          <w:kern w:val="0"/>
        </w:rPr>
      </w:pPr>
      <w:r>
        <w:rPr>
          <w:rFonts w:ascii="仿宋" w:hAnsi="仿宋" w:eastAsia="仿宋" w:cs="宋体"/>
          <w:color w:val="010101"/>
          <w:kern w:val="0"/>
          <w:sz w:val="32"/>
          <w:szCs w:val="32"/>
        </w:rPr>
        <w:t>3、法律服务市场有待进一步规范和拓展，服务质量和办事效率有待进一步提高。</w:t>
      </w:r>
    </w:p>
    <w:p>
      <w:pPr>
        <w:spacing w:before="454" w:line="600" w:lineRule="exact"/>
        <w:ind w:firstLine="607"/>
        <w:rPr>
          <w:rFonts w:ascii="仿宋" w:hAnsi="仿宋" w:eastAsia="仿宋"/>
          <w:b/>
          <w:bCs/>
          <w:kern w:val="0"/>
        </w:rPr>
      </w:pPr>
      <w:r>
        <w:rPr>
          <w:rFonts w:ascii="仿宋" w:hAnsi="仿宋" w:eastAsia="仿宋" w:cs="宋体"/>
          <w:b/>
          <w:bCs/>
          <w:color w:val="010101"/>
          <w:kern w:val="0"/>
          <w:sz w:val="32"/>
          <w:szCs w:val="32"/>
        </w:rPr>
        <w:t>（二）原因分析</w:t>
      </w:r>
    </w:p>
    <w:p>
      <w:pPr>
        <w:spacing w:line="540" w:lineRule="exact"/>
        <w:ind w:firstLine="446"/>
        <w:rPr>
          <w:rFonts w:ascii="仿宋" w:hAnsi="仿宋" w:eastAsia="仿宋"/>
          <w:kern w:val="0"/>
        </w:rPr>
      </w:pPr>
      <w:r>
        <w:rPr>
          <w:rFonts w:ascii="仿宋" w:hAnsi="仿宋" w:eastAsia="仿宋" w:cs="宋体"/>
          <w:color w:val="010101"/>
          <w:kern w:val="0"/>
          <w:sz w:val="32"/>
          <w:szCs w:val="32"/>
        </w:rPr>
        <w:t>1、人员编制不足。司法行政系统目前只有80个中央政法专项编，实有在职人数为96名，有19名是自收自支工作人员，编制问题一直得不到解决。</w:t>
      </w:r>
    </w:p>
    <w:p>
      <w:pPr>
        <w:spacing w:line="540" w:lineRule="exact"/>
        <w:ind w:firstLine="446"/>
        <w:rPr>
          <w:rFonts w:ascii="仿宋" w:hAnsi="仿宋" w:eastAsia="仿宋"/>
          <w:kern w:val="0"/>
        </w:rPr>
      </w:pPr>
      <w:r>
        <w:rPr>
          <w:rFonts w:ascii="仿宋" w:hAnsi="仿宋" w:eastAsia="仿宋" w:cs="宋体"/>
          <w:color w:val="010101"/>
          <w:kern w:val="0"/>
          <w:sz w:val="32"/>
          <w:szCs w:val="32"/>
        </w:rPr>
        <w:t>2、经费保障不够。在经费保障上，2020年司法行政人均工作经费和大部分人员经费一共只有3万元。随着司法行政职能的增多和细化，工作经费难以保障所有工作。</w:t>
      </w:r>
    </w:p>
    <w:p>
      <w:pPr>
        <w:widowControl/>
        <w:ind w:firstLine="607"/>
        <w:jc w:val="left"/>
        <w:rPr>
          <w:rFonts w:ascii="仿宋" w:hAnsi="仿宋" w:eastAsia="仿宋"/>
          <w:kern w:val="0"/>
        </w:rPr>
      </w:pPr>
      <w:r>
        <w:rPr>
          <w:rFonts w:ascii="仿宋" w:hAnsi="仿宋" w:eastAsia="仿宋" w:cs="宋体"/>
          <w:color w:val="010101"/>
          <w:kern w:val="0"/>
          <w:sz w:val="32"/>
          <w:szCs w:val="32"/>
        </w:rPr>
        <w:t>3、业务上还存在不足。基层工作人员少，专业人才缺乏；职能部门间缺乏合力，衔接不紧密，特殊人群管控工作有待创新发展；基层法律服务队伍人员素质参差不齐，社会责任意识不强；法律服务民众的作用有待进一步加强。</w:t>
      </w:r>
    </w:p>
    <w:p>
      <w:pPr>
        <w:spacing w:line="600" w:lineRule="exact"/>
        <w:ind w:firstLine="607"/>
        <w:rPr>
          <w:rFonts w:ascii="仿宋" w:hAnsi="仿宋" w:eastAsia="仿宋"/>
          <w:kern w:val="0"/>
        </w:rPr>
      </w:pPr>
      <w:r>
        <w:rPr>
          <w:rFonts w:ascii="仿宋" w:hAnsi="仿宋" w:eastAsia="仿宋" w:cs="宋体"/>
          <w:color w:val="010101"/>
          <w:kern w:val="0"/>
          <w:sz w:val="32"/>
          <w:szCs w:val="32"/>
        </w:rPr>
        <w:t>4、宣传力度和深度不够。在对外宣传的方式方法和理念上创新不够，过多注重新闻媒体宣传报道，而没有深入全县各个乡镇采取群众喜闻乐见、参与性强的群众性宣传形式，导致司法行政对外宣传出现“墙里开花墙里香”的被动局面。</w:t>
      </w:r>
    </w:p>
    <w:p>
      <w:pPr>
        <w:pStyle w:val="5"/>
        <w:widowControl/>
        <w:spacing w:line="500" w:lineRule="exact"/>
        <w:ind w:left="300" w:right="300" w:firstLine="609"/>
        <w:jc w:val="both"/>
        <w:rPr>
          <w:rFonts w:ascii="仿宋" w:hAnsi="仿宋"/>
        </w:rPr>
      </w:pPr>
      <w:r>
        <w:rPr>
          <w:rFonts w:ascii="仿宋" w:hAnsi="仿宋" w:cs="宋体"/>
          <w:b/>
          <w:bCs/>
          <w:color w:val="010101"/>
          <w:sz w:val="32"/>
          <w:szCs w:val="32"/>
        </w:rPr>
        <w:t>七、有关建议</w:t>
      </w:r>
    </w:p>
    <w:p>
      <w:pPr>
        <w:pStyle w:val="5"/>
        <w:widowControl/>
        <w:numPr>
          <w:ilvl w:val="0"/>
          <w:numId w:val="2"/>
        </w:numPr>
        <w:spacing w:line="500" w:lineRule="exact"/>
        <w:ind w:left="300" w:right="300" w:firstLine="607"/>
        <w:jc w:val="both"/>
        <w:rPr>
          <w:rFonts w:ascii="仿宋" w:hAnsi="仿宋" w:eastAsia="仿宋"/>
        </w:rPr>
      </w:pPr>
      <w:r>
        <w:rPr>
          <w:rFonts w:ascii="仿宋" w:hAnsi="仿宋" w:eastAsia="仿宋" w:cs="仿宋_GB2312"/>
          <w:color w:val="000000"/>
          <w:sz w:val="32"/>
          <w:szCs w:val="32"/>
          <w:shd w:val="clear" w:color="auto" w:fill="FFFFFF"/>
        </w:rPr>
        <w:t>建议进一步加大对基层司法行政机关政法专项资金的财政转移支付力度，提高人民调解、安置帮教、社区矫正、法律援助办案补助标准和装备水平，从而进一步改善司法行政机关工作环境，提高司法行政干警的主动性和积极性，使广大人民调解员和司法行政干警能够安心基层工作，推动司法行政工作更好向前发展。</w:t>
      </w:r>
    </w:p>
    <w:p>
      <w:pPr>
        <w:pStyle w:val="5"/>
        <w:widowControl/>
        <w:numPr>
          <w:ilvl w:val="0"/>
          <w:numId w:val="2"/>
        </w:numPr>
        <w:spacing w:line="500" w:lineRule="exact"/>
        <w:ind w:left="300" w:right="300" w:firstLine="607"/>
        <w:jc w:val="both"/>
        <w:rPr>
          <w:rFonts w:ascii="仿宋" w:hAnsi="仿宋" w:eastAsia="仿宋"/>
        </w:rPr>
      </w:pPr>
      <w:r>
        <w:rPr>
          <w:rFonts w:ascii="仿宋" w:hAnsi="仿宋" w:eastAsia="仿宋" w:cs="仿宋_GB2312"/>
          <w:color w:val="000000"/>
          <w:sz w:val="32"/>
          <w:szCs w:val="32"/>
          <w:shd w:val="clear" w:color="auto" w:fill="FFFFFF"/>
        </w:rPr>
        <w:t>建议加大基层司法所维修、专项业务资金的投入。我县基层司法所绝大部分建成时间较长，已经年久失修，急需进行维修，改造，才能保证正常办公需求。</w:t>
      </w:r>
    </w:p>
    <w:p>
      <w:pPr>
        <w:pStyle w:val="5"/>
        <w:widowControl/>
        <w:numPr>
          <w:ilvl w:val="0"/>
          <w:numId w:val="2"/>
        </w:numPr>
        <w:spacing w:line="500" w:lineRule="exact"/>
        <w:ind w:left="300" w:right="300" w:firstLine="607"/>
        <w:jc w:val="both"/>
        <w:rPr>
          <w:rFonts w:ascii="仿宋" w:hAnsi="仿宋" w:eastAsia="仿宋"/>
        </w:rPr>
      </w:pPr>
      <w:r>
        <w:rPr>
          <w:rFonts w:ascii="仿宋" w:hAnsi="仿宋" w:eastAsia="仿宋" w:cs="仿宋_GB2312"/>
          <w:color w:val="000000"/>
          <w:sz w:val="32"/>
          <w:szCs w:val="32"/>
          <w:shd w:val="clear" w:color="auto" w:fill="FFFFFF"/>
        </w:rPr>
        <w:t>建议安排司法行政系统信息化建设网络运营费、设备维护费等财政专项资金。就我局来说，全县25个乡镇和村级法律服务站点信息化系统建成后，每年的网络运营费和设备维修费支出很大，成为我局的巨大负担，严重影响其他工作的正常开展。因此建议安排专项财政资金，以减轻基层司法行政机关的压力。</w:t>
      </w:r>
    </w:p>
    <w:p>
      <w:pPr>
        <w:pStyle w:val="5"/>
        <w:widowControl/>
        <w:spacing w:line="500" w:lineRule="exact"/>
        <w:ind w:right="300"/>
        <w:jc w:val="both"/>
        <w:rPr>
          <w:rFonts w:ascii="仿宋" w:hAnsi="仿宋" w:eastAsia="仿宋" w:cs="仿宋_GB2312"/>
          <w:color w:val="000000"/>
          <w:sz w:val="32"/>
          <w:szCs w:val="32"/>
          <w:shd w:val="clear" w:color="auto" w:fill="FFFFFF"/>
        </w:rPr>
      </w:pPr>
    </w:p>
    <w:p>
      <w:pPr>
        <w:pStyle w:val="5"/>
        <w:widowControl/>
        <w:spacing w:line="500" w:lineRule="exact"/>
        <w:ind w:right="300"/>
        <w:jc w:val="both"/>
        <w:rPr>
          <w:rFonts w:ascii="仿宋" w:hAnsi="仿宋" w:eastAsia="仿宋" w:cs="仿宋_GB2312"/>
          <w:color w:val="000000"/>
          <w:sz w:val="32"/>
          <w:szCs w:val="32"/>
          <w:shd w:val="clear" w:color="auto" w:fill="FFFFFF"/>
        </w:rPr>
      </w:pPr>
    </w:p>
    <w:p>
      <w:pPr>
        <w:pStyle w:val="5"/>
        <w:widowControl/>
        <w:spacing w:line="500" w:lineRule="exact"/>
        <w:ind w:right="300"/>
        <w:jc w:val="both"/>
        <w:rPr>
          <w:rFonts w:ascii="仿宋" w:hAnsi="仿宋" w:eastAsia="仿宋" w:cs="仿宋_GB2312"/>
          <w:color w:val="000000"/>
          <w:sz w:val="32"/>
          <w:szCs w:val="32"/>
          <w:shd w:val="clear" w:color="auto" w:fill="FFFFFF"/>
        </w:rPr>
      </w:pPr>
    </w:p>
    <w:p>
      <w:pPr>
        <w:pStyle w:val="5"/>
        <w:widowControl/>
        <w:spacing w:line="500" w:lineRule="exact"/>
        <w:ind w:right="300"/>
        <w:jc w:val="both"/>
        <w:rPr>
          <w:rFonts w:ascii="仿宋" w:hAnsi="仿宋" w:eastAsia="仿宋" w:cs="仿宋_GB2312"/>
          <w:color w:val="000000"/>
          <w:sz w:val="32"/>
          <w:szCs w:val="32"/>
          <w:shd w:val="clear" w:color="auto" w:fill="FFFFFF"/>
        </w:rPr>
      </w:pPr>
    </w:p>
    <w:p>
      <w:pPr>
        <w:pStyle w:val="5"/>
        <w:widowControl/>
        <w:spacing w:line="500" w:lineRule="exact"/>
        <w:ind w:right="300"/>
        <w:jc w:val="both"/>
        <w:rPr>
          <w:rFonts w:ascii="仿宋" w:hAnsi="仿宋" w:eastAsia="仿宋" w:cs="仿宋_GB2312"/>
          <w:color w:val="000000"/>
          <w:sz w:val="32"/>
          <w:szCs w:val="32"/>
          <w:shd w:val="clear" w:color="auto" w:fill="FFFFFF"/>
        </w:rPr>
      </w:pPr>
    </w:p>
    <w:p>
      <w:pPr>
        <w:pStyle w:val="5"/>
        <w:widowControl/>
        <w:spacing w:line="500" w:lineRule="exact"/>
        <w:ind w:right="300"/>
        <w:jc w:val="both"/>
        <w:rPr>
          <w:rFonts w:ascii="仿宋" w:hAnsi="仿宋" w:eastAsia="仿宋" w:cs="仿宋_GB2312"/>
          <w:color w:val="000000"/>
          <w:sz w:val="32"/>
          <w:szCs w:val="32"/>
          <w:shd w:val="clear" w:color="auto" w:fill="FFFFFF"/>
        </w:rPr>
      </w:pPr>
      <w:bookmarkStart w:id="3" w:name="_GoBack"/>
      <w:bookmarkEnd w:id="3"/>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E21EF"/>
    <w:multiLevelType w:val="multilevel"/>
    <w:tmpl w:val="4D7E21EF"/>
    <w:lvl w:ilvl="0" w:tentative="0">
      <w:start w:val="1"/>
      <w:numFmt w:val="chineseCountingThousand"/>
      <w:suff w:val="nothing"/>
      <w:lvlText w:val="（%1）"/>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95C55"/>
    <w:rsid w:val="000A3F69"/>
    <w:rsid w:val="000C7540"/>
    <w:rsid w:val="00103957"/>
    <w:rsid w:val="00115BA4"/>
    <w:rsid w:val="00152C6D"/>
    <w:rsid w:val="00162D39"/>
    <w:rsid w:val="001678BD"/>
    <w:rsid w:val="001770B0"/>
    <w:rsid w:val="00177266"/>
    <w:rsid w:val="001A67DB"/>
    <w:rsid w:val="001C3C29"/>
    <w:rsid w:val="001D51E5"/>
    <w:rsid w:val="001E080D"/>
    <w:rsid w:val="001E53D0"/>
    <w:rsid w:val="001F0C3B"/>
    <w:rsid w:val="001F1ED0"/>
    <w:rsid w:val="00202C82"/>
    <w:rsid w:val="00214427"/>
    <w:rsid w:val="00226CB7"/>
    <w:rsid w:val="00234FA7"/>
    <w:rsid w:val="00264552"/>
    <w:rsid w:val="00264EF9"/>
    <w:rsid w:val="00265724"/>
    <w:rsid w:val="0027426B"/>
    <w:rsid w:val="002E0A30"/>
    <w:rsid w:val="003130C4"/>
    <w:rsid w:val="00316C4B"/>
    <w:rsid w:val="0032192B"/>
    <w:rsid w:val="00345635"/>
    <w:rsid w:val="00347593"/>
    <w:rsid w:val="003479BD"/>
    <w:rsid w:val="0037197D"/>
    <w:rsid w:val="003768D5"/>
    <w:rsid w:val="00376F37"/>
    <w:rsid w:val="003831BE"/>
    <w:rsid w:val="003C45C3"/>
    <w:rsid w:val="003C47E6"/>
    <w:rsid w:val="003C4FC2"/>
    <w:rsid w:val="003D6AA8"/>
    <w:rsid w:val="003E212C"/>
    <w:rsid w:val="00416E61"/>
    <w:rsid w:val="0042790C"/>
    <w:rsid w:val="004506F9"/>
    <w:rsid w:val="004717A2"/>
    <w:rsid w:val="00473DF3"/>
    <w:rsid w:val="00487911"/>
    <w:rsid w:val="00491741"/>
    <w:rsid w:val="004A1328"/>
    <w:rsid w:val="00500E5F"/>
    <w:rsid w:val="005122EF"/>
    <w:rsid w:val="0051441A"/>
    <w:rsid w:val="00517C33"/>
    <w:rsid w:val="00523644"/>
    <w:rsid w:val="0054069E"/>
    <w:rsid w:val="00544866"/>
    <w:rsid w:val="005767CC"/>
    <w:rsid w:val="00590D9F"/>
    <w:rsid w:val="00595D26"/>
    <w:rsid w:val="005A74E6"/>
    <w:rsid w:val="005B404E"/>
    <w:rsid w:val="005C15CC"/>
    <w:rsid w:val="005D4D55"/>
    <w:rsid w:val="005E2CFB"/>
    <w:rsid w:val="005F3D1C"/>
    <w:rsid w:val="0060409F"/>
    <w:rsid w:val="0062378F"/>
    <w:rsid w:val="006405C9"/>
    <w:rsid w:val="00641842"/>
    <w:rsid w:val="00651EEC"/>
    <w:rsid w:val="00670867"/>
    <w:rsid w:val="00691E8C"/>
    <w:rsid w:val="006A22C4"/>
    <w:rsid w:val="006A351B"/>
    <w:rsid w:val="006B0422"/>
    <w:rsid w:val="006C1B53"/>
    <w:rsid w:val="006D6D4D"/>
    <w:rsid w:val="006D7730"/>
    <w:rsid w:val="006E5284"/>
    <w:rsid w:val="006F3EB5"/>
    <w:rsid w:val="00702E34"/>
    <w:rsid w:val="00704395"/>
    <w:rsid w:val="00717621"/>
    <w:rsid w:val="00720FF1"/>
    <w:rsid w:val="00727A53"/>
    <w:rsid w:val="0075199E"/>
    <w:rsid w:val="00754715"/>
    <w:rsid w:val="00787B42"/>
    <w:rsid w:val="00797C45"/>
    <w:rsid w:val="007C4539"/>
    <w:rsid w:val="007F3657"/>
    <w:rsid w:val="00812ED5"/>
    <w:rsid w:val="008165A3"/>
    <w:rsid w:val="008277D9"/>
    <w:rsid w:val="0084478C"/>
    <w:rsid w:val="0086638C"/>
    <w:rsid w:val="008A3E8D"/>
    <w:rsid w:val="008F62AD"/>
    <w:rsid w:val="009237C4"/>
    <w:rsid w:val="00944C48"/>
    <w:rsid w:val="00950252"/>
    <w:rsid w:val="00967F5D"/>
    <w:rsid w:val="009875D4"/>
    <w:rsid w:val="009A0F95"/>
    <w:rsid w:val="009B3ADF"/>
    <w:rsid w:val="009C3B52"/>
    <w:rsid w:val="009E6817"/>
    <w:rsid w:val="009E6E9A"/>
    <w:rsid w:val="00A01D2B"/>
    <w:rsid w:val="00A0580A"/>
    <w:rsid w:val="00A42218"/>
    <w:rsid w:val="00A70249"/>
    <w:rsid w:val="00A70B02"/>
    <w:rsid w:val="00A71D9F"/>
    <w:rsid w:val="00A92E9F"/>
    <w:rsid w:val="00B33BEA"/>
    <w:rsid w:val="00B57C9F"/>
    <w:rsid w:val="00B63572"/>
    <w:rsid w:val="00B845B3"/>
    <w:rsid w:val="00B85D8B"/>
    <w:rsid w:val="00BA220E"/>
    <w:rsid w:val="00BB4A40"/>
    <w:rsid w:val="00BC53AB"/>
    <w:rsid w:val="00BD6C3E"/>
    <w:rsid w:val="00BE3674"/>
    <w:rsid w:val="00C10681"/>
    <w:rsid w:val="00C24A96"/>
    <w:rsid w:val="00C3049A"/>
    <w:rsid w:val="00C31B1E"/>
    <w:rsid w:val="00C34667"/>
    <w:rsid w:val="00C44F50"/>
    <w:rsid w:val="00C77645"/>
    <w:rsid w:val="00C80045"/>
    <w:rsid w:val="00CE04C3"/>
    <w:rsid w:val="00CE76A0"/>
    <w:rsid w:val="00CF2AF6"/>
    <w:rsid w:val="00D148C6"/>
    <w:rsid w:val="00D17A8A"/>
    <w:rsid w:val="00D415BA"/>
    <w:rsid w:val="00D50BD2"/>
    <w:rsid w:val="00D644EE"/>
    <w:rsid w:val="00D75E5E"/>
    <w:rsid w:val="00DD06FF"/>
    <w:rsid w:val="00DD5FE9"/>
    <w:rsid w:val="00E00C7A"/>
    <w:rsid w:val="00E37D6C"/>
    <w:rsid w:val="00E55B68"/>
    <w:rsid w:val="00E67BE6"/>
    <w:rsid w:val="00E8683C"/>
    <w:rsid w:val="00EA2B72"/>
    <w:rsid w:val="00F74360"/>
    <w:rsid w:val="00F863F8"/>
    <w:rsid w:val="00FB462F"/>
    <w:rsid w:val="00FE16FA"/>
    <w:rsid w:val="00FE328A"/>
    <w:rsid w:val="00FE6269"/>
    <w:rsid w:val="00FF3B55"/>
    <w:rsid w:val="034A2561"/>
    <w:rsid w:val="7304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cs="Times New Roman"/>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3BE08-C223-433D-98F7-26B1287024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2670</Words>
  <Characters>15221</Characters>
  <Lines>126</Lines>
  <Paragraphs>35</Paragraphs>
  <TotalTime>2</TotalTime>
  <ScaleCrop>false</ScaleCrop>
  <LinksUpToDate>false</LinksUpToDate>
  <CharactersWithSpaces>17856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2021-10-21T08:49:00Z</dcterms:created>
  <dc:creator>李航 null</dc:creator>
  <cp:lastModifiedBy>dream</cp:lastModifiedBy>
  <cp:lastPrinted>2021-10-20T13:15:00Z</cp:lastPrinted>
  <dcterms:modified xsi:type="dcterms:W3CDTF">2021-12-02T08:46:57Z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42D5233CE7F2487697BE1717A282B2D0</vt:lpwstr>
  </property>
</Properties>
</file>