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F6A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t>溆浦县统计局</w:t>
      </w:r>
      <w:r>
        <w:rPr>
          <w:rFonts w:hint="eastAsia" w:ascii="方正小标宋_GBK" w:hAnsi="方正小标宋_GBK" w:eastAsia="方正小标宋_GBK" w:cs="方正小标宋_GBK"/>
          <w:i w:val="0"/>
          <w:iCs w:val="0"/>
          <w:caps w:val="0"/>
          <w:color w:val="000000"/>
          <w:spacing w:val="0"/>
          <w:sz w:val="44"/>
          <w:szCs w:val="44"/>
          <w:shd w:val="clear" w:color="auto" w:fill="FFFFFF"/>
        </w:rPr>
        <w:t>部门整体支出绩效自评报告</w:t>
      </w:r>
    </w:p>
    <w:p w14:paraId="372C49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427B2A44">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6EDDCEF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7D5B993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rPr>
        <w:t>目前县统计局共设有</w:t>
      </w:r>
      <w:r>
        <w:rPr>
          <w:rFonts w:hint="eastAsia" w:ascii="仿宋" w:hAnsi="仿宋" w:eastAsia="仿宋"/>
          <w:sz w:val="32"/>
          <w:szCs w:val="32"/>
          <w:lang w:val="en-US" w:eastAsia="zh-CN"/>
        </w:rPr>
        <w:t>4</w:t>
      </w:r>
      <w:r>
        <w:rPr>
          <w:rFonts w:hint="eastAsia" w:ascii="仿宋" w:hAnsi="仿宋" w:eastAsia="仿宋"/>
          <w:sz w:val="32"/>
          <w:szCs w:val="32"/>
        </w:rPr>
        <w:t>个内设机构，</w:t>
      </w:r>
      <w:r>
        <w:rPr>
          <w:rFonts w:hint="eastAsia" w:ascii="仿宋" w:hAnsi="仿宋" w:eastAsia="仿宋"/>
          <w:sz w:val="32"/>
          <w:szCs w:val="32"/>
          <w:lang w:val="en-US" w:eastAsia="zh-CN"/>
        </w:rPr>
        <w:t>下属</w:t>
      </w:r>
      <w:r>
        <w:rPr>
          <w:rFonts w:hint="eastAsia" w:ascii="仿宋" w:hAnsi="仿宋" w:eastAsia="仿宋"/>
          <w:sz w:val="32"/>
          <w:szCs w:val="32"/>
        </w:rPr>
        <w:t>事业单位2个</w:t>
      </w:r>
      <w:r>
        <w:rPr>
          <w:rFonts w:hint="eastAsia" w:ascii="仿宋" w:hAnsi="仿宋" w:eastAsia="仿宋"/>
          <w:sz w:val="32"/>
          <w:szCs w:val="32"/>
          <w:lang w:eastAsia="zh-CN"/>
        </w:rPr>
        <w:t>（分别是溆浦县统计局电子计算站和溆浦县城市社会经济调查队，财务未独立）</w:t>
      </w:r>
      <w:r>
        <w:rPr>
          <w:rFonts w:hint="eastAsia" w:ascii="仿宋" w:hAnsi="仿宋" w:eastAsia="仿宋"/>
          <w:sz w:val="32"/>
          <w:szCs w:val="32"/>
        </w:rPr>
        <w:t>。</w:t>
      </w:r>
    </w:p>
    <w:p w14:paraId="5D6FAFD3">
      <w:pPr>
        <w:pStyle w:val="2"/>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人员编制情况</w:t>
      </w:r>
    </w:p>
    <w:p w14:paraId="2AF77B78">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lang w:eastAsia="zh-CN"/>
        </w:rPr>
        <w:t>本局现有行政编制</w:t>
      </w:r>
      <w:r>
        <w:rPr>
          <w:rFonts w:hint="eastAsia" w:ascii="仿宋" w:hAnsi="仿宋" w:eastAsia="仿宋"/>
          <w:sz w:val="32"/>
          <w:szCs w:val="32"/>
          <w:lang w:val="en-US" w:eastAsia="zh-CN"/>
        </w:rPr>
        <w:t>8名，事业编制15人。2024年实有</w:t>
      </w:r>
      <w:r>
        <w:rPr>
          <w:rFonts w:hint="eastAsia" w:ascii="仿宋" w:hAnsi="仿宋" w:eastAsia="仿宋"/>
          <w:sz w:val="32"/>
          <w:szCs w:val="32"/>
        </w:rPr>
        <w:t>行政编制在职人员</w:t>
      </w:r>
      <w:r>
        <w:rPr>
          <w:rFonts w:hint="eastAsia" w:ascii="仿宋" w:hAnsi="仿宋" w:eastAsia="仿宋"/>
          <w:sz w:val="32"/>
          <w:szCs w:val="32"/>
          <w:lang w:val="en-US" w:eastAsia="zh-CN"/>
        </w:rPr>
        <w:t>8</w:t>
      </w:r>
      <w:r>
        <w:rPr>
          <w:rFonts w:hint="eastAsia" w:ascii="仿宋" w:hAnsi="仿宋" w:eastAsia="仿宋"/>
          <w:sz w:val="32"/>
          <w:szCs w:val="32"/>
        </w:rPr>
        <w:t>人、事业编制在职人员</w:t>
      </w:r>
      <w:r>
        <w:rPr>
          <w:rFonts w:hint="eastAsia" w:ascii="仿宋" w:hAnsi="仿宋" w:eastAsia="仿宋"/>
          <w:sz w:val="32"/>
          <w:szCs w:val="32"/>
          <w:lang w:val="en-US" w:eastAsia="zh-CN"/>
        </w:rPr>
        <w:t>11</w:t>
      </w:r>
      <w:r>
        <w:rPr>
          <w:rFonts w:hint="eastAsia" w:ascii="仿宋" w:hAnsi="仿宋" w:eastAsia="仿宋"/>
          <w:sz w:val="32"/>
          <w:szCs w:val="32"/>
        </w:rPr>
        <w:t>人。</w:t>
      </w:r>
    </w:p>
    <w:p w14:paraId="63A3A9C7">
      <w:pPr>
        <w:pStyle w:val="2"/>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主要职能职责</w:t>
      </w:r>
    </w:p>
    <w:p w14:paraId="7225C02A">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eastAsia="zh-CN"/>
        </w:rPr>
      </w:pPr>
      <w:r>
        <w:rPr>
          <w:rFonts w:hint="eastAsia" w:ascii="仿宋" w:hAnsi="仿宋" w:eastAsia="仿宋"/>
          <w:sz w:val="32"/>
          <w:szCs w:val="32"/>
          <w:lang w:eastAsia="zh-CN"/>
        </w:rPr>
        <w:t>县统计局是主管全县统计和国民经济核算工作的县政府组成部门。主要职能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r>
        <w:rPr>
          <w:rFonts w:hint="eastAsia" w:ascii="仿宋" w:hAnsi="仿宋" w:eastAsia="仿宋"/>
          <w:sz w:val="32"/>
          <w:szCs w:val="32"/>
          <w:lang w:val="en-US" w:eastAsia="zh-CN"/>
        </w:rPr>
        <w:t>2024年</w:t>
      </w:r>
      <w:r>
        <w:rPr>
          <w:rFonts w:hint="eastAsia" w:ascii="仿宋" w:hAnsi="仿宋" w:eastAsia="仿宋"/>
          <w:sz w:val="32"/>
          <w:szCs w:val="32"/>
          <w:lang w:eastAsia="zh-CN"/>
        </w:rPr>
        <w:t>重要工作除完成常规的经济社会发展统计调查和监测任务外，还组织开展了20</w:t>
      </w:r>
      <w:r>
        <w:rPr>
          <w:rFonts w:hint="eastAsia" w:ascii="仿宋" w:hAnsi="仿宋" w:eastAsia="仿宋"/>
          <w:sz w:val="32"/>
          <w:szCs w:val="32"/>
          <w:lang w:val="en-US" w:eastAsia="zh-CN"/>
        </w:rPr>
        <w:t>24</w:t>
      </w:r>
      <w:r>
        <w:rPr>
          <w:rFonts w:hint="eastAsia" w:ascii="仿宋" w:hAnsi="仿宋" w:eastAsia="仿宋"/>
          <w:sz w:val="32"/>
          <w:szCs w:val="32"/>
          <w:lang w:eastAsia="zh-CN"/>
        </w:rPr>
        <w:t>年统计专项调查和全县第五次经普查普查工作。县统计局承担的国家、省、市和县政府主要专项统计调查工作任务有：GDP核算、工业统计、农业统计、固定资产投资统计、资源产出率调查、全县高质量指标监测、文化产业统计、</w:t>
      </w:r>
      <w:r>
        <w:rPr>
          <w:rFonts w:hint="eastAsia" w:ascii="仿宋" w:hAnsi="仿宋" w:eastAsia="仿宋"/>
          <w:sz w:val="32"/>
          <w:szCs w:val="32"/>
          <w:lang w:val="en-US" w:eastAsia="zh-CN"/>
        </w:rPr>
        <w:t>1%</w:t>
      </w:r>
      <w:r>
        <w:rPr>
          <w:rFonts w:hint="eastAsia" w:ascii="仿宋" w:hAnsi="仿宋" w:eastAsia="仿宋"/>
          <w:sz w:val="32"/>
          <w:szCs w:val="32"/>
          <w:lang w:eastAsia="zh-CN"/>
        </w:rPr>
        <w:t>人口和劳动力抽样调查、全社会能源统计及监测、服务业统计、全县绩效考核指标监测、为民办实事评估监测、企业创新调查和中小企业调查等专项调查任务。</w:t>
      </w:r>
    </w:p>
    <w:p w14:paraId="34284E7E">
      <w:pPr>
        <w:pStyle w:val="2"/>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绩效目标设定情况</w:t>
      </w:r>
    </w:p>
    <w:p w14:paraId="4FE8FE52">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lang w:val="en-US" w:eastAsia="zh-CN"/>
        </w:rPr>
        <w:t>2024年全年预算安排477.37万元，其中基本支出304.99万元，主要用于</w:t>
      </w:r>
      <w:r>
        <w:rPr>
          <w:rFonts w:hint="eastAsia" w:ascii="仿宋" w:hAnsi="仿宋" w:eastAsia="仿宋"/>
          <w:sz w:val="32"/>
          <w:szCs w:val="32"/>
          <w:lang w:eastAsia="zh-CN"/>
        </w:rPr>
        <w:t>人员工资、离退休费和医疗保险、住房公积金和日常公用等费用。项目支出</w:t>
      </w:r>
      <w:r>
        <w:rPr>
          <w:rFonts w:hint="eastAsia" w:ascii="仿宋" w:hAnsi="仿宋" w:eastAsia="仿宋"/>
          <w:sz w:val="32"/>
          <w:szCs w:val="32"/>
          <w:lang w:val="en-US" w:eastAsia="zh-CN"/>
        </w:rPr>
        <w:t>172.38万元，为</w:t>
      </w:r>
      <w:r>
        <w:rPr>
          <w:rFonts w:hint="eastAsia" w:ascii="仿宋" w:hAnsi="仿宋" w:eastAsia="仿宋"/>
          <w:sz w:val="32"/>
          <w:szCs w:val="32"/>
          <w:lang w:eastAsia="zh-CN"/>
        </w:rPr>
        <w:t>第五次全国经济普查、统计执法和统计专项调查几个项目</w:t>
      </w:r>
      <w:r>
        <w:rPr>
          <w:rFonts w:hint="eastAsia" w:ascii="仿宋" w:hAnsi="仿宋" w:eastAsia="仿宋"/>
          <w:sz w:val="32"/>
          <w:szCs w:val="32"/>
          <w:lang w:val="en-US" w:eastAsia="zh-CN"/>
        </w:rPr>
        <w:t>，主要用于商品服务支出。</w:t>
      </w:r>
    </w:p>
    <w:p w14:paraId="4B3EC3DD">
      <w:pPr>
        <w:keepNext w:val="0"/>
        <w:keepLines w:val="0"/>
        <w:pageBreakBefore w:val="0"/>
        <w:widowControl w:val="0"/>
        <w:numPr>
          <w:ilvl w:val="0"/>
          <w:numId w:val="0"/>
        </w:numPr>
        <w:kinsoku/>
        <w:wordWrap/>
        <w:overflowPunct w:val="0"/>
        <w:topLinePunct w:val="0"/>
        <w:autoSpaceDE/>
        <w:autoSpaceDN/>
        <w:bidi w:val="0"/>
        <w:adjustRightInd/>
        <w:snapToGrid w:val="0"/>
        <w:spacing w:line="58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2663B3D8">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15D5D0C7">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2024年全年预算477.37万元，实际支出数为477.37万元，执行率为100%，预算执行情况优秀，在保障各项工作顺利开展的同时，注重资金的合理使用与管理。在预算执行过程中，严格按照预算安排进行支出，对资金使用情况进行实时监控，确保每一笔资金都用在刀刃上。对于预算的调整与追加，严格遵循相关规定与程序，保证预算管理的严肃性与规范性。</w:t>
      </w:r>
    </w:p>
    <w:p w14:paraId="2381248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497C982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29AF25C4">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基本支出预算 304.99万元，实际支出304.99 万元。其中人员经费支出 214.48 万元，用于发放职工工资、津贴补贴、缴纳社保及住房公积金等，严格按照国家规定的标准执行，保障了职工的合法权益，确保人员队伍的稳定性。公用经费支出 90.51万元，主要用于办公费、水电费、差旅费等日常办公开支，在日常公用经费使用过程中，秉持勤俭节约的原则，严格控制各项费用支出，提高资金使用效益。</w:t>
      </w:r>
    </w:p>
    <w:p w14:paraId="14D57CF3">
      <w:pPr>
        <w:pStyle w:val="2"/>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项目支出情况</w:t>
      </w:r>
    </w:p>
    <w:p w14:paraId="476761CB">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项目支出预算 172.38 万元，实际支出 172.38万元。主要用于：（1）第五次全国经济普查项目主要用于普查物资采购、普查人员培训、普查宣传等方面，保障了经济普查工作的全面、深入开展，为准确掌握全县经济发展状况奠定了坚实基础。（2）统计执法项目主要用于统计执法检查、统计法律法规宣传等工作，有效维护了统计工作秩序，提升了统计数据质量。（3）统计专项调查项目主要用于各项专项调查的组织实施，为相关政策的制定提供了有力的数据支撑。</w:t>
      </w:r>
    </w:p>
    <w:p w14:paraId="282DB4F2">
      <w:pPr>
        <w:pStyle w:val="2"/>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"三公"经费使用和管理情况</w:t>
      </w:r>
    </w:p>
    <w:p w14:paraId="6509FE37">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2024 年 “三公” 经费预算为 5 万元，实际支出2.6 万元。其中公务接待费预算 5 万元，实际支出 2.6万元，主要用于接待上级部门及其他地区统计部门交流调研等活动，严格按照公务接待标准执行，控制接待范围与规格，做到热情周到又不铺张浪费。无公务用车，无出国费用。</w:t>
      </w:r>
    </w:p>
    <w:p w14:paraId="18485154">
      <w:pPr>
        <w:pStyle w:val="2"/>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2DEB647D">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年度，本部门无政府性基金。</w:t>
      </w:r>
    </w:p>
    <w:p w14:paraId="629D15E5">
      <w:pPr>
        <w:pStyle w:val="2"/>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6536C859">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年度，本部门无国有资本经营。</w:t>
      </w:r>
    </w:p>
    <w:p w14:paraId="058B9F08">
      <w:pPr>
        <w:pStyle w:val="2"/>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7D655BB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年度，本部门无社会保险基金。</w:t>
      </w:r>
    </w:p>
    <w:p w14:paraId="1AE4339B">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77145B36">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6F563933">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使用效益、工作任务完成及履职效益等方面均取得了较好的成绩。各项工作有序推进，统计数据质量稳步提升，为全县经济社会发展提供了高质量的统计服务。</w:t>
      </w:r>
    </w:p>
    <w:p w14:paraId="5F7F63E6">
      <w:pPr>
        <w:keepNext w:val="0"/>
        <w:keepLines w:val="0"/>
        <w:widowControl/>
        <w:suppressLineNumbers w:val="0"/>
        <w:shd w:val="clear" w:fill="FFFFFF"/>
        <w:spacing w:before="96" w:beforeAutospacing="0" w:after="96" w:afterAutospacing="0" w:line="18" w:lineRule="atLeast"/>
        <w:ind w:left="0" w:firstLine="0"/>
        <w:jc w:val="left"/>
        <w:rPr>
          <w:rFonts w:ascii="Segoe UI" w:hAnsi="Segoe UI" w:eastAsia="Segoe UI" w:cs="Segoe UI"/>
          <w:i w:val="0"/>
          <w:iCs w:val="0"/>
          <w:caps w:val="0"/>
          <w:spacing w:val="0"/>
          <w:sz w:val="19"/>
          <w:szCs w:val="19"/>
        </w:rPr>
      </w:pPr>
      <w:r>
        <w:rPr>
          <w:rFonts w:hint="default" w:ascii="楷体_GB2312" w:hAnsi="楷体_GB2312" w:eastAsia="楷体_GB2312" w:cs="楷体_GB2312"/>
          <w:b/>
          <w:bCs/>
          <w:i w:val="0"/>
          <w:iCs w:val="0"/>
          <w:caps w:val="0"/>
          <w:color w:val="000000"/>
          <w:spacing w:val="0"/>
          <w:sz w:val="32"/>
          <w:szCs w:val="32"/>
          <w:shd w:val="clear" w:color="auto" w:fill="FFFFFF"/>
        </w:rPr>
        <w:t>（二）评价指标分析（或综合评价情况）。</w:t>
      </w:r>
      <w:r>
        <w:rPr>
          <w:rFonts w:hint="default" w:ascii="Segoe UI" w:hAnsi="Segoe UI" w:eastAsia="Segoe UI" w:cs="Segoe UI"/>
          <w:i w:val="0"/>
          <w:iCs w:val="0"/>
          <w:caps w:val="0"/>
          <w:spacing w:val="0"/>
          <w:kern w:val="0"/>
          <w:sz w:val="19"/>
          <w:szCs w:val="19"/>
          <w:shd w:val="clear" w:fill="FFFFFF"/>
          <w:lang w:val="en-US" w:eastAsia="zh-CN" w:bidi="ar"/>
        </w:rPr>
        <w:t>​</w:t>
      </w:r>
    </w:p>
    <w:p w14:paraId="0CEEDCB0">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550" w:firstLineChars="262"/>
        <w:jc w:val="both"/>
        <w:textAlignment w:val="auto"/>
        <w:rPr>
          <w:rFonts w:hint="eastAsia" w:ascii="仿宋" w:hAnsi="仿宋" w:eastAsia="仿宋"/>
          <w:sz w:val="32"/>
          <w:szCs w:val="32"/>
          <w:lang w:val="en-US" w:eastAsia="zh-CN"/>
        </w:rPr>
      </w:pPr>
      <w:r>
        <w:rPr>
          <w:rFonts w:hint="default" w:ascii="Segoe UI" w:hAnsi="Segoe UI" w:eastAsia="Segoe UI" w:cs="Segoe UI"/>
          <w:i w:val="0"/>
          <w:iCs w:val="0"/>
          <w:caps w:val="0"/>
          <w:spacing w:val="0"/>
          <w:kern w:val="0"/>
          <w:sz w:val="21"/>
          <w:szCs w:val="21"/>
          <w:shd w:val="clear" w:fill="FFFFFF"/>
          <w:lang w:val="en-US" w:eastAsia="zh-CN" w:bidi="ar"/>
        </w:rPr>
        <w:t>​</w:t>
      </w:r>
      <w:r>
        <w:rPr>
          <w:rFonts w:hint="default" w:ascii="仿宋" w:hAnsi="仿宋" w:eastAsia="仿宋"/>
          <w:sz w:val="32"/>
          <w:szCs w:val="32"/>
          <w:lang w:val="en-US" w:eastAsia="zh-CN"/>
        </w:rPr>
        <w:t>整体绩效目标设定：绩效目标设定明确、合理，紧密围绕部门职责与年度工作重点，与全县经济社会发展规划相契合。如在经济普查、统计专项调查等项目中，目标设定具有可衡量性与可实现性，为工作开展提供了清晰的方向。​</w:t>
      </w:r>
    </w:p>
    <w:p w14:paraId="189D063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配置：人员经费和公用经费的配置合理，满足了单位日常运转和业务工作的基本需求。项目预算安排依据工作任务的重要性与紧迫性进行分配，重点突出，保障了经济普查、统计执法等关键工作的资金需求。​</w:t>
      </w:r>
    </w:p>
    <w:p w14:paraId="1374B741">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预算执行：预算执行率达到</w:t>
      </w:r>
      <w:r>
        <w:rPr>
          <w:rFonts w:hint="eastAsia" w:ascii="仿宋" w:hAnsi="仿宋" w:eastAsia="仿宋"/>
          <w:sz w:val="32"/>
          <w:szCs w:val="32"/>
          <w:lang w:val="en-US" w:eastAsia="zh-CN"/>
        </w:rPr>
        <w:t>99.9</w:t>
      </w:r>
      <w:r>
        <w:rPr>
          <w:rFonts w:hint="default" w:ascii="仿宋" w:hAnsi="仿宋" w:eastAsia="仿宋"/>
          <w:sz w:val="32"/>
          <w:szCs w:val="32"/>
          <w:lang w:val="en-US" w:eastAsia="zh-CN"/>
        </w:rPr>
        <w:t>%，整体执行情况</w:t>
      </w:r>
      <w:r>
        <w:rPr>
          <w:rFonts w:hint="eastAsia" w:ascii="仿宋" w:hAnsi="仿宋" w:eastAsia="仿宋"/>
          <w:sz w:val="32"/>
          <w:szCs w:val="32"/>
          <w:lang w:val="en-US" w:eastAsia="zh-CN"/>
        </w:rPr>
        <w:t>优秀</w:t>
      </w:r>
      <w:r>
        <w:rPr>
          <w:rFonts w:hint="default" w:ascii="仿宋" w:hAnsi="仿宋" w:eastAsia="仿宋"/>
          <w:sz w:val="32"/>
          <w:szCs w:val="32"/>
          <w:lang w:val="en-US" w:eastAsia="zh-CN"/>
        </w:rPr>
        <w:t>。基本支出和项目支出均严格按照预算执行。在预算执行过程中，注重对资金使用进度和效益的监控，确保资金及时、有效地用于各项工作。​</w:t>
      </w:r>
    </w:p>
    <w:p w14:paraId="1F780C40">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管理：建立健全了完善的预算管理制度，对预算编制、执行、调整、决算等各个环节进行规范管理。加强对财务人员的培训与管理，提高财务人员业务水平，确保预算管理工作的科学性与规范性。同时，积极推进预算信息公开，提高预算透明度。​</w:t>
      </w:r>
    </w:p>
    <w:p w14:paraId="217B9FF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资产管理：加强对固定资产的管理，建立了固定资产台账，定期对固定资产进行盘点清查，确保资产安全、完整。资产配置合理，根据工作需要进行资产购置，提高资产使用效率。​</w:t>
      </w:r>
    </w:p>
    <w:p w14:paraId="3A5E131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职责履行：圆满完成了</w:t>
      </w:r>
      <w:r>
        <w:rPr>
          <w:rFonts w:hint="eastAsia" w:ascii="仿宋" w:hAnsi="仿宋" w:eastAsia="仿宋"/>
          <w:sz w:val="32"/>
          <w:szCs w:val="32"/>
          <w:lang w:val="en-US" w:eastAsia="zh-CN"/>
        </w:rPr>
        <w:t>普查、</w:t>
      </w:r>
      <w:r>
        <w:rPr>
          <w:rFonts w:hint="default" w:ascii="仿宋" w:hAnsi="仿宋" w:eastAsia="仿宋"/>
          <w:sz w:val="32"/>
          <w:szCs w:val="32"/>
          <w:lang w:val="en-US" w:eastAsia="zh-CN"/>
        </w:rPr>
        <w:t>统计调查和</w:t>
      </w:r>
      <w:r>
        <w:rPr>
          <w:rFonts w:hint="eastAsia" w:ascii="仿宋" w:hAnsi="仿宋" w:eastAsia="仿宋"/>
          <w:sz w:val="32"/>
          <w:szCs w:val="32"/>
          <w:lang w:val="en-US" w:eastAsia="zh-CN"/>
        </w:rPr>
        <w:t>统计执法等</w:t>
      </w:r>
      <w:r>
        <w:rPr>
          <w:rFonts w:hint="default" w:ascii="仿宋" w:hAnsi="仿宋" w:eastAsia="仿宋"/>
          <w:sz w:val="32"/>
          <w:szCs w:val="32"/>
          <w:lang w:val="en-US" w:eastAsia="zh-CN"/>
        </w:rPr>
        <w:t>任务，统计数据质量得到有效保障。在经济普查工作中，精心组织、广泛动员，确保普查数据的全面性与准确性。统计执法工作力度不断加大，有效维护了统计工作秩序。为县委、县政府及相关部门提供了大量有价值的统计信息和咨询建议，充分发挥了统计的参谋助手作用。​</w:t>
      </w:r>
    </w:p>
    <w:p w14:paraId="10FEA227">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履职效益：通过高质量的统计工作，为政府决策提供了科学依据，对促进全县经济社会发展起到了积极的推动作用。统计数据的及时发布，满足了社会各界对统计信息的需求，提升了统计工作的社会影响力。同时，通过加强统计基础建设，提高了统计工作的效率与质量，实现了良好的经济效益和社会效益。</w:t>
      </w:r>
    </w:p>
    <w:p w14:paraId="4FAA96F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 w:hAnsi="仿宋" w:eastAsia="仿宋" w:cs="Times New Roman"/>
          <w:kern w:val="0"/>
          <w:sz w:val="32"/>
          <w:szCs w:val="32"/>
          <w:lang w:val="en-US" w:eastAsia="zh-CN" w:bidi="ar"/>
        </w:rPr>
      </w:pPr>
      <w:r>
        <w:rPr>
          <w:rFonts w:hint="eastAsia" w:ascii="黑体" w:hAnsi="黑体" w:eastAsia="黑体" w:cs="黑体"/>
          <w:i w:val="0"/>
          <w:iCs w:val="0"/>
          <w:caps w:val="0"/>
          <w:color w:val="000000"/>
          <w:spacing w:val="0"/>
          <w:sz w:val="32"/>
          <w:szCs w:val="32"/>
          <w:shd w:val="clear" w:color="auto" w:fill="FFFFFF"/>
        </w:rPr>
        <w:t>七、存在的问题及原因分析</w:t>
      </w:r>
      <w:r>
        <w:rPr>
          <w:rFonts w:hint="default" w:ascii="仿宋" w:hAnsi="仿宋" w:eastAsia="仿宋" w:cs="Times New Roman"/>
          <w:kern w:val="0"/>
          <w:sz w:val="32"/>
          <w:szCs w:val="32"/>
          <w:lang w:val="en-US" w:eastAsia="zh-CN" w:bidi="ar"/>
        </w:rPr>
        <w:t>​</w:t>
      </w:r>
    </w:p>
    <w:p w14:paraId="49C81CED">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绩效目标细化程度不够：部分绩效目标设定较为笼统，缺乏具体的量化指标和明确的评价标准。在绩效评价过程中，难以准确衡量目标的完成情况，影响了绩效评价的科学性与准确性。​</w:t>
      </w:r>
    </w:p>
    <w:p w14:paraId="36AF185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资产管理信息化水平有待提升：固定资产管理虽然建立了台账，但信息化管理程度不高，资产的日常变动信息不能及时、准确地反映在管理系统中，不利于对资产的实时监控与有效管理。</w:t>
      </w:r>
    </w:p>
    <w:p w14:paraId="64D6B5AF">
      <w:pPr>
        <w:pStyle w:val="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2876D480">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绩效目标细化程度不够：部分绩效目标设定较为笼统，缺乏具体的量化指标和明确的评价标准，在绩效评价过程中难以准确衡量目标完成情况，影响绩效评价科学性与准确性。​</w:t>
      </w:r>
    </w:p>
    <w:p w14:paraId="735B7B11">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黑体" w:hAnsi="黑体" w:eastAsia="黑体" w:cs="黑体"/>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资产管理信息化水平有待提升：固定资产管理虽建立台账，但信息化程度不高，资产日常变动信息无法及时、准确录入管理系统，不利于资产实时监控与高效管理。</w:t>
      </w:r>
    </w:p>
    <w:p w14:paraId="6291ED8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九、其他需要说明的情况</w:t>
      </w:r>
    </w:p>
    <w:p w14:paraId="3D0A2FF0">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本报告依据部门财务资料、工作记录及相关统计数据编制而成，力求真实、准确地反映部门整体支出绩效情况。在报告编制过程中，如有未尽事宜或需要进一步说明的问题，请随时与本部门联系。</w:t>
      </w:r>
    </w:p>
    <w:p w14:paraId="3596B152">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480" w:firstLineChars="200"/>
        <w:jc w:val="both"/>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5094F5"/>
    <w:multiLevelType w:val="singleLevel"/>
    <w:tmpl w:val="A25094F5"/>
    <w:lvl w:ilvl="0" w:tentative="0">
      <w:start w:val="2"/>
      <w:numFmt w:val="decimal"/>
      <w:lvlText w:val="%1."/>
      <w:lvlJc w:val="left"/>
      <w:pPr>
        <w:tabs>
          <w:tab w:val="left" w:pos="312"/>
        </w:tabs>
      </w:pPr>
    </w:lvl>
  </w:abstractNum>
  <w:abstractNum w:abstractNumId="1">
    <w:nsid w:val="EC4C003E"/>
    <w:multiLevelType w:val="singleLevel"/>
    <w:tmpl w:val="EC4C003E"/>
    <w:lvl w:ilvl="0" w:tentative="0">
      <w:start w:val="8"/>
      <w:numFmt w:val="chineseCounting"/>
      <w:suff w:val="nothing"/>
      <w:lvlText w:val="%1、"/>
      <w:lvlJc w:val="left"/>
      <w:rPr>
        <w:rFonts w:hint="eastAsia"/>
      </w:rPr>
    </w:lvl>
  </w:abstractNum>
  <w:abstractNum w:abstractNumId="2">
    <w:nsid w:val="2CFA9FF2"/>
    <w:multiLevelType w:val="singleLevel"/>
    <w:tmpl w:val="2CFA9FF2"/>
    <w:lvl w:ilvl="0" w:tentative="0">
      <w:start w:val="3"/>
      <w:numFmt w:val="chineseCounting"/>
      <w:suff w:val="nothing"/>
      <w:lvlText w:val="（%1）"/>
      <w:lvlJc w:val="left"/>
      <w:rPr>
        <w:rFonts w:hint="eastAsia"/>
      </w:rPr>
    </w:lvl>
  </w:abstractNum>
  <w:abstractNum w:abstractNumId="3">
    <w:nsid w:val="4A610FC0"/>
    <w:multiLevelType w:val="singleLevel"/>
    <w:tmpl w:val="4A610FC0"/>
    <w:lvl w:ilvl="0" w:tentative="0">
      <w:start w:val="2"/>
      <w:numFmt w:val="chineseCounting"/>
      <w:suff w:val="nothing"/>
      <w:lvlText w:val="（%1）"/>
      <w:lvlJc w:val="left"/>
      <w:rPr>
        <w:rFonts w:hint="eastAsia"/>
      </w:rPr>
    </w:lvl>
  </w:abstractNum>
  <w:abstractNum w:abstractNumId="4">
    <w:nsid w:val="57617D52"/>
    <w:multiLevelType w:val="singleLevel"/>
    <w:tmpl w:val="57617D52"/>
    <w:lvl w:ilvl="0" w:tentative="0">
      <w:start w:val="3"/>
      <w:numFmt w:val="chineseCounting"/>
      <w:suff w:val="nothing"/>
      <w:lvlText w:val="%1、"/>
      <w:lvlJc w:val="left"/>
      <w:rPr>
        <w:rFonts w:hint="eastAsia"/>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14057A"/>
    <w:rsid w:val="1814057A"/>
    <w:rsid w:val="48C724A0"/>
    <w:rsid w:val="4ED362C2"/>
    <w:rsid w:val="75444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2945</Words>
  <Characters>3045</Characters>
  <Lines>0</Lines>
  <Paragraphs>0</Paragraphs>
  <TotalTime>12</TotalTime>
  <ScaleCrop>false</ScaleCrop>
  <LinksUpToDate>false</LinksUpToDate>
  <CharactersWithSpaces>3067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2025-04-29T07:34:00Z</dcterms:created>
  <dc:creator>bamboo竹尹</dc:creator>
  <cp:lastModifiedBy>青春一直在我心里那个地方</cp:lastModifiedBy>
  <dcterms:modified xsi:type="dcterms:W3CDTF">2026-04-09T03:32:28Z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6D372EE1A3654B6DBB98DC8C1CC6AC9E_11</vt:lpwstr>
  </property>
  <property fmtid="{D5CDD505-2E9C-101B-9397-08002B2CF9AE}" pid="4" name="KSOTemplateDocerSaveRecord">
    <vt:lpwstr>eyJoZGlkIjoiYTNiZTNmMDQ2MDMwZDBhNjAyYTdhZmM2YjVjMTExZjEiLCJ1c2VySWQiOiI5NTE3NzYzNzAifQ==</vt:lpwstr>
  </property>
</Properties>
</file>