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lang w:eastAsia="zh-CN"/>
        </w:rPr>
        <w:t>溆浦县统计局</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溆浦县统计局</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溆浦县统计局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本单位是行政机关单位，内设行政业务机构</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个；二级机构 2个；核定编制</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名，实有人1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人，其中：行政人员</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人、事业人员</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人;离退休人员 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1、承担组织领导和协调全县统计工作，确保统计数据真实、准确、及时的责任。负责监测国民经济和社会发展态势，承担预测预警和信息引导的责任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依据国家有关法律、法规，拟订全县统计工作规范性文件、统计改革和统计现代化建设规划以及全县统计调查计划；指导、监督检查各乡镇、县直各部门的统计工作；监督检查统计法律、法规在全县范围内的实施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3、建立健全国民经济核算体系，组织实施国民经济核算制度和投入产出调查，核算全县国内生产总值，汇编国民经济核算资料。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4、组织实施人口、经济、农业等重大国情国力普查，汇总、整理和提供有关国情国力方面的统计数据。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组织实施农林牧渔业、工业和建筑业、服务业、社会福利业等行业统计调查，收集、汇总、整理和提供有关调查的统计数据，综合整理和提供地质勘查、旅游、交通运输、邮政、教育、卫生、社会保障、公用事业等全县性基本统计数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组织实施能源、投资、消费、收入、科技、人口、劳动力、社会发展基本情况、环境基本状况等统计调查，收集、汇总、整理和提供有关调查的统计数据，综合整理和提供资源、对外经济等全县性基本统计数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7、组织开展以县为总体的城镇居民收入调查和以乡镇为总体的农村居民人均纯收入调查监测工作。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组织各乡镇和县直各部门的经济、社会、科技和资源环境统计调查，统一核定、管理、公布全县性基本统计资料，定期发布全县国民经济和社会发展情况的统计信息，组织建立服务业统计信息共享制度、发布制度和管理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、承担对国民经济、社会发展、科技进步和资源环境等情况进行统计分析、统计预测和统计监督的工作，向县委、政府及有关部门提供统计信息和建议。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28"/>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、建立并管理全县统计信息自动化系统和统计数据库系统；统一管理各乡镇统计网络。</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700" w:firstLineChars="250"/>
        <w:jc w:val="left"/>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（一）内设机构设置。</w:t>
      </w:r>
      <w:r>
        <w:rPr>
          <w:rFonts w:hint="eastAsia" w:asciiTheme="minorEastAsia" w:hAnsiTheme="minorEastAsia" w:eastAsiaTheme="minorEastAsia" w:cstheme="minorEastAsia"/>
          <w:sz w:val="28"/>
          <w:szCs w:val="28"/>
          <w:lang w:eastAsia="zh-CN"/>
        </w:rPr>
        <w:t>统计局下面设有溆浦县统计局电子计算站和城市社会经济调查队两个二级机构。统计局本级设下列内设机构：办公室（党建办公室）；行政审批股（政策法规股）；综合核算股；综合统计股。</w:t>
      </w:r>
    </w:p>
    <w:p>
      <w:pPr>
        <w:jc w:val="left"/>
        <w:rPr>
          <w:rFonts w:ascii="仿宋_GB2312" w:eastAsia="仿宋_GB2312" w:hAnsiTheme="minorEastAsia"/>
          <w:sz w:val="28"/>
          <w:szCs w:val="32"/>
        </w:rPr>
      </w:pPr>
      <w:r>
        <w:rPr>
          <w:rFonts w:hint="eastAsia" w:asciiTheme="minorEastAsia" w:hAnsiTheme="minorEastAsia" w:eastAsiaTheme="minorEastAsia" w:cstheme="minorEastAsia"/>
          <w:bCs/>
          <w:kern w:val="0"/>
          <w:sz w:val="28"/>
          <w:szCs w:val="28"/>
        </w:rPr>
        <w:t>（二）决算单位构成。</w:t>
      </w:r>
      <w:r>
        <w:rPr>
          <w:rFonts w:hint="eastAsia" w:asciiTheme="minorEastAsia" w:hAnsiTheme="minorEastAsia" w:eastAsiaTheme="minorEastAsia" w:cstheme="minorEastAsia"/>
          <w:bCs/>
          <w:kern w:val="0"/>
          <w:sz w:val="28"/>
          <w:szCs w:val="28"/>
          <w:lang w:eastAsia="zh-CN"/>
        </w:rPr>
        <w:t>溆浦县统计局</w:t>
      </w:r>
      <w:r>
        <w:rPr>
          <w:rFonts w:hint="eastAsia" w:asciiTheme="minorEastAsia" w:hAnsiTheme="minorEastAsia" w:eastAsiaTheme="minorEastAsia" w:cstheme="minorEastAsia"/>
          <w:bCs/>
          <w:kern w:val="0"/>
          <w:sz w:val="28"/>
          <w:szCs w:val="28"/>
        </w:rPr>
        <w:t>2019年部门决算汇总公开单位构成包括：</w:t>
      </w:r>
      <w:r>
        <w:rPr>
          <w:rFonts w:hint="eastAsia" w:asciiTheme="minorEastAsia" w:hAnsiTheme="minorEastAsia" w:eastAsiaTheme="minorEastAsia" w:cstheme="minorEastAsia"/>
          <w:bCs/>
          <w:kern w:val="0"/>
          <w:sz w:val="28"/>
          <w:szCs w:val="28"/>
          <w:lang w:eastAsia="zh-CN"/>
        </w:rPr>
        <w:t>溆浦县统计局</w:t>
      </w:r>
      <w:r>
        <w:rPr>
          <w:rFonts w:hint="eastAsia" w:asciiTheme="minorEastAsia" w:hAnsiTheme="minorEastAsia" w:eastAsiaTheme="minorEastAsia" w:cstheme="minorEastAsia"/>
          <w:bCs/>
          <w:kern w:val="0"/>
          <w:sz w:val="28"/>
          <w:szCs w:val="28"/>
        </w:rPr>
        <w:t>本级</w:t>
      </w:r>
      <w:r>
        <w:rPr>
          <w:rFonts w:hint="eastAsia" w:asciiTheme="minorEastAsia" w:hAnsiTheme="minorEastAsia" w:eastAsiaTheme="minorEastAsia" w:cstheme="minorEastAsia"/>
          <w:bCs/>
          <w:kern w:val="0"/>
          <w:sz w:val="28"/>
          <w:szCs w:val="28"/>
          <w:lang w:eastAsia="zh-CN"/>
        </w:rPr>
        <w:t>。</w:t>
      </w:r>
      <w:r>
        <w:rPr>
          <w:rFonts w:hint="eastAsia" w:asciiTheme="minorEastAsia" w:hAnsiTheme="minorEastAsia" w:eastAsiaTheme="minorEastAsia" w:cstheme="minorEastAsia"/>
          <w:sz w:val="28"/>
          <w:szCs w:val="28"/>
          <w:lang w:val="en-US" w:eastAsia="zh-CN"/>
        </w:rPr>
        <w:t>本单位无财务独立核算的二级机构。</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溆浦县统计局</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695.9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676.65</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3"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15.91</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13</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九、资源勘探工业信息等支出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十、商业服务业等支出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十一、住房保障支出</w:t>
            </w: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3.58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708.9</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701.62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12.54</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19.82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721.44</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721.44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286" w:type="dxa"/>
        <w:tblInd w:w="0" w:type="dxa"/>
        <w:tblLayout w:type="autofit"/>
        <w:tblCellMar>
          <w:top w:w="0" w:type="dxa"/>
          <w:left w:w="0" w:type="dxa"/>
          <w:bottom w:w="0" w:type="dxa"/>
          <w:right w:w="0" w:type="dxa"/>
        </w:tblCellMar>
      </w:tblPr>
      <w:tblGrid>
        <w:gridCol w:w="494"/>
        <w:gridCol w:w="492"/>
        <w:gridCol w:w="2956"/>
        <w:gridCol w:w="1668"/>
        <w:gridCol w:w="1668"/>
        <w:gridCol w:w="1380"/>
        <w:gridCol w:w="1380"/>
        <w:gridCol w:w="1380"/>
        <w:gridCol w:w="1380"/>
        <w:gridCol w:w="2488"/>
      </w:tblGrid>
      <w:tr>
        <w:tblPrEx>
          <w:tblCellMar>
            <w:top w:w="0" w:type="dxa"/>
            <w:left w:w="0" w:type="dxa"/>
            <w:bottom w:w="0" w:type="dxa"/>
            <w:right w:w="0" w:type="dxa"/>
          </w:tblCellMar>
        </w:tblPrEx>
        <w:trPr>
          <w:trHeight w:val="435" w:hRule="atLeast"/>
        </w:trPr>
        <w:tc>
          <w:tcPr>
            <w:tcW w:w="152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9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9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95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8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956" w:type="dxa"/>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lang w:eastAsia="zh-CN"/>
              </w:rPr>
              <w:t>溆浦县统计局</w:t>
            </w:r>
            <w:r>
              <w:rPr>
                <w:rFonts w:hint="eastAsia"/>
              </w:rPr>
              <w:t>　</w:t>
            </w:r>
          </w:p>
        </w:tc>
        <w:tc>
          <w:tcPr>
            <w:tcW w:w="166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4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6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3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8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8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95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8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95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4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3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8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94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708.90</w:t>
            </w:r>
            <w:r>
              <w:rPr>
                <w:rFonts w:hint="eastAsia"/>
              </w:rPr>
              <w:t>　</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695.9</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val="en-US" w:eastAsia="zh-CN"/>
              </w:rPr>
              <w:t>201</w:t>
            </w:r>
            <w:r>
              <w:rPr>
                <w:rFonts w:hint="eastAsia"/>
              </w:rPr>
              <w:t>　</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一般公共服务支出</w:t>
            </w:r>
            <w:r>
              <w:rPr>
                <w:rFonts w:hint="eastAsia"/>
              </w:rPr>
              <w:t>　</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683.93</w:t>
            </w:r>
            <w:r>
              <w:rPr>
                <w:rFonts w:hint="eastAsia"/>
              </w:rPr>
              <w:t>　</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670.93</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20105</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统计信息事务</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681.38</w:t>
            </w:r>
            <w:r>
              <w:rPr>
                <w:rFonts w:hint="eastAsia"/>
              </w:rPr>
              <w:t>　</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668.38</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13</w:t>
            </w: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2010501</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行政运行</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258.57</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245.57</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13</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2010502</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一般行政管理事务</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23.03</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23.03</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2010505</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专项统计业务</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40</w:t>
            </w:r>
            <w:r>
              <w:rPr>
                <w:rFonts w:hint="eastAsia"/>
              </w:rPr>
              <w:t>　</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40</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2010507</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专项普查活动</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358.6</w:t>
            </w:r>
            <w:r>
              <w:rPr>
                <w:rFonts w:hint="eastAsia"/>
              </w:rPr>
              <w:t>　</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358.6</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2010599</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其他统计信息事务支出</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cs="宋体" w:eastAsiaTheme="minorEastAsia"/>
                <w:sz w:val="24"/>
                <w:szCs w:val="24"/>
                <w:lang w:val="en-US" w:eastAsia="zh-CN"/>
              </w:rPr>
            </w:pPr>
            <w:r>
              <w:rPr>
                <w:rFonts w:hint="eastAsia"/>
                <w:lang w:val="en-US" w:eastAsia="zh-CN"/>
              </w:rPr>
              <w:t>1.18</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1.18</w:t>
            </w: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20125</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港澳台事务</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2.55</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2.55</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2012501</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行政运行</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2.55</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2.55</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社会保障和就业支出</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15.91</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15.91</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20808</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抚恤</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15.91</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15.91</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2080801</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死亡抚恤</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15.91</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15.91</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农林水支出</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2</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21305</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扶贫</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2</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2130501</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行政运行</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215</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资源勘探工业信息等支出</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1.48</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1.48</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21505</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工业和信息产业监管</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1.48</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1.48</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2150599</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其他工业和信息产业监管支出</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1.48</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1.48</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216</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商业服务业等支出</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2</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21602</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商业流通事务</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2</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2160299</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其他商业流通事务支出</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2</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eastAsiaTheme="minorEastAsia"/>
                <w:lang w:val="en-US" w:eastAsia="zh-CN"/>
              </w:rPr>
            </w:pPr>
            <w:r>
              <w:rPr>
                <w:rFonts w:hint="eastAsia"/>
                <w:lang w:val="en-US" w:eastAsia="zh-CN"/>
              </w:rPr>
              <w:t>2</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221</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住房保障支出</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3.58</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3.58</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22102</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住房改革支出</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3.58</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3.58</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8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2210201</w:t>
            </w:r>
          </w:p>
        </w:tc>
        <w:tc>
          <w:tcPr>
            <w:tcW w:w="29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eastAsiaTheme="minorEastAsia"/>
                <w:lang w:eastAsia="zh-CN"/>
              </w:rPr>
            </w:pPr>
            <w:r>
              <w:rPr>
                <w:rFonts w:hint="eastAsia"/>
                <w:lang w:eastAsia="zh-CN"/>
              </w:rPr>
              <w:t>住房公积金</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3.58</w:t>
            </w:r>
          </w:p>
        </w:tc>
        <w:tc>
          <w:tcPr>
            <w:tcW w:w="16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3.58</w:t>
            </w: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8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2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262" w:type="dxa"/>
        <w:tblInd w:w="93" w:type="dxa"/>
        <w:tblLayout w:type="fixed"/>
        <w:tblCellMar>
          <w:top w:w="0" w:type="dxa"/>
          <w:left w:w="108" w:type="dxa"/>
          <w:bottom w:w="0" w:type="dxa"/>
          <w:right w:w="108" w:type="dxa"/>
        </w:tblCellMar>
      </w:tblPr>
      <w:tblGrid>
        <w:gridCol w:w="1042"/>
        <w:gridCol w:w="240"/>
        <w:gridCol w:w="2711"/>
        <w:gridCol w:w="1470"/>
        <w:gridCol w:w="1454"/>
        <w:gridCol w:w="1679"/>
        <w:gridCol w:w="1679"/>
        <w:gridCol w:w="2091"/>
        <w:gridCol w:w="817"/>
        <w:gridCol w:w="1079"/>
      </w:tblGrid>
      <w:tr>
        <w:tblPrEx>
          <w:tblCellMar>
            <w:top w:w="0" w:type="dxa"/>
            <w:left w:w="108" w:type="dxa"/>
            <w:bottom w:w="0" w:type="dxa"/>
            <w:right w:w="108" w:type="dxa"/>
          </w:tblCellMar>
        </w:tblPrEx>
        <w:trPr>
          <w:gridAfter w:val="1"/>
          <w:wAfter w:w="1079" w:type="dxa"/>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11"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lang w:eastAsia="zh-CN"/>
              </w:rPr>
              <w:t>溆浦县统计局</w:t>
            </w:r>
            <w:r>
              <w:rPr>
                <w:rFonts w:hint="eastAsia" w:ascii="宋体" w:hAnsi="宋体" w:eastAsia="宋体" w:cs="宋体"/>
                <w:kern w:val="0"/>
                <w:sz w:val="24"/>
                <w:szCs w:val="24"/>
              </w:rPr>
              <w:t>　</w:t>
            </w:r>
          </w:p>
        </w:tc>
        <w:tc>
          <w:tcPr>
            <w:tcW w:w="14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9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5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20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89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7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9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4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5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89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9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701.62</w:t>
            </w:r>
            <w:r>
              <w:rPr>
                <w:rFonts w:hint="eastAsia" w:ascii="宋体" w:hAnsi="宋体" w:eastAsia="宋体" w:cs="宋体"/>
                <w:kern w:val="0"/>
                <w:sz w:val="24"/>
                <w:szCs w:val="24"/>
              </w:rPr>
              <w:t>　</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290.24</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411.38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201</w:t>
            </w:r>
            <w:r>
              <w:rPr>
                <w:rFonts w:hint="eastAsia"/>
              </w:rPr>
              <w:t>　</w:t>
            </w:r>
          </w:p>
        </w:tc>
        <w:tc>
          <w:tcPr>
            <w:tcW w:w="271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eastAsia="zh-CN"/>
              </w:rPr>
              <w:t>一般公共服务支出</w:t>
            </w:r>
            <w:r>
              <w:rPr>
                <w:rFonts w:hint="eastAsia"/>
              </w:rPr>
              <w:t>　</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676.65</w:t>
            </w:r>
            <w:r>
              <w:rPr>
                <w:rFonts w:hint="eastAsia" w:ascii="宋体" w:hAnsi="宋体" w:eastAsia="宋体" w:cs="宋体"/>
                <w:kern w:val="0"/>
                <w:sz w:val="24"/>
                <w:szCs w:val="24"/>
              </w:rPr>
              <w:t>　</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265.27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411.38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val="en-US" w:eastAsia="zh-CN"/>
              </w:rPr>
              <w:t>20105</w:t>
            </w:r>
          </w:p>
        </w:tc>
        <w:tc>
          <w:tcPr>
            <w:tcW w:w="271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rPr>
              <w:t>　</w:t>
            </w:r>
            <w:r>
              <w:rPr>
                <w:rFonts w:hint="eastAsia"/>
                <w:lang w:eastAsia="zh-CN"/>
              </w:rPr>
              <w:t>统计信息事务</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674.10</w:t>
            </w:r>
            <w:r>
              <w:rPr>
                <w:rFonts w:hint="eastAsia" w:ascii="宋体" w:hAnsi="宋体" w:eastAsia="宋体" w:cs="宋体"/>
                <w:kern w:val="0"/>
                <w:sz w:val="24"/>
                <w:szCs w:val="24"/>
              </w:rPr>
              <w:t>　</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262.72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411.38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2010501</w:t>
            </w:r>
          </w:p>
        </w:tc>
        <w:tc>
          <w:tcPr>
            <w:tcW w:w="271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eastAsia="zh-CN"/>
              </w:rPr>
              <w:t>行政运行</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251.29</w:t>
            </w:r>
            <w:r>
              <w:rPr>
                <w:rFonts w:hint="eastAsia" w:ascii="宋体" w:hAnsi="宋体" w:eastAsia="宋体" w:cs="宋体"/>
                <w:kern w:val="0"/>
                <w:sz w:val="24"/>
                <w:szCs w:val="24"/>
              </w:rPr>
              <w:t>　</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247.17</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4.12</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2010502</w:t>
            </w:r>
          </w:p>
        </w:tc>
        <w:tc>
          <w:tcPr>
            <w:tcW w:w="271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eastAsia="zh-CN"/>
              </w:rPr>
              <w:t>一般行政管理事务</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23.03</w:t>
            </w:r>
            <w:r>
              <w:rPr>
                <w:rFonts w:hint="eastAsia" w:ascii="宋体" w:hAnsi="宋体" w:eastAsia="宋体" w:cs="宋体"/>
                <w:kern w:val="0"/>
                <w:sz w:val="24"/>
                <w:szCs w:val="24"/>
              </w:rPr>
              <w:t>　</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23.03</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rPr>
              <w:t>　</w:t>
            </w:r>
            <w:r>
              <w:rPr>
                <w:rFonts w:hint="eastAsia"/>
                <w:lang w:val="en-US" w:eastAsia="zh-CN"/>
              </w:rPr>
              <w:t>2010505</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rPr>
              <w:t>　</w:t>
            </w:r>
            <w:r>
              <w:rPr>
                <w:rFonts w:hint="eastAsia"/>
                <w:lang w:eastAsia="zh-CN"/>
              </w:rPr>
              <w:t>专项统计业务</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25.63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rPr>
              <w:t>　</w:t>
            </w:r>
            <w:r>
              <w:rPr>
                <w:rFonts w:hint="eastAsia"/>
                <w:lang w:val="en-US" w:eastAsia="zh-CN"/>
              </w:rPr>
              <w:t>2010507</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rPr>
              <w:t>　</w:t>
            </w:r>
            <w:r>
              <w:rPr>
                <w:rFonts w:hint="eastAsia"/>
                <w:lang w:eastAsia="zh-CN"/>
              </w:rPr>
              <w:t>专项普查活动</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358.6</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358.60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rPr>
              <w:t>　</w:t>
            </w:r>
            <w:r>
              <w:rPr>
                <w:rFonts w:hint="eastAsia"/>
                <w:lang w:val="en-US" w:eastAsia="zh-CN"/>
              </w:rPr>
              <w:t>2010599</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rPr>
              <w:t>　</w:t>
            </w:r>
            <w:r>
              <w:rPr>
                <w:rFonts w:hint="eastAsia"/>
                <w:lang w:eastAsia="zh-CN"/>
              </w:rPr>
              <w:t>其他统计信息事务支出</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1.18</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20125</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港澳台事务</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2.55</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2012501</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行政运行</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2.55</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208</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社会保障和就业支出</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15.91</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20808</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抚恤</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15.91</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2080801</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死亡抚恤</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15.91</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213</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农林水支出</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21305</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扶贫</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2130501</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行政运行</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215</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资源勘探工业信息等支出</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21505</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工业和信息产业监管</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2150599</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其他工业和信息产业监管支出</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1.48</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216</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商业服务业等支出</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21602</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商业流通事务</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2160299</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其他商业流通事务支出</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221</w:t>
            </w:r>
          </w:p>
        </w:tc>
        <w:tc>
          <w:tcPr>
            <w:tcW w:w="2711"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住房保障支出</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3.58</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3.58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22102</w:t>
            </w:r>
          </w:p>
        </w:tc>
        <w:tc>
          <w:tcPr>
            <w:tcW w:w="271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eastAsia="zh-CN"/>
              </w:rPr>
              <w:t>住房改革支出</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3.58</w:t>
            </w:r>
            <w:r>
              <w:rPr>
                <w:rFonts w:hint="eastAsia" w:ascii="宋体" w:hAnsi="宋体" w:eastAsia="宋体" w:cs="宋体"/>
                <w:kern w:val="0"/>
                <w:sz w:val="24"/>
                <w:szCs w:val="24"/>
              </w:rPr>
              <w:t>　</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3.58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2210201</w:t>
            </w:r>
          </w:p>
        </w:tc>
        <w:tc>
          <w:tcPr>
            <w:tcW w:w="2711"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eastAsia="zh-CN"/>
              </w:rPr>
              <w:t>住房公积金</w:t>
            </w:r>
          </w:p>
        </w:tc>
        <w:tc>
          <w:tcPr>
            <w:tcW w:w="14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3.58</w:t>
            </w:r>
            <w:r>
              <w:rPr>
                <w:rFonts w:hint="eastAsia" w:ascii="宋体" w:hAnsi="宋体" w:eastAsia="宋体" w:cs="宋体"/>
                <w:kern w:val="0"/>
                <w:sz w:val="24"/>
                <w:szCs w:val="24"/>
              </w:rPr>
              <w:t>　</w:t>
            </w:r>
          </w:p>
        </w:tc>
        <w:tc>
          <w:tcPr>
            <w:tcW w:w="145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3.58</w:t>
            </w: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gridAfter w:val="1"/>
          <w:wAfter w:w="1079" w:type="dxa"/>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溆浦县统计局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9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695.90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671.22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671.22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4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22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35"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2"/>
                <w:lang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15.91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15.91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2"/>
                <w:lang w:eastAsia="zh-CN"/>
              </w:rPr>
              <w:t>八、农林水支出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2"/>
                <w:lang w:eastAsia="zh-CN"/>
              </w:rPr>
              <w:t>九、资源勘探工业信息等支出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1.48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2"/>
                <w:lang w:eastAsia="zh-CN"/>
              </w:rPr>
              <w:t>十、商业服务业等支出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2"/>
                <w:lang w:eastAsia="zh-CN"/>
              </w:rPr>
              <w:t>十一、住房保障支出</w:t>
            </w: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lang w:val="en-US" w:eastAsia="zh-CN"/>
              </w:rPr>
              <w:t>3.58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281"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695.90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696.18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696.18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5.11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4.82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4.82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5.11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88"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701.00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701.00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701.00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溆浦县统计局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696.18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288.93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407.26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201</w:t>
            </w:r>
            <w:r>
              <w:rPr>
                <w:rFonts w:hint="eastAsia"/>
              </w:rPr>
              <w:t>　</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一般公共服务支出</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671.22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263.96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407.26</w:t>
            </w:r>
          </w:p>
        </w:tc>
      </w:tr>
      <w:tr>
        <w:tblPrEx>
          <w:tblCellMar>
            <w:top w:w="0" w:type="dxa"/>
            <w:left w:w="108" w:type="dxa"/>
            <w:bottom w:w="0" w:type="dxa"/>
            <w:right w:w="108" w:type="dxa"/>
          </w:tblCellMar>
        </w:tblPrEx>
        <w:trPr>
          <w:trHeight w:val="436"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20105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统计信息事务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668.67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261.41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407.26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2010501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245.86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245.86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2010502</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2010505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专项统计业务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2010507</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专项普查活动</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358.60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358.60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val="en-US" w:eastAsia="zh-CN"/>
              </w:rPr>
              <w:t>2010599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其他统计信息事务支出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20125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港澳台事务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2012501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20808</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2080801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213</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农林水支出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21305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扶贫</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2130501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资源勘探工业信息等支出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21505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工业和信息产业监管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2150599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其他工业和信息产业监管支出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216</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商业服务业等支出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21602</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商业流通事务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2160299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其他商业流通事务支出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221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22102</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住房改革支出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2210201</w:t>
            </w:r>
          </w:p>
        </w:tc>
        <w:tc>
          <w:tcPr>
            <w:tcW w:w="3527" w:type="dxa"/>
            <w:tcBorders>
              <w:top w:val="nil"/>
              <w:left w:val="nil"/>
              <w:bottom w:val="single" w:color="auto" w:sz="8"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3.58</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627" w:type="dxa"/>
        <w:tblInd w:w="0" w:type="dxa"/>
        <w:tblLayout w:type="fixed"/>
        <w:tblCellMar>
          <w:top w:w="0" w:type="dxa"/>
          <w:left w:w="108" w:type="dxa"/>
          <w:bottom w:w="0" w:type="dxa"/>
          <w:right w:w="108" w:type="dxa"/>
        </w:tblCellMar>
      </w:tblPr>
      <w:tblGrid>
        <w:gridCol w:w="1335"/>
        <w:gridCol w:w="2872"/>
        <w:gridCol w:w="1127"/>
        <w:gridCol w:w="1163"/>
        <w:gridCol w:w="2214"/>
        <w:gridCol w:w="1011"/>
        <w:gridCol w:w="1065"/>
        <w:gridCol w:w="3586"/>
        <w:gridCol w:w="1052"/>
        <w:gridCol w:w="202"/>
      </w:tblGrid>
      <w:tr>
        <w:tblPrEx>
          <w:tblCellMar>
            <w:top w:w="0" w:type="dxa"/>
            <w:left w:w="108" w:type="dxa"/>
            <w:bottom w:w="0" w:type="dxa"/>
            <w:right w:w="108" w:type="dxa"/>
          </w:tblCellMar>
        </w:tblPrEx>
        <w:trPr>
          <w:trHeight w:val="113" w:hRule="atLeast"/>
        </w:trPr>
        <w:tc>
          <w:tcPr>
            <w:tcW w:w="15627"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溆浦县统计局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gridAfter w:val="1"/>
          <w:wAfter w:w="202" w:type="dxa"/>
          <w:trHeight w:val="113" w:hRule="atLeast"/>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8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173.67</w:t>
            </w: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95.98</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95000929595.98</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63.62</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3.74</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37.05</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2.10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33.58</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0.98</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5.11</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0.98</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0.63</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4.01</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0.62</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5.97</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24.28</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0.78</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18.30</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0.09</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15.91</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1.68</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2.51</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0.22</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0.61</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16.28</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2.09</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13.77</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84"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0.10</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261" w:hRule="exact"/>
        </w:trPr>
        <w:tc>
          <w:tcPr>
            <w:tcW w:w="13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8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11"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47.80</w:t>
            </w:r>
          </w:p>
        </w:tc>
        <w:tc>
          <w:tcPr>
            <w:tcW w:w="1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202" w:type="dxa"/>
          <w:trHeight w:val="382" w:hRule="exact"/>
        </w:trPr>
        <w:tc>
          <w:tcPr>
            <w:tcW w:w="42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2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191.97</w:t>
            </w:r>
          </w:p>
        </w:tc>
        <w:tc>
          <w:tcPr>
            <w:tcW w:w="903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5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96.96</w:t>
            </w:r>
          </w:p>
        </w:tc>
      </w:tr>
      <w:tr>
        <w:trPr>
          <w:trHeight w:val="284" w:hRule="exact"/>
        </w:trPr>
        <w:tc>
          <w:tcPr>
            <w:tcW w:w="15627"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溆浦县统计局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3.39</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溆浦县统计局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2000"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b/>
          <w:bCs/>
          <w:kern w:val="0"/>
          <w:szCs w:val="21"/>
        </w:rPr>
        <w:t>(</w:t>
      </w:r>
      <w:r>
        <w:rPr>
          <w:rFonts w:hint="eastAsia" w:ascii="Times New Roman" w:hAnsi="Times New Roman" w:eastAsia="仿宋_GB2312" w:cs="Times New Roman"/>
          <w:b/>
          <w:bCs/>
          <w:kern w:val="0"/>
          <w:szCs w:val="21"/>
        </w:rPr>
        <w:t>说明：</w:t>
      </w:r>
      <w:r>
        <w:rPr>
          <w:rFonts w:hint="eastAsia" w:ascii="Times New Roman" w:hAnsi="Times New Roman" w:eastAsia="仿宋_GB2312" w:cs="Times New Roman"/>
          <w:b/>
          <w:bCs/>
          <w:kern w:val="0"/>
          <w:szCs w:val="21"/>
          <w:lang w:eastAsia="zh-CN"/>
        </w:rPr>
        <w:t>溆浦县统计局</w:t>
      </w:r>
      <w:r>
        <w:rPr>
          <w:rFonts w:hint="eastAsia" w:ascii="Times New Roman" w:hAnsi="Times New Roman" w:eastAsia="仿宋_GB2312" w:cs="Times New Roman"/>
          <w:b/>
          <w:bCs/>
          <w:kern w:val="0"/>
          <w:szCs w:val="21"/>
        </w:rPr>
        <w:t>没有政府性基金收入，也没有使用政府性基金安排的支出，故本表无数据</w:t>
      </w:r>
      <w:r>
        <w:rPr>
          <w:rFonts w:ascii="Times New Roman" w:hAnsi="Times New Roman" w:eastAsia="仿宋_GB2312" w:cs="Times New Roman"/>
          <w:b/>
          <w:bCs/>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lang w:eastAsia="zh-CN"/>
              </w:rPr>
              <w:t>溆浦县统计局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b/>
                <w:bCs/>
                <w:kern w:val="0"/>
                <w:szCs w:val="21"/>
              </w:rPr>
              <w:t>(</w:t>
            </w:r>
            <w:r>
              <w:rPr>
                <w:rFonts w:hint="eastAsia" w:ascii="Times New Roman" w:hAnsi="Times New Roman" w:eastAsia="仿宋_GB2312" w:cs="Times New Roman"/>
                <w:b/>
                <w:bCs/>
                <w:kern w:val="0"/>
                <w:szCs w:val="21"/>
              </w:rPr>
              <w:t>说明：</w:t>
            </w:r>
            <w:r>
              <w:rPr>
                <w:rFonts w:hint="eastAsia" w:ascii="Times New Roman" w:hAnsi="Times New Roman" w:eastAsia="仿宋_GB2312" w:cs="Times New Roman"/>
                <w:b/>
                <w:bCs/>
                <w:kern w:val="0"/>
                <w:szCs w:val="21"/>
                <w:lang w:eastAsia="zh-CN"/>
              </w:rPr>
              <w:t>溆浦县统计局</w:t>
            </w:r>
            <w:r>
              <w:rPr>
                <w:rFonts w:hint="eastAsia" w:ascii="Times New Roman" w:hAnsi="Times New Roman" w:eastAsia="仿宋_GB2312" w:cs="Times New Roman"/>
                <w:b/>
                <w:bCs/>
                <w:kern w:val="0"/>
                <w:szCs w:val="21"/>
              </w:rPr>
              <w:t>没有</w:t>
            </w:r>
            <w:r>
              <w:rPr>
                <w:rFonts w:hint="eastAsia" w:ascii="Times New Roman" w:hAnsi="Times New Roman" w:eastAsia="仿宋_GB2312" w:cs="Times New Roman"/>
                <w:b/>
                <w:bCs/>
                <w:kern w:val="0"/>
                <w:szCs w:val="21"/>
                <w:lang w:eastAsia="zh-CN"/>
              </w:rPr>
              <w:t>国有资本经营预算财政拨款支出，</w:t>
            </w:r>
            <w:r>
              <w:rPr>
                <w:rFonts w:hint="eastAsia" w:ascii="Times New Roman" w:hAnsi="Times New Roman" w:eastAsia="仿宋_GB2312" w:cs="Times New Roman"/>
                <w:b/>
                <w:bCs/>
                <w:kern w:val="0"/>
                <w:szCs w:val="21"/>
              </w:rPr>
              <w:t>故本表无数据</w:t>
            </w:r>
            <w:r>
              <w:rPr>
                <w:rFonts w:ascii="Times New Roman" w:hAnsi="Times New Roman" w:eastAsia="仿宋_GB2312" w:cs="Times New Roman"/>
                <w:b/>
                <w:bCs/>
                <w:kern w:val="0"/>
                <w:szCs w:val="21"/>
              </w:rPr>
              <w:t>)。</w:t>
            </w:r>
          </w:p>
          <w:p>
            <w:pPr>
              <w:widowControl/>
              <w:jc w:val="left"/>
              <w:rPr>
                <w:rFonts w:hint="eastAsia"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721.44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354.74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96.74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全国第七次人口普查工作启动，并购置大量普查工作用的设备及支付“两员”经费。</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708.9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695.9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98.17</w:t>
      </w:r>
      <w:r>
        <w:rPr>
          <w:rFonts w:hint="eastAsia" w:asciiTheme="minorEastAsia" w:hAnsiTheme="minorEastAsia" w:eastAsiaTheme="minorEastAsia"/>
          <w:sz w:val="32"/>
          <w:szCs w:val="32"/>
        </w:rPr>
        <w:t>%；其他收入收入</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701.62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290.24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41.37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411.38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58.63</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701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359.52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105.28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全国第七次人口普查工作启动，并购置大量普查工作用的设备及支付“两员”经费。</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696.18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99.22</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355.58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104.4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全国第七次人口普查工作启动，并购置大量普查工作用的设备及支付“两员”经费。</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696.18</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671.22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96.41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15.91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农林水（类）支出</w:t>
      </w:r>
      <w:r>
        <w:rPr>
          <w:rFonts w:hint="eastAsia" w:asciiTheme="minorEastAsia" w:hAnsiTheme="minorEastAsia" w:eastAsiaTheme="minorEastAsia"/>
          <w:sz w:val="32"/>
          <w:szCs w:val="32"/>
          <w:lang w:val="en-US" w:eastAsia="zh-CN"/>
        </w:rPr>
        <w:t>2万元，占0.29%；资源勘探工业信息等（类）支出1.48万元，占0.21%；商业服务业等（类）支出2万元，占0.29%；住房保障（类）支出3.58万元，占0.51%。</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593.35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696.18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117.33</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w:t>
      </w:r>
      <w:r>
        <w:rPr>
          <w:rFonts w:hint="eastAsia" w:asciiTheme="minorEastAsia" w:hAnsiTheme="minorEastAsia" w:eastAsiaTheme="minorEastAsia"/>
          <w:sz w:val="32"/>
          <w:szCs w:val="32"/>
          <w:lang w:val="en-US" w:eastAsia="zh-CN"/>
        </w:rPr>
        <w:t>2010501</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176.93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245.86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138.96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全国第七次人口普查工作启动，追加了预算，调整了科目。</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w:t>
      </w:r>
      <w:r>
        <w:rPr>
          <w:rFonts w:hint="eastAsia" w:asciiTheme="minorEastAsia" w:hAnsiTheme="minorEastAsia" w:eastAsiaTheme="minorEastAsia"/>
          <w:sz w:val="32"/>
          <w:szCs w:val="32"/>
          <w:lang w:val="en-US" w:eastAsia="zh-CN"/>
        </w:rPr>
        <w:t>2010502</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23.03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年中调整了科目。</w:t>
      </w:r>
    </w:p>
    <w:p>
      <w:pPr>
        <w:pStyle w:val="9"/>
        <w:numPr>
          <w:ilvl w:val="0"/>
          <w:numId w:val="2"/>
        </w:numPr>
        <w:ind w:left="40" w:leftChars="0" w:firstLine="800" w:firstLineChars="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一般公共服务2010505。</w:t>
      </w:r>
    </w:p>
    <w:p>
      <w:pPr>
        <w:pStyle w:val="9"/>
        <w:numPr>
          <w:ilvl w:val="0"/>
          <w:numId w:val="0"/>
        </w:numP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年初预算为50万元，支出决算为40万元，完成了年初预算的80%，决算数小于年初预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9"/>
        <w:numPr>
          <w:ilvl w:val="0"/>
          <w:numId w:val="2"/>
        </w:numPr>
        <w:ind w:left="40" w:leftChars="0" w:firstLine="80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一般公共服务2010507。</w:t>
      </w:r>
    </w:p>
    <w:p>
      <w:pPr>
        <w:pStyle w:val="9"/>
        <w:numPr>
          <w:ilvl w:val="0"/>
          <w:numId w:val="0"/>
        </w:numPr>
        <w:ind w:left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年初预算为350万元，支出决算为358.6万元，完成了年初预算的102.46%，决算数大于年初预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全国第七次人口普查工作启动，工作量增加。</w:t>
      </w:r>
    </w:p>
    <w:p>
      <w:pPr>
        <w:pStyle w:val="9"/>
        <w:numPr>
          <w:ilvl w:val="0"/>
          <w:numId w:val="2"/>
        </w:numPr>
        <w:ind w:left="40" w:leftChars="0" w:firstLine="80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一般公共服务2010599。</w:t>
      </w:r>
    </w:p>
    <w:p>
      <w:pPr>
        <w:pStyle w:val="9"/>
        <w:numPr>
          <w:ilvl w:val="0"/>
          <w:numId w:val="0"/>
        </w:numP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年初预算为0万元，支出决算为1.18万元，完成了年初预算的0%，决算数大于年初预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年中调整了科目。</w:t>
      </w:r>
    </w:p>
    <w:p>
      <w:pPr>
        <w:pStyle w:val="9"/>
        <w:numPr>
          <w:ilvl w:val="0"/>
          <w:numId w:val="0"/>
        </w:numPr>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6、港澳台事务2012501。</w:t>
      </w:r>
    </w:p>
    <w:p>
      <w:pPr>
        <w:pStyle w:val="9"/>
        <w:numPr>
          <w:ilvl w:val="0"/>
          <w:numId w:val="0"/>
        </w:numPr>
        <w:ind w:left="0" w:leftChars="0" w:firstLine="838" w:firstLineChars="262"/>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年初预算为0万元，支出决算为2.55万元，完成了年初预算的0%，决算数大于年初预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工作突出，增加了预算。</w:t>
      </w:r>
    </w:p>
    <w:p>
      <w:pPr>
        <w:pStyle w:val="9"/>
        <w:numPr>
          <w:ilvl w:val="0"/>
          <w:numId w:val="2"/>
        </w:numPr>
        <w:ind w:left="40" w:leftChars="0" w:firstLine="80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社会保障和就业2080801。</w:t>
      </w:r>
    </w:p>
    <w:p>
      <w:pPr>
        <w:pStyle w:val="9"/>
        <w:numPr>
          <w:ilvl w:val="0"/>
          <w:numId w:val="0"/>
        </w:numPr>
        <w:ind w:left="5" w:leftChars="0" w:firstLine="518" w:firstLineChars="162"/>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年初预算为0万元，支出决算为15.9万元，完成了年初预算的0%，决算数大于年初预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年中增加死亡抚恤金。</w:t>
      </w:r>
    </w:p>
    <w:p>
      <w:pPr>
        <w:pStyle w:val="9"/>
        <w:numPr>
          <w:ilvl w:val="0"/>
          <w:numId w:val="2"/>
        </w:numPr>
        <w:ind w:left="40" w:leftChars="0" w:firstLine="80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农林水2130501</w:t>
      </w:r>
    </w:p>
    <w:p>
      <w:pPr>
        <w:pStyle w:val="9"/>
        <w:numPr>
          <w:ilvl w:val="0"/>
          <w:numId w:val="0"/>
        </w:numPr>
        <w:ind w:left="5" w:leftChars="0" w:firstLine="832" w:firstLineChars="26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年初预算为0万元，支出决算为2万元，完成了年初预算的0%，决算数大于年初预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扶贫工作调整了科目。</w:t>
      </w:r>
    </w:p>
    <w:p>
      <w:pPr>
        <w:pStyle w:val="9"/>
        <w:numPr>
          <w:ilvl w:val="0"/>
          <w:numId w:val="2"/>
        </w:numPr>
        <w:ind w:left="40" w:leftChars="0" w:firstLine="80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其他工业和信息产业监管2160299。</w:t>
      </w:r>
    </w:p>
    <w:p>
      <w:pPr>
        <w:pStyle w:val="9"/>
        <w:numPr>
          <w:ilvl w:val="0"/>
          <w:numId w:val="0"/>
        </w:numPr>
        <w:ind w:left="0" w:leftChars="0" w:firstLine="838" w:firstLineChars="262"/>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年初预算为0万元，支出决算为1.48万元，完成了年初预算的0%，决算数大于年初预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工作突出，增加了预算。</w:t>
      </w:r>
    </w:p>
    <w:p>
      <w:pPr>
        <w:pStyle w:val="9"/>
        <w:numPr>
          <w:ilvl w:val="0"/>
          <w:numId w:val="2"/>
        </w:numPr>
        <w:ind w:left="40" w:leftChars="0" w:firstLine="800" w:firstLineChars="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商业服务业等2160299</w:t>
      </w:r>
    </w:p>
    <w:p>
      <w:pPr>
        <w:pStyle w:val="9"/>
        <w:numPr>
          <w:ilvl w:val="0"/>
          <w:numId w:val="0"/>
        </w:numPr>
        <w:ind w:left="0" w:leftChars="0" w:firstLine="838" w:firstLineChars="262"/>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年初预算为0万元，支出决算为2万元，完成了年初预算的0%，决算数大于年初预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工作突出，增加了预算。</w:t>
      </w:r>
    </w:p>
    <w:p>
      <w:pPr>
        <w:pStyle w:val="9"/>
        <w:numPr>
          <w:ilvl w:val="0"/>
          <w:numId w:val="2"/>
        </w:numPr>
        <w:ind w:left="40" w:leftChars="0" w:firstLine="800" w:firstLineChars="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住房保障2210201。</w:t>
      </w:r>
    </w:p>
    <w:p>
      <w:pPr>
        <w:pStyle w:val="9"/>
        <w:numPr>
          <w:ilvl w:val="0"/>
          <w:numId w:val="0"/>
        </w:numPr>
        <w:ind w:left="5" w:leftChars="0" w:firstLine="832" w:firstLineChars="26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年初预算为0万元，支出决算为3.58万元，完成了年初预算的0%，决算数大于年初预</w:t>
      </w:r>
      <w:r>
        <w:rPr>
          <w:rFonts w:hint="eastAsia" w:asciiTheme="minorEastAsia" w:hAnsiTheme="minorEastAsia" w:eastAsiaTheme="minorEastAsia"/>
          <w:sz w:val="32"/>
          <w:szCs w:val="32"/>
        </w:rPr>
        <w:t>算数的主要原因是</w:t>
      </w:r>
      <w:r>
        <w:rPr>
          <w:rFonts w:hint="eastAsia" w:asciiTheme="minorEastAsia" w:hAnsiTheme="minorEastAsia" w:eastAsiaTheme="minorEastAsia"/>
          <w:sz w:val="32"/>
          <w:szCs w:val="32"/>
          <w:lang w:eastAsia="zh-CN"/>
        </w:rPr>
        <w:t>工作需要调整了科目。</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288.93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191.97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66.5</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、绩效工资、职工基本医疗保险缴费、其他社会保障缴费、住房公积金、抚恤金、生活补助、助学金、其他对个人和家庭的补助；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96.96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33.59</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邮电</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差旅费、维修（护）费、公务接待费、劳务费、委托业务费、工会经费、福利费、其他交通费用、其他商品和服务支出、办公设备购置</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84.75</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84.75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按照有关精神厉行节约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3.14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按照有关精神厉行节约</w:t>
      </w:r>
      <w:r>
        <w:rPr>
          <w:rFonts w:hint="eastAsia" w:asciiTheme="minorEastAsia" w:hAnsiTheme="minorEastAsia" w:eastAsiaTheme="minorEastAsia"/>
          <w:sz w:val="32"/>
          <w:szCs w:val="32"/>
          <w:lang w:val="en-US" w:eastAsia="zh-CN"/>
        </w:rPr>
        <w:t>,严格控制公务接待</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3.39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left="0" w:leftChars="0" w:firstLine="838" w:firstLineChars="262"/>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因公出国（境）</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3.39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262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全国第七次人口普查</w:t>
      </w:r>
      <w:r>
        <w:rPr>
          <w:rFonts w:hint="eastAsia" w:asciiTheme="minorEastAsia" w:hAnsiTheme="minorEastAsia" w:eastAsiaTheme="minorEastAsia"/>
          <w:sz w:val="32"/>
          <w:szCs w:val="32"/>
        </w:rPr>
        <w:t>发生的接待支出。</w:t>
      </w:r>
    </w:p>
    <w:p>
      <w:pPr>
        <w:ind w:firstLine="800" w:firstLineChars="250"/>
        <w:rPr>
          <w:rFonts w:hint="eastAsia" w:cs="黑体" w:asciiTheme="minorEastAsia" w:hAnsiTheme="minorEastAsia" w:eastAsiaTheme="minorEastAsia"/>
          <w:color w:val="000000"/>
          <w:kern w:val="0"/>
          <w:sz w:val="32"/>
          <w:szCs w:val="32"/>
          <w:lang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sz w:val="32"/>
          <w:szCs w:val="32"/>
          <w:lang w:eastAsia="zh-CN"/>
        </w:rPr>
        <w:t>。</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政府性基金预算</w:t>
      </w:r>
      <w:r>
        <w:rPr>
          <w:rFonts w:hint="eastAsia" w:asciiTheme="minorEastAsia" w:hAnsiTheme="minorEastAsia" w:eastAsiaTheme="minorEastAsia"/>
          <w:sz w:val="32"/>
          <w:szCs w:val="32"/>
          <w:lang w:eastAsia="zh-CN"/>
        </w:rPr>
        <w:t>收支。</w:t>
      </w:r>
    </w:p>
    <w:p>
      <w:pPr>
        <w:pStyle w:val="9"/>
        <w:rPr>
          <w:rFonts w:hAnsi="黑体"/>
          <w:b/>
          <w:sz w:val="32"/>
          <w:szCs w:val="32"/>
        </w:rPr>
      </w:pPr>
      <w:r>
        <w:rPr>
          <w:rFonts w:hint="eastAsia" w:hAnsi="黑体"/>
          <w:b/>
          <w:sz w:val="32"/>
          <w:szCs w:val="32"/>
        </w:rPr>
        <w:t>九、关于机关运行经费支出说明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96.96</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43.18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80.29</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部分上年度支出放在本年入账，和扶贫党建等工作支出</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%，其中：授予小微企业合同金额XX万元，占政府采购支出总额的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十三、关于2020年度预算绩效情况的说明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根据预算管理要求，本单位组织开展了2020年度一般公共预算项目支出绩效自评，涉及项目2个。</w:t>
      </w:r>
      <w:r>
        <w:rPr>
          <w:rFonts w:hint="eastAsia" w:asciiTheme="minorEastAsia" w:hAnsiTheme="minorEastAsia" w:eastAsiaTheme="minorEastAsia"/>
          <w:sz w:val="32"/>
          <w:szCs w:val="32"/>
        </w:rPr>
        <w:t>我局按照年度工作要求的安排，严格执行</w:t>
      </w:r>
      <w:r>
        <w:rPr>
          <w:rFonts w:hint="eastAsia" w:asciiTheme="minorEastAsia" w:hAnsiTheme="minorEastAsia" w:eastAsiaTheme="minorEastAsia"/>
          <w:sz w:val="32"/>
          <w:szCs w:val="32"/>
          <w:lang w:eastAsia="zh-CN"/>
        </w:rPr>
        <w:t>各</w:t>
      </w:r>
      <w:r>
        <w:rPr>
          <w:rFonts w:hint="eastAsia" w:asciiTheme="minorEastAsia" w:hAnsiTheme="minorEastAsia" w:eastAsiaTheme="minorEastAsia"/>
          <w:sz w:val="32"/>
          <w:szCs w:val="32"/>
        </w:rPr>
        <w:t>项资金管理制度</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充分合理使用</w:t>
      </w:r>
      <w:r>
        <w:rPr>
          <w:rFonts w:hint="eastAsia" w:asciiTheme="minorEastAsia" w:hAnsiTheme="minorEastAsia" w:eastAsiaTheme="minorEastAsia"/>
          <w:sz w:val="32"/>
          <w:szCs w:val="32"/>
          <w:lang w:eastAsia="zh-CN"/>
        </w:rPr>
        <w:t>各</w:t>
      </w:r>
      <w:r>
        <w:rPr>
          <w:rFonts w:hint="eastAsia" w:asciiTheme="minorEastAsia" w:hAnsiTheme="minorEastAsia" w:eastAsiaTheme="minorEastAsia"/>
          <w:sz w:val="32"/>
          <w:szCs w:val="32"/>
        </w:rPr>
        <w:t>项资金，</w:t>
      </w:r>
      <w:r>
        <w:rPr>
          <w:rFonts w:hint="eastAsia" w:asciiTheme="minorEastAsia" w:hAnsiTheme="minorEastAsia" w:eastAsiaTheme="minorEastAsia"/>
          <w:sz w:val="32"/>
          <w:szCs w:val="32"/>
          <w:lang w:eastAsia="zh-CN"/>
        </w:rPr>
        <w:t>保障了</w:t>
      </w:r>
      <w:r>
        <w:rPr>
          <w:rFonts w:hint="eastAsia" w:asciiTheme="minorEastAsia" w:hAnsiTheme="minorEastAsia" w:eastAsiaTheme="minorEastAsia"/>
          <w:sz w:val="32"/>
          <w:szCs w:val="32"/>
        </w:rPr>
        <w:t>基本人员经费支出和单位全年统计工作任务的完成。加强</w:t>
      </w:r>
      <w:r>
        <w:rPr>
          <w:rFonts w:hint="eastAsia" w:asciiTheme="minorEastAsia" w:hAnsiTheme="minorEastAsia" w:eastAsiaTheme="minorEastAsia"/>
          <w:sz w:val="32"/>
          <w:szCs w:val="32"/>
          <w:lang w:eastAsia="zh-CN"/>
        </w:rPr>
        <w:t>了</w:t>
      </w:r>
      <w:r>
        <w:rPr>
          <w:rFonts w:hint="eastAsia" w:asciiTheme="minorEastAsia" w:hAnsiTheme="minorEastAsia" w:eastAsiaTheme="minorEastAsia"/>
          <w:sz w:val="32"/>
          <w:szCs w:val="32"/>
        </w:rPr>
        <w:t>统计基层基础工作，提高了统计调查数据质量，增强了统计调查能力，进一步规范基层统计调查工作，促进统计调查事业健康协调发展，为经济全面协调发展奠定了坚实的基础。</w:t>
      </w:r>
    </w:p>
    <w:p>
      <w:pPr>
        <w:pStyle w:val="9"/>
        <w:rPr>
          <w:rFonts w:hAnsi="黑体"/>
          <w:b/>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（一）财政拨款收入：本年度从本级财政部门取得的财政拨款，包括一般公共预算财政拨款和政府性基金预算财政拨款。</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（二）事业收入：指事业单位开展专业业务活动及辅助活动所取得的收入。</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（三）其他收入：指除上述“财政拨款收入”、“事业收入”、“经营收入”等以外的收入。</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（五）年初结转和结余：指以前年度尚未完成、结转到本年仍按原规定用途继续使用的资金，或项目已完成等产生的结余资金。</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（六）结余分配：指事业单位按照事业单位会计制度的规定从非财政补助结余中分配的事业基金和职工福利基金等。</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（七）年末结转和结余：指单位按有关规定结转到下年或以后年度继续使用的资金，或项目已完成等产生的结余资金。</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（八）基本支出：填列单位为保障机构正常运转、完成日常工作任务而发生的各项支出。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（九）项目支出：填列单位为完成特定的行政工作任务或事业发展目标，在基本支出之外发生的各项支出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tabs>
          <w:tab w:val="left" w:pos="840"/>
        </w:tabs>
        <w:spacing w:line="520" w:lineRule="exact"/>
        <w:ind w:left="638" w:leftChars="304" w:firstLine="0" w:firstLineChars="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color w:val="000000"/>
          <w:kern w:val="0"/>
          <w:sz w:val="32"/>
          <w:szCs w:val="32"/>
          <w:lang w:val="en-US" w:eastAsia="zh-CN" w:bidi="ar-SA"/>
        </w:rPr>
        <w:t>（</w:t>
      </w:r>
      <w:r>
        <w:rPr>
          <w:rFonts w:hint="eastAsia" w:cs="黑体" w:asciiTheme="minorEastAsia" w:hAnsiTheme="minorEastAsia" w:eastAsiaTheme="minorEastAsia"/>
          <w:color w:val="000000"/>
          <w:kern w:val="0"/>
          <w:sz w:val="32"/>
          <w:szCs w:val="32"/>
          <w:lang w:val="en-US" w:eastAsia="zh-CN" w:bidi="ar-SA"/>
        </w:rPr>
        <w:t>十三）其他交通费用：填列单位除公务用车运行维护费以外的其他交通费用。如飞机、船舶等的燃料费、维修费、过桥过路费、保险费、出租车费用、公务交通补贴等。</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（十四）公务用车购置：填列单位公务用车车辆购置支出（含车辆购置税）。</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（十五）其他交通工具购置：填列单位除公务用车外的其他各类交通工具（如船舶、飞机）购置支出（含车辆购置税）。</w:t>
      </w:r>
      <w:bookmarkStart w:id="3" w:name="_GoBack"/>
      <w:bookmarkEnd w:id="3"/>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9"/>
        <w:jc w:val="center"/>
        <w:rPr>
          <w:rFonts w:hint="eastAsia" w:cs="黑体" w:asciiTheme="minorEastAsia" w:hAnsiTheme="minorEastAsia" w:eastAsiaTheme="minorEastAsia"/>
          <w:color w:val="000000"/>
          <w:kern w:val="0"/>
          <w:sz w:val="32"/>
          <w:szCs w:val="32"/>
          <w:lang w:val="en-US" w:eastAsia="zh-CN" w:bidi="ar-SA"/>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w:t>
      </w:r>
      <w:r>
        <w:rPr>
          <w:rFonts w:hint="eastAsia" w:cs="黑体" w:asciiTheme="minorEastAsia" w:hAnsiTheme="minorEastAsia"/>
          <w:b/>
          <w:color w:val="000000"/>
          <w:kern w:val="0"/>
          <w:sz w:val="32"/>
          <w:szCs w:val="32"/>
          <w:lang w:eastAsia="zh-CN"/>
        </w:rPr>
        <w:t>溆浦县统计局</w:t>
      </w:r>
      <w:r>
        <w:rPr>
          <w:rFonts w:hint="eastAsia" w:cs="黑体" w:asciiTheme="minorEastAsia" w:hAnsiTheme="minorEastAsia"/>
          <w:b/>
          <w:color w:val="000000"/>
          <w:kern w:val="0"/>
          <w:sz w:val="32"/>
          <w:szCs w:val="32"/>
        </w:rPr>
        <w:t>部门整体支出绩效评价报告</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根据溆财绩函〔2021〕12 号文件精神，现将县统计局2020年度部门整体支出绩效评价情况报告如下：</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一、部门概况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1． 主要职能</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县统计局是主管全县统计和国民经济核算工作的县政府组成部门。主要职责是：贯彻执行国家统计工作的方针、政策和法律法规，完成国家、省、市统计调查任务；检查监督统计法规的实施情况，查处统计违法行为；研究制定全县统一的基本统计制度，拟定统计指标，指导和协调全县统计业务工作，组织开展全县性县情县力普查及相关专项调查；审核县直各部门统计调查计划及调查方案；为制定政策、编制国民经济和社会发展规划提供统计资料，对全县国民经济、科技进步和社会发展等情况进行统计监测，为县委、县政府及相关部门提供统计信息及咨询建议；统一核定、管理、公布全县经济、社会、科技的基本统计资料，定期发布全县国民经济发展情况统计公报以及有关普查和专项调查公报；建立健全和管理全县统计信息自动化系统和统计数据库体系；指导我县基层单位加强统计基础建设。</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2.机构设置、人员情况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目前县统计局共设有4个内设机构，事业单位2个。现有行政编制在职人员8人、事业编制在职人员9人。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3.主要工作任务</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2020年县统计局除完成常规的经济社会发展统计调查和监测任务外，还组织开展了2020年统计专项调查和全县第七次人口普查及全县第四次全国经济普查工作。</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县统计局承担的国家、省、市和县政府主要专项统计调查工作任务有：GDP核算、资源产出率调查、全面小康社会建设统计监测、文化产业统计、1%人口和劳动力抽样调查、全社会能源统计及监测、服务业统计、全县绩效考核指标监测、污染防治公众满意度调查、质量强县指标监测、为民办实事评估监测、妇女儿童监测、全县城乡划分、非公有制经济统计、企业创新调查和中小企业调查等专项调查任务。</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二、部门整体支出资金使用情况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     2020年县统计局决算支出为701.62万元，其中基本支出290.24万元，项目支出411.38万元。</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（一）基本支出部分</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2020年县统计局决算基本支出为290.247万元，主要包括人员工资、离退休费和医疗保险、住房公积金和日常公用等费用。在三公经费方面严格控制,2020年三公经费支出为4.02万元。其中 公务接待费用4.02万元，无公务用车费，无出国经费。</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（二）专项支出</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2020年财政安排专项资金411.38万元，使用专项支出411.38万元，为第七次全国人口普查、第四次全国经济普查顺利进行和统计专项调查开展提供了保障。</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其中商品和服务支出为101.52万元，其他资本性支出309.86万元。</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为保证专项资金的规范管理，提高专项资金的使用效率，一是进一步加强制度建设，明确部门绩效管理职责分工，修订和完善一批绩效管理配套制度；二是探索绩效跟踪监控，要求加强资金使用过程监控，对已纳入县统计局绩效目标管理范畴的项目支出，进行跟踪和监控。</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部门专项组织实施管理情况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年度我局有全国第七次人口普查、全国第四次经济普查和统计专项调查三个项目。建立了项目资金管理、专项支出等财务管理制度，会计核算较为规范，符合《行政单位会计制度》的相关规定。项目资金管理都是专款专用，无虚列支出、截留挤占挪用、超标准开支、无超预算等情况。所有项目机构设置健全、分工明确，建立了较为完善的内部控制管理制度和专项资金管理实施办法。无可行性研究报告结论,无专家评审论证结论,无实行招投标，无竣工验收，特此说明。</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资产管理情况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固定资产管理实行“统一领导、归口管理”原则，国家统一所有，单位占有、使用的管理体制。  </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（一）建立固定资产明细账、固定资产卡片，确保账实相符、帐卡相符、帐证相符、账账相符。</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（二）固定资产购置应按照合理、节约的原则进行配置。购置金额在3000元以下的由分管财务领导审批，3000元以上的由会议集体研究审批，达到采购金额的，按要求办理政府采购手续。</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（三）固定资产调拨要由调出部门填写“固定资产调拨单”，由调出调入单位双方签章，经领导审批后，交财务机构一份，双方单位各存一份，据此办理固定资产增减手续。</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（四）固定资产处置要严格按照《溆浦县行政事业单位国有资产管理实施办法》规定执行，未经批准不得擅自处置。</w:t>
      </w:r>
    </w:p>
    <w:p>
      <w:pPr>
        <w:widowControl/>
        <w:spacing w:line="520" w:lineRule="exact"/>
        <w:ind w:firstLine="645"/>
        <w:jc w:val="left"/>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（五）上级主管部门或其他部门配备（调拨）的、用专项资金购买的固定资产，根据调拨单、原始发票等及时记入固定资产账进行管理。</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五、部门整体支出绩效评价情况</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我局按照年度工作要求的安排，严格执行各项资金管理制度，充分合理使用各项资金，保障了基本人员经费支出和单位全年统计工作任务的完成。加强了统计基层基础工作，提高了统计调查数据质量，增强了统计调查能力，进一步规范基层统计调查工作，促进统计调查事业健康协调发展，为经济全面协调发展奠定了坚实的基础。</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六、存在的主要问题</w:t>
      </w:r>
    </w:p>
    <w:p>
      <w:pPr>
        <w:widowControl/>
        <w:spacing w:line="520" w:lineRule="exact"/>
        <w:ind w:firstLine="645"/>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经过自评，我局财政预算方面还存在流程需要进一步规范、预算执行率有待进一步提高等问题，有待加强。</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9C674"/>
    <w:multiLevelType w:val="singleLevel"/>
    <w:tmpl w:val="1D69C674"/>
    <w:lvl w:ilvl="0" w:tentative="0">
      <w:start w:val="3"/>
      <w:numFmt w:val="decimal"/>
      <w:suff w:val="nothing"/>
      <w:lvlText w:val="%1、"/>
      <w:lvlJc w:val="left"/>
      <w:pPr>
        <w:ind w:left="4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72ECC"/>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F456DD7"/>
    <w:rsid w:val="26A45027"/>
    <w:rsid w:val="284A3FBE"/>
    <w:rsid w:val="2A165F24"/>
    <w:rsid w:val="33B90AD9"/>
    <w:rsid w:val="3F561C31"/>
    <w:rsid w:val="41FD63B3"/>
    <w:rsid w:val="42A5237C"/>
    <w:rsid w:val="55382A61"/>
    <w:rsid w:val="6E192277"/>
    <w:rsid w:val="7E87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2</TotalTime>
  <ScaleCrop>false</ScaleCrop>
  <LinksUpToDate>false</LinksUpToDate>
  <CharactersWithSpaces>8753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撇捺人生</cp:lastModifiedBy>
  <cp:lastPrinted>2021-07-28T00:12:00Z</cp:lastPrinted>
  <dcterms:modified xsi:type="dcterms:W3CDTF">2021-11-05T01:17:35Z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D52B2455BE1B43F0AD61BE22D4C97668</vt:lpwstr>
  </property>
</Properties>
</file>