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B056F5">
      <w:pPr>
        <w:pStyle w:val="16"/>
        <w:jc w:val="center"/>
        <w:rPr>
          <w:rFonts w:hint="eastAsia" w:ascii="方正小标宋_GBK" w:hAnsi="方正小标宋_GBK" w:eastAsia="方正小标宋_GBK" w:cs="方正小标宋_GBK"/>
          <w:color w:val="auto"/>
          <w:sz w:val="84"/>
          <w:szCs w:val="84"/>
        </w:rPr>
      </w:pPr>
    </w:p>
    <w:p w14:paraId="23CD4582">
      <w:pPr>
        <w:pStyle w:val="16"/>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202</w:t>
      </w:r>
      <w:r>
        <w:rPr>
          <w:rFonts w:hint="eastAsia" w:ascii="方正小标宋_GBK" w:hAnsi="方正小标宋_GBK" w:eastAsia="方正小标宋_GBK" w:cs="方正小标宋_GBK"/>
          <w:color w:val="auto"/>
          <w:sz w:val="84"/>
          <w:szCs w:val="84"/>
          <w:lang w:val="en-US" w:eastAsia="zh-CN"/>
        </w:rPr>
        <w:t>4</w:t>
      </w:r>
      <w:r>
        <w:rPr>
          <w:rFonts w:hint="eastAsia" w:ascii="方正小标宋_GBK" w:hAnsi="方正小标宋_GBK" w:eastAsia="方正小标宋_GBK" w:cs="方正小标宋_GBK"/>
          <w:color w:val="auto"/>
          <w:sz w:val="84"/>
          <w:szCs w:val="84"/>
        </w:rPr>
        <w:t>年度</w:t>
      </w:r>
    </w:p>
    <w:p w14:paraId="4C08508E">
      <w:pPr>
        <w:pStyle w:val="16"/>
        <w:jc w:val="center"/>
        <w:rPr>
          <w:rFonts w:hint="eastAsia" w:ascii="方正小标宋_GBK" w:hAnsi="方正小标宋_GBK" w:eastAsia="方正小标宋_GBK" w:cs="方正小标宋_GBK"/>
          <w:color w:val="auto"/>
          <w:sz w:val="84"/>
          <w:szCs w:val="84"/>
        </w:rPr>
      </w:pPr>
      <w:r>
        <w:rPr>
          <w:rFonts w:hint="eastAsia"/>
          <w:color w:val="auto"/>
          <w:sz w:val="84"/>
          <w:szCs w:val="84"/>
        </w:rPr>
        <w:t>溆浦县</w:t>
      </w:r>
      <w:r>
        <w:rPr>
          <w:rFonts w:hint="eastAsia" w:ascii="方正小标宋_GBK" w:hAnsi="方正小标宋_GBK" w:eastAsia="方正小标宋_GBK" w:cs="方正小标宋_GBK"/>
          <w:color w:val="auto"/>
          <w:sz w:val="84"/>
          <w:szCs w:val="84"/>
          <w:lang w:val="en-US" w:eastAsia="zh-CN"/>
        </w:rPr>
        <w:t>农业农村局</w:t>
      </w:r>
      <w:r>
        <w:rPr>
          <w:rFonts w:hint="eastAsia" w:ascii="方正小标宋_GBK" w:hAnsi="方正小标宋_GBK" w:eastAsia="方正小标宋_GBK" w:cs="方正小标宋_GBK"/>
          <w:color w:val="auto"/>
          <w:sz w:val="84"/>
          <w:szCs w:val="84"/>
        </w:rPr>
        <w:t>部门决算</w:t>
      </w:r>
    </w:p>
    <w:p w14:paraId="1EECF8D6">
      <w:pPr>
        <w:pStyle w:val="16"/>
        <w:spacing w:line="540" w:lineRule="exact"/>
        <w:jc w:val="both"/>
        <w:rPr>
          <w:color w:val="auto"/>
          <w:sz w:val="56"/>
          <w:szCs w:val="56"/>
        </w:rPr>
      </w:pPr>
    </w:p>
    <w:p w14:paraId="6741FDF6">
      <w:pPr>
        <w:pStyle w:val="16"/>
        <w:spacing w:line="500" w:lineRule="exact"/>
        <w:jc w:val="both"/>
        <w:rPr>
          <w:b/>
          <w:color w:val="auto"/>
          <w:sz w:val="36"/>
          <w:szCs w:val="28"/>
        </w:rPr>
      </w:pPr>
    </w:p>
    <w:p w14:paraId="414BF559">
      <w:pPr>
        <w:pStyle w:val="16"/>
        <w:spacing w:line="500" w:lineRule="exact"/>
        <w:jc w:val="center"/>
        <w:rPr>
          <w:rFonts w:hint="eastAsia"/>
          <w:b/>
          <w:color w:val="auto"/>
          <w:sz w:val="36"/>
          <w:szCs w:val="28"/>
        </w:rPr>
      </w:pPr>
    </w:p>
    <w:p w14:paraId="3D00DB1F">
      <w:pPr>
        <w:pStyle w:val="16"/>
        <w:spacing w:line="500" w:lineRule="exact"/>
        <w:jc w:val="center"/>
        <w:rPr>
          <w:rFonts w:hint="eastAsia"/>
          <w:b/>
          <w:color w:val="auto"/>
          <w:sz w:val="36"/>
          <w:szCs w:val="28"/>
        </w:rPr>
      </w:pPr>
    </w:p>
    <w:p w14:paraId="1AB7DE0D">
      <w:pPr>
        <w:pStyle w:val="16"/>
        <w:spacing w:line="500" w:lineRule="exact"/>
        <w:jc w:val="center"/>
        <w:rPr>
          <w:rFonts w:hint="eastAsia"/>
          <w:b/>
          <w:color w:val="auto"/>
          <w:sz w:val="36"/>
          <w:szCs w:val="28"/>
        </w:rPr>
      </w:pPr>
    </w:p>
    <w:p w14:paraId="2B8FC72F">
      <w:pPr>
        <w:rPr>
          <w:rFonts w:hint="eastAsia"/>
          <w:b/>
          <w:color w:val="auto"/>
          <w:sz w:val="36"/>
          <w:szCs w:val="28"/>
        </w:rPr>
      </w:pPr>
      <w:r>
        <w:rPr>
          <w:rFonts w:hint="eastAsia"/>
          <w:b/>
          <w:color w:val="auto"/>
          <w:sz w:val="36"/>
          <w:szCs w:val="28"/>
        </w:rPr>
        <w:br w:type="page"/>
      </w:r>
    </w:p>
    <w:p w14:paraId="56351141">
      <w:pPr>
        <w:pStyle w:val="16"/>
        <w:spacing w:line="500" w:lineRule="exact"/>
        <w:jc w:val="center"/>
        <w:rPr>
          <w:b/>
          <w:color w:val="auto"/>
          <w:sz w:val="36"/>
          <w:szCs w:val="28"/>
        </w:rPr>
      </w:pPr>
      <w:r>
        <w:rPr>
          <w:rFonts w:hint="eastAsia"/>
          <w:b/>
          <w:color w:val="auto"/>
          <w:sz w:val="36"/>
          <w:szCs w:val="28"/>
        </w:rPr>
        <w:t>目</w:t>
      </w:r>
      <w:r>
        <w:rPr>
          <w:rFonts w:hint="eastAsia"/>
          <w:b/>
          <w:color w:val="auto"/>
          <w:sz w:val="36"/>
          <w:szCs w:val="28"/>
          <w:lang w:val="en-US" w:eastAsia="zh-CN"/>
        </w:rPr>
        <w:t xml:space="preserve">    </w:t>
      </w:r>
      <w:r>
        <w:rPr>
          <w:rFonts w:hint="eastAsia"/>
          <w:b/>
          <w:color w:val="auto"/>
          <w:sz w:val="36"/>
          <w:szCs w:val="28"/>
        </w:rPr>
        <w:t>录</w:t>
      </w:r>
    </w:p>
    <w:p w14:paraId="73BAF9DB">
      <w:pPr>
        <w:pStyle w:val="16"/>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第一部分</w:t>
      </w:r>
      <w:r>
        <w:rPr>
          <w:rFonts w:hint="eastAsia" w:ascii="黑体" w:hAnsi="黑体" w:eastAsia="黑体" w:cs="黑体"/>
          <w:b w:val="0"/>
          <w:bCs/>
          <w:color w:val="auto"/>
          <w:sz w:val="28"/>
          <w:szCs w:val="28"/>
          <w:lang w:val="en-US" w:eastAsia="zh-CN"/>
        </w:rPr>
        <w:t xml:space="preserve"> </w:t>
      </w:r>
      <w:r>
        <w:rPr>
          <w:rFonts w:hint="eastAsia" w:hAnsi="黑体" w:cs="黑体"/>
          <w:b w:val="0"/>
          <w:bCs/>
          <w:color w:val="auto"/>
          <w:sz w:val="28"/>
          <w:szCs w:val="28"/>
          <w:lang w:val="en-US" w:eastAsia="zh-CN"/>
        </w:rPr>
        <w:t>溆浦县农业农村局</w:t>
      </w:r>
      <w:r>
        <w:rPr>
          <w:rFonts w:hint="eastAsia" w:ascii="黑体" w:hAnsi="黑体" w:eastAsia="黑体" w:cs="黑体"/>
          <w:b w:val="0"/>
          <w:bCs/>
          <w:color w:val="auto"/>
          <w:sz w:val="28"/>
          <w:szCs w:val="28"/>
        </w:rPr>
        <w:t>概况</w:t>
      </w:r>
    </w:p>
    <w:p w14:paraId="05B24841">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一、部门职责</w:t>
      </w:r>
    </w:p>
    <w:p w14:paraId="24ED55B5">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二、机构设置</w:t>
      </w:r>
    </w:p>
    <w:p w14:paraId="7E44602E">
      <w:pPr>
        <w:pStyle w:val="16"/>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第二部分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部门决算表</w:t>
      </w:r>
    </w:p>
    <w:p w14:paraId="59A0C309">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一、收入支出决算总表</w:t>
      </w:r>
    </w:p>
    <w:p w14:paraId="14E8130D">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二、收入决算表</w:t>
      </w:r>
    </w:p>
    <w:p w14:paraId="7B00EF2A">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三、支出决算表</w:t>
      </w:r>
    </w:p>
    <w:p w14:paraId="629E793A">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四、财政拨款收入支出决算总表</w:t>
      </w:r>
    </w:p>
    <w:p w14:paraId="4D04CAF1">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五、一般公共预算财政拨款支出决算表</w:t>
      </w:r>
    </w:p>
    <w:p w14:paraId="68FBF888">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六、一般公共预算财政拨款基本支出决算明细表</w:t>
      </w:r>
    </w:p>
    <w:p w14:paraId="03668269">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七、政府性基金预算财政拨款收入支出决算表</w:t>
      </w:r>
    </w:p>
    <w:p w14:paraId="200E1A2C">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八、国有资本经营预算财政拨款支出决算表</w:t>
      </w:r>
    </w:p>
    <w:p w14:paraId="0C3431A7">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九、财政拨款“三公”经费支出决算表</w:t>
      </w:r>
    </w:p>
    <w:p w14:paraId="1885EE3C">
      <w:pPr>
        <w:pStyle w:val="16"/>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第三部分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部门决算情况说明</w:t>
      </w:r>
    </w:p>
    <w:p w14:paraId="5CF0F480">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一、收入支出决算总体情况说明</w:t>
      </w:r>
    </w:p>
    <w:p w14:paraId="64136215">
      <w:pPr>
        <w:spacing w:line="500" w:lineRule="exact"/>
        <w:ind w:firstLine="700" w:firstLineChars="250"/>
        <w:jc w:val="lef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二、收入决算情况说明</w:t>
      </w:r>
    </w:p>
    <w:p w14:paraId="74D18BD9">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三、支出决算情况说明</w:t>
      </w:r>
    </w:p>
    <w:p w14:paraId="1A3B8F43">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四、财政拨款收入支出决算总体情况说明</w:t>
      </w:r>
    </w:p>
    <w:p w14:paraId="448A67EB">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五、一般公共预算财政拨款支出决算情况说明</w:t>
      </w:r>
    </w:p>
    <w:p w14:paraId="7A061E1A">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六、一般公共预算财政拨款基本支出决算情况说明</w:t>
      </w:r>
    </w:p>
    <w:p w14:paraId="7D9BC99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七、财政拨款三公经费支出决算情况说明</w:t>
      </w:r>
    </w:p>
    <w:p w14:paraId="61D2101D">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八、政府性基金预算收入支出决算情况</w:t>
      </w:r>
    </w:p>
    <w:p w14:paraId="4672AB8F">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九、关于机关运行经费支出说明</w:t>
      </w:r>
    </w:p>
    <w:p w14:paraId="043E3E98">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十、一般性支出情况说明</w:t>
      </w:r>
    </w:p>
    <w:p w14:paraId="1EA93372">
      <w:pPr>
        <w:autoSpaceDE w:val="0"/>
        <w:autoSpaceDN w:val="0"/>
        <w:adjustRightInd w:val="0"/>
        <w:spacing w:line="500" w:lineRule="exact"/>
        <w:ind w:firstLine="700" w:firstLineChars="250"/>
        <w:jc w:val="left"/>
        <w:rPr>
          <w:rFonts w:hint="eastAsia"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十一、关于政府采购支出说明</w:t>
      </w:r>
    </w:p>
    <w:p w14:paraId="0793CEE0">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十二、关于国有资产占用情况说明</w:t>
      </w:r>
    </w:p>
    <w:p w14:paraId="7838FB36">
      <w:pPr>
        <w:pStyle w:val="16"/>
        <w:spacing w:line="500" w:lineRule="exact"/>
        <w:ind w:firstLine="700" w:firstLineChars="25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十三、关于</w:t>
      </w:r>
      <w:r>
        <w:rPr>
          <w:rFonts w:hint="eastAsia" w:ascii="仿宋_GB2312" w:hAnsi="仿宋_GB2312" w:eastAsia="仿宋_GB2312" w:cs="仿宋_GB2312"/>
          <w:color w:val="auto"/>
          <w:sz w:val="28"/>
          <w:szCs w:val="28"/>
          <w:lang w:val="en-US" w:eastAsia="zh-CN"/>
        </w:rPr>
        <w:t>2024年度</w:t>
      </w:r>
      <w:r>
        <w:rPr>
          <w:rFonts w:hint="eastAsia" w:ascii="仿宋_GB2312" w:hAnsi="仿宋_GB2312" w:eastAsia="仿宋_GB2312" w:cs="仿宋_GB2312"/>
          <w:color w:val="auto"/>
          <w:sz w:val="28"/>
          <w:szCs w:val="28"/>
        </w:rPr>
        <w:t>预算绩效情况的说明</w:t>
      </w:r>
    </w:p>
    <w:p w14:paraId="02FCEDA8">
      <w:pPr>
        <w:pStyle w:val="16"/>
        <w:spacing w:line="500" w:lineRule="exact"/>
        <w:rPr>
          <w:rFonts w:hint="eastAsia" w:ascii="黑体" w:hAnsi="黑体" w:eastAsia="黑体" w:cs="黑体"/>
          <w:b w:val="0"/>
          <w:bCs/>
          <w:color w:val="auto"/>
          <w:sz w:val="28"/>
          <w:szCs w:val="28"/>
        </w:rPr>
      </w:pPr>
      <w:r>
        <w:rPr>
          <w:rFonts w:hint="eastAsia" w:ascii="黑体" w:hAnsi="黑体" w:eastAsia="黑体" w:cs="黑体"/>
          <w:b w:val="0"/>
          <w:bCs/>
          <w:color w:val="auto"/>
          <w:sz w:val="28"/>
          <w:szCs w:val="28"/>
        </w:rPr>
        <w:t>第四部分</w:t>
      </w:r>
      <w:r>
        <w:rPr>
          <w:rFonts w:hint="eastAsia" w:ascii="黑体" w:hAnsi="黑体" w:eastAsia="黑体" w:cs="黑体"/>
          <w:b w:val="0"/>
          <w:bCs/>
          <w:color w:val="auto"/>
          <w:sz w:val="28"/>
          <w:szCs w:val="28"/>
          <w:lang w:val="en-US" w:eastAsia="zh-CN"/>
        </w:rPr>
        <w:t xml:space="preserve"> </w:t>
      </w:r>
      <w:r>
        <w:rPr>
          <w:rFonts w:hint="eastAsia" w:ascii="黑体" w:hAnsi="黑体" w:eastAsia="黑体" w:cs="黑体"/>
          <w:b w:val="0"/>
          <w:bCs/>
          <w:color w:val="auto"/>
          <w:sz w:val="28"/>
          <w:szCs w:val="28"/>
        </w:rPr>
        <w:t>名词解释</w:t>
      </w:r>
    </w:p>
    <w:p w14:paraId="35149212">
      <w:pPr>
        <w:pStyle w:val="16"/>
        <w:spacing w:line="500" w:lineRule="exact"/>
        <w:rPr>
          <w:rFonts w:hint="eastAsia" w:ascii="黑体" w:hAnsi="黑体" w:eastAsia="黑体" w:cs="黑体"/>
          <w:b w:val="0"/>
          <w:bCs/>
          <w:sz w:val="28"/>
          <w:szCs w:val="28"/>
          <w:lang w:eastAsia="zh-CN"/>
        </w:rPr>
      </w:pPr>
      <w:bookmarkStart w:id="0" w:name="OLE_LINK16"/>
      <w:bookmarkStart w:id="1" w:name="OLE_LINK1"/>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bookmarkEnd w:id="0"/>
    </w:p>
    <w:bookmarkEnd w:id="1"/>
    <w:p w14:paraId="49052FCF">
      <w:pPr>
        <w:pStyle w:val="16"/>
        <w:spacing w:line="500" w:lineRule="exact"/>
        <w:rPr>
          <w:rFonts w:hint="eastAsia" w:ascii="黑体" w:hAnsi="黑体" w:eastAsia="黑体" w:cs="黑体"/>
          <w:b w:val="0"/>
          <w:bCs/>
          <w:color w:val="auto"/>
          <w:sz w:val="28"/>
          <w:szCs w:val="28"/>
        </w:rPr>
      </w:pPr>
    </w:p>
    <w:p w14:paraId="3A4F94A0">
      <w:pPr>
        <w:jc w:val="center"/>
        <w:rPr>
          <w:color w:val="auto"/>
          <w:sz w:val="72"/>
          <w:szCs w:val="72"/>
        </w:rPr>
      </w:pPr>
    </w:p>
    <w:p w14:paraId="7B5D8DDE">
      <w:pPr>
        <w:jc w:val="center"/>
        <w:rPr>
          <w:color w:val="auto"/>
          <w:sz w:val="72"/>
          <w:szCs w:val="72"/>
        </w:rPr>
      </w:pPr>
    </w:p>
    <w:p w14:paraId="1294DF3F">
      <w:pPr>
        <w:jc w:val="center"/>
        <w:rPr>
          <w:color w:val="auto"/>
          <w:sz w:val="72"/>
          <w:szCs w:val="72"/>
        </w:rPr>
      </w:pPr>
    </w:p>
    <w:p w14:paraId="3CB5973D">
      <w:pPr>
        <w:pStyle w:val="16"/>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 xml:space="preserve">第一部分 </w:t>
      </w:r>
    </w:p>
    <w:p w14:paraId="5A751C4A">
      <w:pPr>
        <w:pStyle w:val="16"/>
        <w:ind w:firstLine="2520" w:firstLineChars="300"/>
        <w:jc w:val="both"/>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lang w:val="en-US" w:eastAsia="zh-CN"/>
        </w:rPr>
        <w:t>溆浦县农业农村局</w:t>
      </w:r>
      <w:r>
        <w:rPr>
          <w:rFonts w:hint="eastAsia" w:ascii="方正小标宋_GBK" w:hAnsi="方正小标宋_GBK" w:eastAsia="方正小标宋_GBK" w:cs="方正小标宋_GBK"/>
          <w:color w:val="auto"/>
          <w:sz w:val="84"/>
          <w:szCs w:val="84"/>
        </w:rPr>
        <w:t>概况</w:t>
      </w:r>
    </w:p>
    <w:p w14:paraId="28DFB462">
      <w:pPr>
        <w:pStyle w:val="17"/>
        <w:keepNext w:val="0"/>
        <w:keepLines w:val="0"/>
        <w:pageBreakBefore w:val="0"/>
        <w:numPr>
          <w:ilvl w:val="0"/>
          <w:numId w:val="0"/>
        </w:numPr>
        <w:kinsoku/>
        <w:wordWrap/>
        <w:overflowPunct/>
        <w:topLinePunct w:val="0"/>
        <w:autoSpaceDE/>
        <w:autoSpaceDN/>
        <w:bidi w:val="0"/>
        <w:adjustRightInd/>
        <w:snapToGrid/>
        <w:spacing w:line="620" w:lineRule="exact"/>
        <w:ind w:left="0" w:leftChars="0" w:firstLine="640" w:firstLineChars="200"/>
        <w:jc w:val="both"/>
        <w:textAlignment w:val="auto"/>
        <w:rPr>
          <w:rFonts w:hint="eastAsia" w:ascii="黑体" w:hAnsi="黑体" w:eastAsia="黑体" w:cs="黑体"/>
          <w:b w:val="0"/>
          <w:bCs w:val="0"/>
          <w:color w:val="auto"/>
          <w:sz w:val="32"/>
          <w:szCs w:val="32"/>
        </w:rPr>
      </w:pPr>
    </w:p>
    <w:p w14:paraId="422A2F9A">
      <w:pPr>
        <w:keepNext w:val="0"/>
        <w:keepLines w:val="0"/>
        <w:pageBreakBefore w:val="0"/>
        <w:widowControl/>
        <w:kinsoku/>
        <w:wordWrap/>
        <w:overflowPunct/>
        <w:topLinePunct w:val="0"/>
        <w:autoSpaceDE/>
        <w:autoSpaceDN/>
        <w:bidi w:val="0"/>
        <w:adjustRightInd/>
        <w:snapToGrid/>
        <w:spacing w:line="620" w:lineRule="exact"/>
        <w:ind w:left="0" w:firstLine="640" w:firstLineChars="200"/>
        <w:jc w:val="both"/>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lang w:val="en-US" w:eastAsia="zh-CN"/>
        </w:rPr>
        <w:t>一、</w:t>
      </w:r>
      <w:r>
        <w:rPr>
          <w:rFonts w:hint="eastAsia" w:ascii="黑体" w:hAnsi="黑体" w:eastAsia="黑体" w:cs="黑体"/>
          <w:b w:val="0"/>
          <w:bCs/>
          <w:color w:val="auto"/>
          <w:kern w:val="0"/>
          <w:sz w:val="32"/>
          <w:szCs w:val="32"/>
        </w:rPr>
        <w:t>部门职责</w:t>
      </w:r>
    </w:p>
    <w:p w14:paraId="257EFA8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ascii="仿宋" w:hAnsi="仿宋" w:eastAsia="仿宋"/>
          <w:color w:val="auto"/>
          <w:sz w:val="32"/>
          <w:szCs w:val="32"/>
        </w:rPr>
      </w:pPr>
      <w:r>
        <w:rPr>
          <w:rFonts w:hint="eastAsia" w:ascii="仿宋" w:hAnsi="仿宋" w:eastAsia="仿宋"/>
          <w:color w:val="auto"/>
          <w:sz w:val="32"/>
          <w:szCs w:val="32"/>
        </w:rPr>
        <w:t>溆浦县农业农村局主要职责有：</w:t>
      </w:r>
    </w:p>
    <w:p w14:paraId="5B6F104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1、负责全县农业、农村工作的协调和综合工作，组织研究全县农业、农村发展和改革中的问题，提出农业、农村发展和改革的政策建议，指导农村发展和改革工作。</w:t>
      </w:r>
    </w:p>
    <w:p w14:paraId="03D2607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2、会同有关部门研究提出城乡经济社会发展一体化体制机制改革的建议，指导协调县域经济发展和新农村建设，研究提出县域经济发展和新农村建设的政策与规划建议，参与农村小城镇规划和建议的有关工作，参与农村社会事业发展工作。</w:t>
      </w:r>
    </w:p>
    <w:p w14:paraId="1C32C8F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3、贯彻执行国家、省、市种植业、畜牧业、渔业、农业机械化、农产品加工业、农垦等农业各产业（以下简称农业）发展的方针政策，拟订全县农业发展的政策和规划并指导实施，参与涉农的财税、价格、金融保险、进出口等政策制定，组织起草农业和农村经济的地方性政策规定草案，推进农业依法行政。</w:t>
      </w:r>
    </w:p>
    <w:p w14:paraId="75FE6C25">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4、土地承包、耕地使用权流转和承包纠纷仲裁管理，指导、监督减轻农民负担和村民筹资筹劳管理工作，检查监督惠农政策的落实，指导村级集体经济发展、农村集体经济组织建设和资产财务管理，拟订全县农业产业化经营的发展规划与政策并组织实施，指导、扶持农业社会化服务体系、农村合作经济组织、农民专业合作社和农产品行业协会的</w:t>
      </w:r>
      <w:r>
        <w:rPr>
          <w:rFonts w:hint="eastAsia" w:ascii="仿宋" w:hAnsi="仿宋" w:eastAsia="仿宋"/>
          <w:color w:val="auto"/>
          <w:sz w:val="32"/>
          <w:szCs w:val="32"/>
          <w:lang w:eastAsia="zh-CN"/>
        </w:rPr>
        <w:t>建设与发展</w:t>
      </w:r>
      <w:r>
        <w:rPr>
          <w:rFonts w:hint="eastAsia" w:ascii="仿宋" w:hAnsi="仿宋" w:eastAsia="仿宋"/>
          <w:color w:val="auto"/>
          <w:sz w:val="32"/>
          <w:szCs w:val="32"/>
        </w:rPr>
        <w:t>。</w:t>
      </w:r>
    </w:p>
    <w:p w14:paraId="05A424F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5、指导粮食等主要农产品生产，组织落实促进粮食等主要农产品生产发展的相关政策措施，引导农业产业结构调整和产品品质改善，会同有关部门指导农业标准化、规模化生产；提出农业固定资产投资规模和方向、县级财政性资金安排的建议，按权限审批、核准规划和计划内固定资产投资项目；编报部门预算并组织执行，提出扶持农业农村发展的财政政策和项目建议，经批准后与财政部门共同制订实施方案并指导实施；拟订农业开发规划并监督实施；配合财政部门组织实施农业综合开发项目。</w:t>
      </w:r>
    </w:p>
    <w:p w14:paraId="03F87D4E">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6、促进农业产前、产中、产后一体化发展，组织拟订促进农产品加工业发展政策、规划并组织实施，提出农业产业保护政策建议，指导农产品加工业结构调整、技术创新和服务</w:t>
      </w:r>
      <w:r>
        <w:rPr>
          <w:rFonts w:hint="eastAsia" w:ascii="仿宋" w:hAnsi="仿宋" w:eastAsia="仿宋"/>
          <w:color w:val="auto"/>
          <w:sz w:val="32"/>
          <w:szCs w:val="32"/>
          <w:lang w:eastAsia="zh-CN"/>
        </w:rPr>
        <w:t>体系建设</w:t>
      </w:r>
      <w:r>
        <w:rPr>
          <w:rFonts w:hint="eastAsia" w:ascii="仿宋" w:hAnsi="仿宋" w:eastAsia="仿宋"/>
          <w:color w:val="auto"/>
          <w:sz w:val="32"/>
          <w:szCs w:val="32"/>
        </w:rPr>
        <w:t>；提出促进大宗农产品流通的政策建议，研究制定大宗农产品市场体系建设与发展规划；培育、保护和发展农产品品牌；组织协调“菜篮子”工程。</w:t>
      </w:r>
    </w:p>
    <w:p w14:paraId="4F09782F">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7、承担提升农产品质量安全水平的责任，依法开展农产品质量安全风险评估，发布有关农产品质量安全状况信息，负责农产品质量安全监测；贯彻执行农业转基因生物安全评价标准和技术规范，负责农业转基因生物安全监督管理和农业植物新品种保护；会同有关部门贯彻执行农产品质量安全国家标准，参与制定农产品质量安全地方标准并指导实施；指导农业检验检测</w:t>
      </w:r>
      <w:r>
        <w:rPr>
          <w:rFonts w:hint="eastAsia" w:ascii="仿宋" w:hAnsi="仿宋" w:eastAsia="仿宋"/>
          <w:color w:val="auto"/>
          <w:sz w:val="32"/>
          <w:szCs w:val="32"/>
          <w:lang w:eastAsia="zh-CN"/>
        </w:rPr>
        <w:t>体系建设</w:t>
      </w:r>
      <w:r>
        <w:rPr>
          <w:rFonts w:hint="eastAsia" w:ascii="仿宋" w:hAnsi="仿宋" w:eastAsia="仿宋"/>
          <w:color w:val="auto"/>
          <w:sz w:val="32"/>
          <w:szCs w:val="32"/>
        </w:rPr>
        <w:t>和工作考核；依法实施符合安全标准的农产品认证和监督管理；组织农产品质量安全的监督管理；负责畜禽屠宰的监督管理。</w:t>
      </w:r>
    </w:p>
    <w:p w14:paraId="043F8D3C">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8、组织、协调农业生产资料市场体系建设，依法开展农作物种子（种苗）、草种、种畜禽、农药、兽药、饲料、饲料添加剂、食用菌菌种的许可及监督管理；贯彻执行兽药质量、兽药残留限量和残留检测方法国家标准；依法负责渔船、渔港、渔机、网具的监督管理，指导渔业安全生产；会同有关部门贯彻执行农业生产资料标准；开展兽医医疗器械和有关肥料的监督管理；指导农业机械化发展和农机安全监理，组织实施农机惠农政策。</w:t>
      </w:r>
    </w:p>
    <w:p w14:paraId="3F6EC92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9、负责农作物重大病虫害防治，贯彻执行国家动植物防疫检疫法律法规和政策，会同有关部门制定地方性动植物防疫政策建议并指导实施，指导动植物防疫和检疫体系建设；组织、监督对市内动植物的防疫检疫工作，发布疫情并组织扑灭；组织植物检疫性有害生物普查；承担境外引进农作物种子（种苗）检疫审批工作；组织兽医医政、兽药药政药检工作；负责执业兽医的管理。</w:t>
      </w:r>
    </w:p>
    <w:p w14:paraId="474D82A2">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10、承担农业防灾减灾的责任，监测、发布农业灾情，组织种子、化肥等救灾物资储备和调拨，提出生产救灾资金安排建议，指导紧急救灾和灾后生产恢复。</w:t>
      </w:r>
    </w:p>
    <w:p w14:paraId="2E8084E9">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11、管理农业和农村经济信息，监测分析农业、农村经济运行，开展相关农业统计工作；采集、发布农业和农村经济信息，负责农业信息体系建设，指导农业信息服务。</w:t>
      </w:r>
    </w:p>
    <w:p w14:paraId="25CDEBDB">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12、制定农业科研、农技推广的规划、计划和有关政策并指导实施；会同有关部门组织全县农业科技创新和农业产业技术体系建设，会同有关部门实施科教兴农战略，按分工组织实施农业科研重大专项；组织实施农业领域的高新技术和应用技术研究、农业科技成果转化和技术推广；负责农业科技成果管理，组织引进境外农业先进技术，指导农技推广体系改革与建设。</w:t>
      </w:r>
    </w:p>
    <w:p w14:paraId="43B5575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13、会同有关部门拟订农业农村人才队伍建设规划并组织实施，指导协调农民教育培训，指导农业教育和农业职业技能开发工作，参与实施农村实用人才培训工程，承担农村劳动力就地就近就业培训工作，会同有关主管部门依法实施农业农村人才专业技术资格和从业资格管理。</w:t>
      </w:r>
    </w:p>
    <w:p w14:paraId="13DB580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14、组织农业资源区划工作，指导农用地、渔业水域、草原、宜农滩涂、宜农湿地以及农业生物物种资源的保护和管理，负责水生野生动植物保护工作；拟订耕地及基本农田质量保护与改良政策并指导实施，依法管理耕地质量，发展节水农业。</w:t>
      </w:r>
    </w:p>
    <w:p w14:paraId="76B6DE4C">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15、制定并实施农业生态建设规划，指导农村可再生能源综合开发与利用，指导农业生物质产业发展和农业农村节能减排，承担指导农业面源污染治理有关工作；划定农产品禁止生产区域，指导生态农业、循环农业等发展；负责保护渔业水域生态环境；牵头管理外来物种。</w:t>
      </w:r>
    </w:p>
    <w:p w14:paraId="051A0690">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hint="eastAsia" w:ascii="仿宋" w:hAnsi="仿宋" w:eastAsia="仿宋"/>
          <w:color w:val="auto"/>
          <w:sz w:val="32"/>
          <w:szCs w:val="32"/>
        </w:rPr>
      </w:pPr>
      <w:r>
        <w:rPr>
          <w:rFonts w:hint="eastAsia" w:ascii="仿宋" w:hAnsi="仿宋" w:eastAsia="仿宋"/>
          <w:color w:val="auto"/>
          <w:sz w:val="32"/>
          <w:szCs w:val="32"/>
        </w:rPr>
        <w:t>16、参与组织开展农业贸易促进和有关经济、技术交流与合作，协助有关部门组织实施农业援外项目。</w:t>
      </w:r>
    </w:p>
    <w:p w14:paraId="6469330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ascii="仿宋" w:hAnsi="仿宋" w:eastAsia="仿宋"/>
          <w:color w:val="auto"/>
          <w:sz w:val="32"/>
          <w:szCs w:val="32"/>
        </w:rPr>
      </w:pPr>
      <w:r>
        <w:rPr>
          <w:rFonts w:hint="eastAsia" w:ascii="仿宋" w:hAnsi="仿宋" w:eastAsia="仿宋"/>
          <w:color w:val="auto"/>
          <w:sz w:val="32"/>
          <w:szCs w:val="32"/>
        </w:rPr>
        <w:t>17、承办县委、县人民政府交办的其他事项。</w:t>
      </w:r>
    </w:p>
    <w:p w14:paraId="609522FA">
      <w:pPr>
        <w:keepNext w:val="0"/>
        <w:keepLines w:val="0"/>
        <w:pageBreakBefore w:val="0"/>
        <w:widowControl/>
        <w:kinsoku/>
        <w:wordWrap/>
        <w:overflowPunct/>
        <w:topLinePunct w:val="0"/>
        <w:autoSpaceDE/>
        <w:autoSpaceDN/>
        <w:bidi w:val="0"/>
        <w:adjustRightInd/>
        <w:snapToGrid/>
        <w:spacing w:line="620" w:lineRule="exact"/>
        <w:ind w:left="0" w:firstLine="640" w:firstLineChars="200"/>
        <w:jc w:val="both"/>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rPr>
        <w:t>二、机构设置及决算单位构成</w:t>
      </w:r>
    </w:p>
    <w:p w14:paraId="24999B2C">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3" w:firstLineChars="200"/>
        <w:jc w:val="both"/>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（一）内设机构设置。</w:t>
      </w:r>
    </w:p>
    <w:p w14:paraId="027E757D">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0" w:firstLineChars="200"/>
        <w:jc w:val="both"/>
        <w:textAlignment w:val="auto"/>
        <w:rPr>
          <w:rFonts w:ascii="仿宋" w:hAnsi="仿宋" w:eastAsia="仿宋"/>
          <w:color w:val="auto"/>
          <w:sz w:val="32"/>
          <w:szCs w:val="32"/>
        </w:rPr>
      </w:pPr>
      <w:r>
        <w:rPr>
          <w:rFonts w:hint="eastAsia" w:ascii="仿宋" w:hAnsi="仿宋" w:eastAsia="仿宋"/>
          <w:color w:val="auto"/>
          <w:sz w:val="32"/>
          <w:szCs w:val="32"/>
        </w:rPr>
        <w:t>溆浦县农业农村局系溆浦县人民政府直属职能机构，内设10个机构，分别是办公室、综合调研股、人事股、财务股、乡村产业发展股、农村社会事业促进股、农产品质量安全监管股、种植业管理股、养殖业管理股、农田建设和农业机械化管理股。下辖二级机构7个，分别是：正科级全额拨款事业单位溆浦县农业技术推广中心；股级行政单位：溆浦县农村能源办；股级全额拨款事业单位：溆浦县农民素质教育中心，溆浦县种子管理站、溆浦县蔬菜办、溆浦县农产品质量安全检验检测站、溆浦县农业资源保护与利用站。行政事业编制数</w:t>
      </w:r>
      <w:r>
        <w:rPr>
          <w:rFonts w:hint="eastAsia" w:ascii="仿宋" w:hAnsi="仿宋" w:eastAsia="仿宋"/>
          <w:color w:val="auto"/>
          <w:sz w:val="32"/>
          <w:szCs w:val="32"/>
          <w:lang w:val="en-US" w:eastAsia="zh-CN"/>
        </w:rPr>
        <w:t>151</w:t>
      </w:r>
      <w:r>
        <w:rPr>
          <w:rFonts w:hint="eastAsia" w:ascii="仿宋" w:hAnsi="仿宋" w:eastAsia="仿宋"/>
          <w:color w:val="auto"/>
          <w:sz w:val="32"/>
          <w:szCs w:val="32"/>
        </w:rPr>
        <w:t>个，实有在职人员</w:t>
      </w:r>
      <w:r>
        <w:rPr>
          <w:rFonts w:hint="eastAsia" w:ascii="仿宋" w:hAnsi="仿宋" w:eastAsia="仿宋"/>
          <w:color w:val="auto"/>
          <w:sz w:val="32"/>
          <w:szCs w:val="32"/>
          <w:lang w:val="en-US" w:eastAsia="zh-CN"/>
        </w:rPr>
        <w:t>131</w:t>
      </w:r>
      <w:r>
        <w:rPr>
          <w:rFonts w:hint="eastAsia" w:ascii="仿宋" w:hAnsi="仿宋" w:eastAsia="仿宋"/>
          <w:color w:val="auto"/>
          <w:sz w:val="32"/>
          <w:szCs w:val="32"/>
        </w:rPr>
        <w:t>人</w:t>
      </w:r>
      <w:r>
        <w:rPr>
          <w:rFonts w:hint="eastAsia" w:ascii="仿宋" w:hAnsi="仿宋" w:eastAsia="仿宋"/>
          <w:color w:val="auto"/>
          <w:sz w:val="32"/>
          <w:szCs w:val="32"/>
          <w:lang w:val="en-US" w:eastAsia="zh-CN"/>
        </w:rPr>
        <w:t>,离</w:t>
      </w:r>
      <w:r>
        <w:rPr>
          <w:rFonts w:hint="eastAsia" w:ascii="仿宋" w:hAnsi="仿宋" w:eastAsia="仿宋"/>
          <w:color w:val="auto"/>
          <w:sz w:val="32"/>
          <w:szCs w:val="32"/>
        </w:rPr>
        <w:t>退休干部1</w:t>
      </w:r>
      <w:r>
        <w:rPr>
          <w:rFonts w:hint="eastAsia" w:ascii="仿宋" w:hAnsi="仿宋" w:eastAsia="仿宋"/>
          <w:color w:val="auto"/>
          <w:sz w:val="32"/>
          <w:szCs w:val="32"/>
          <w:lang w:val="en-US" w:eastAsia="zh-CN"/>
        </w:rPr>
        <w:t>11</w:t>
      </w:r>
      <w:r>
        <w:rPr>
          <w:rFonts w:hint="eastAsia" w:ascii="仿宋" w:hAnsi="仿宋" w:eastAsia="仿宋"/>
          <w:color w:val="auto"/>
          <w:sz w:val="32"/>
          <w:szCs w:val="32"/>
        </w:rPr>
        <w:t>人。</w:t>
      </w:r>
    </w:p>
    <w:p w14:paraId="4818B55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620" w:lineRule="exact"/>
        <w:ind w:left="0" w:firstLine="643" w:firstLineChars="200"/>
        <w:jc w:val="both"/>
        <w:textAlignment w:val="auto"/>
        <w:rPr>
          <w:rFonts w:hint="eastAsia" w:ascii="楷体_GB2312" w:hAnsi="楷体_GB2312" w:eastAsia="楷体_GB2312" w:cs="楷体_GB2312"/>
          <w:b/>
          <w:bCs w:val="0"/>
          <w:color w:val="auto"/>
          <w:sz w:val="32"/>
          <w:szCs w:val="32"/>
        </w:rPr>
      </w:pPr>
      <w:r>
        <w:rPr>
          <w:rFonts w:hint="eastAsia" w:ascii="楷体_GB2312" w:hAnsi="楷体_GB2312" w:eastAsia="楷体_GB2312" w:cs="楷体_GB2312"/>
          <w:b/>
          <w:bCs w:val="0"/>
          <w:color w:val="auto"/>
          <w:sz w:val="32"/>
          <w:szCs w:val="32"/>
        </w:rPr>
        <w:t>（二）决算单位构成。</w:t>
      </w:r>
    </w:p>
    <w:p w14:paraId="774E7A7F">
      <w:pPr>
        <w:keepNext w:val="0"/>
        <w:keepLines w:val="0"/>
        <w:pageBreakBefore w:val="0"/>
        <w:widowControl/>
        <w:kinsoku/>
        <w:wordWrap/>
        <w:overflowPunct/>
        <w:topLinePunct w:val="0"/>
        <w:autoSpaceDE/>
        <w:autoSpaceDN/>
        <w:bidi w:val="0"/>
        <w:adjustRightInd/>
        <w:snapToGrid/>
        <w:spacing w:line="620" w:lineRule="exact"/>
        <w:ind w:left="0" w:firstLine="640" w:firstLineChars="200"/>
        <w:jc w:val="both"/>
        <w:textAlignment w:val="auto"/>
        <w:rPr>
          <w:rFonts w:ascii="黑体" w:hAnsi="黑体" w:eastAsia="黑体"/>
          <w:color w:val="auto"/>
          <w:sz w:val="32"/>
          <w:szCs w:val="32"/>
        </w:rPr>
      </w:pPr>
      <w:r>
        <w:rPr>
          <w:rFonts w:hint="eastAsia" w:ascii="仿宋" w:hAnsi="仿宋" w:eastAsia="仿宋" w:cs="仿宋"/>
          <w:bCs/>
          <w:color w:val="auto"/>
          <w:kern w:val="0"/>
          <w:sz w:val="32"/>
          <w:szCs w:val="32"/>
        </w:rPr>
        <w:t>溆浦县农业农村局20</w:t>
      </w:r>
      <w:r>
        <w:rPr>
          <w:rFonts w:hint="eastAsia" w:ascii="仿宋" w:hAnsi="仿宋" w:eastAsia="仿宋" w:cs="仿宋"/>
          <w:bCs/>
          <w:color w:val="auto"/>
          <w:kern w:val="0"/>
          <w:sz w:val="32"/>
          <w:szCs w:val="32"/>
          <w:lang w:val="en-US" w:eastAsia="zh-CN"/>
        </w:rPr>
        <w:t>24</w:t>
      </w:r>
      <w:r>
        <w:rPr>
          <w:rFonts w:hint="eastAsia" w:ascii="仿宋" w:hAnsi="仿宋" w:eastAsia="仿宋" w:cs="仿宋"/>
          <w:bCs/>
          <w:color w:val="auto"/>
          <w:kern w:val="0"/>
          <w:sz w:val="32"/>
          <w:szCs w:val="32"/>
        </w:rPr>
        <w:t>年部门决算汇总公开单位构成包括：溆浦县农业农村局本级。</w:t>
      </w:r>
    </w:p>
    <w:p w14:paraId="167B940B">
      <w:pPr>
        <w:jc w:val="both"/>
        <w:rPr>
          <w:color w:val="auto"/>
          <w:sz w:val="72"/>
          <w:szCs w:val="72"/>
        </w:rPr>
      </w:pPr>
    </w:p>
    <w:p w14:paraId="355D13C8">
      <w:pPr>
        <w:pStyle w:val="16"/>
        <w:jc w:val="center"/>
        <w:rPr>
          <w:rFonts w:hint="eastAsia" w:ascii="方正小标宋_GBK" w:hAnsi="方正小标宋_GBK" w:eastAsia="方正小标宋_GBK" w:cs="方正小标宋_GBK"/>
          <w:color w:val="auto"/>
          <w:sz w:val="84"/>
          <w:szCs w:val="84"/>
        </w:rPr>
      </w:pPr>
    </w:p>
    <w:p w14:paraId="4561B3C2">
      <w:pPr>
        <w:pStyle w:val="16"/>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第二部分</w:t>
      </w:r>
    </w:p>
    <w:p w14:paraId="30AF37EB">
      <w:pPr>
        <w:pStyle w:val="16"/>
        <w:jc w:val="center"/>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部门决算表</w:t>
      </w:r>
    </w:p>
    <w:p w14:paraId="7C3E3420">
      <w:pPr>
        <w:widowControl/>
        <w:jc w:val="center"/>
        <w:rPr>
          <w:rFonts w:hint="eastAsia" w:ascii="Times New Roman" w:hAnsi="Times New Roman" w:eastAsia="方正小标宋_GBK" w:cs="Times New Roman"/>
          <w:color w:val="auto"/>
          <w:kern w:val="0"/>
          <w:sz w:val="36"/>
          <w:szCs w:val="36"/>
        </w:rPr>
      </w:pPr>
    </w:p>
    <w:p w14:paraId="2EFE6A1A">
      <w:pPr>
        <w:widowControl/>
        <w:jc w:val="both"/>
        <w:rPr>
          <w:rFonts w:hint="eastAsia" w:ascii="Times New Roman" w:hAnsi="Times New Roman" w:eastAsia="方正小标宋_GBK" w:cs="Times New Roman"/>
          <w:color w:val="auto"/>
          <w:kern w:val="0"/>
          <w:sz w:val="36"/>
          <w:szCs w:val="36"/>
          <w:lang w:eastAsia="zh-CN"/>
        </w:rPr>
      </w:pPr>
    </w:p>
    <w:p w14:paraId="1AB922D3">
      <w:pPr>
        <w:widowControl/>
        <w:jc w:val="both"/>
        <w:rPr>
          <w:rFonts w:hint="eastAsia" w:ascii="Times New Roman" w:hAnsi="Times New Roman" w:eastAsia="方正小标宋_GBK" w:cs="Times New Roman"/>
          <w:color w:val="auto"/>
          <w:kern w:val="0"/>
          <w:sz w:val="36"/>
          <w:szCs w:val="36"/>
          <w:lang w:eastAsia="zh-CN"/>
        </w:rPr>
      </w:pPr>
    </w:p>
    <w:p w14:paraId="7EECDB7D">
      <w:pPr>
        <w:widowControl/>
        <w:jc w:val="both"/>
        <w:rPr>
          <w:rFonts w:hint="eastAsia" w:ascii="Times New Roman" w:hAnsi="Times New Roman" w:eastAsia="方正小标宋_GBK" w:cs="Times New Roman"/>
          <w:color w:val="auto"/>
          <w:kern w:val="0"/>
          <w:sz w:val="36"/>
          <w:szCs w:val="36"/>
        </w:rPr>
      </w:pPr>
    </w:p>
    <w:p w14:paraId="5A699356">
      <w:pPr>
        <w:widowControl/>
        <w:jc w:val="both"/>
        <w:rPr>
          <w:rFonts w:hint="eastAsia" w:ascii="Times New Roman" w:hAnsi="Times New Roman" w:eastAsia="方正小标宋_GBK" w:cs="Times New Roman"/>
          <w:color w:val="auto"/>
          <w:kern w:val="0"/>
          <w:sz w:val="36"/>
          <w:szCs w:val="36"/>
        </w:rPr>
      </w:pPr>
    </w:p>
    <w:p w14:paraId="2C05E57D">
      <w:pPr>
        <w:widowControl/>
        <w:jc w:val="both"/>
        <w:rPr>
          <w:rFonts w:hint="eastAsia" w:ascii="Times New Roman" w:hAnsi="Times New Roman" w:eastAsia="方正小标宋_GBK" w:cs="Times New Roman"/>
          <w:color w:val="auto"/>
          <w:kern w:val="0"/>
          <w:sz w:val="36"/>
          <w:szCs w:val="36"/>
          <w:lang w:eastAsia="zh-CN"/>
        </w:rPr>
      </w:pPr>
    </w:p>
    <w:p w14:paraId="485737AB">
      <w:pPr>
        <w:widowControl/>
        <w:jc w:val="both"/>
        <w:rPr>
          <w:rFonts w:hint="eastAsia" w:ascii="Times New Roman" w:hAnsi="Times New Roman" w:eastAsia="方正小标宋_GBK" w:cs="Times New Roman"/>
          <w:color w:val="auto"/>
          <w:kern w:val="0"/>
          <w:sz w:val="36"/>
          <w:szCs w:val="36"/>
          <w:lang w:eastAsia="zh-CN"/>
        </w:rPr>
      </w:pPr>
    </w:p>
    <w:p w14:paraId="28F584C9">
      <w:pPr>
        <w:widowControl/>
        <w:jc w:val="left"/>
        <w:rPr>
          <w:rFonts w:hint="eastAsia" w:ascii="Times New Roman" w:hAnsi="Times New Roman" w:eastAsia="方正小标宋_GBK" w:cs="Times New Roman"/>
          <w:color w:val="auto"/>
          <w:kern w:val="0"/>
          <w:sz w:val="36"/>
          <w:szCs w:val="36"/>
          <w:lang w:eastAsia="zh-CN"/>
        </w:rPr>
      </w:pPr>
    </w:p>
    <w:p w14:paraId="25F3191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收入支出决算总表</w:t>
      </w:r>
    </w:p>
    <w:tbl>
      <w:tblPr>
        <w:tblStyle w:val="11"/>
        <w:tblW w:w="145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77"/>
        <w:gridCol w:w="839"/>
        <w:gridCol w:w="1542"/>
        <w:gridCol w:w="4496"/>
        <w:gridCol w:w="839"/>
        <w:gridCol w:w="2067"/>
      </w:tblGrid>
      <w:tr w14:paraId="0EF4F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9" w:hRule="atLeast"/>
        </w:trPr>
        <w:tc>
          <w:tcPr>
            <w:tcW w:w="0" w:type="auto"/>
            <w:tcBorders>
              <w:bottom w:val="single" w:color="auto" w:sz="4" w:space="0"/>
            </w:tcBorders>
            <w:shd w:val="clear" w:color="auto" w:fill="auto"/>
            <w:noWrap/>
            <w:vAlign w:val="center"/>
          </w:tcPr>
          <w:p w14:paraId="113CBFED">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bottom w:val="single" w:color="auto" w:sz="4" w:space="0"/>
            </w:tcBorders>
            <w:shd w:val="clear" w:color="auto" w:fill="auto"/>
            <w:noWrap/>
            <w:vAlign w:val="center"/>
          </w:tcPr>
          <w:p w14:paraId="0F8C3452">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bottom w:val="single" w:color="auto" w:sz="4" w:space="0"/>
            </w:tcBorders>
            <w:shd w:val="clear" w:color="auto" w:fill="auto"/>
            <w:noWrap/>
            <w:vAlign w:val="center"/>
          </w:tcPr>
          <w:p w14:paraId="7A6228D1">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bottom w:val="single" w:color="auto" w:sz="4" w:space="0"/>
            </w:tcBorders>
            <w:shd w:val="clear" w:color="auto" w:fill="auto"/>
            <w:noWrap/>
            <w:vAlign w:val="center"/>
          </w:tcPr>
          <w:p w14:paraId="5DFFF819">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bottom w:val="single" w:color="auto" w:sz="4" w:space="0"/>
            </w:tcBorders>
            <w:shd w:val="clear" w:color="auto" w:fill="auto"/>
            <w:noWrap/>
            <w:vAlign w:val="center"/>
          </w:tcPr>
          <w:p w14:paraId="346B1D23">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bottom w:val="single" w:color="auto" w:sz="4" w:space="0"/>
            </w:tcBorders>
            <w:shd w:val="clear" w:color="auto" w:fill="auto"/>
            <w:noWrap/>
            <w:vAlign w:val="bottom"/>
          </w:tcPr>
          <w:p w14:paraId="711C718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568E7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9"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14:paraId="560561F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2B8794">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9616E1">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A2A17D">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7C23C9">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bottom"/>
          </w:tcPr>
          <w:p w14:paraId="464E75D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91DB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24DC1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6F716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610E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C1AE5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931F6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31B31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18B25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86BF8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807B8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5BB56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3C98D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708E7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B2958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19125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0AA7C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CD407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05E4F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8701C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38E9C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864CB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27,999.46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2BCB7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87997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BF72A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r>
      <w:tr w14:paraId="49467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2"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D43AE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8FC62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5DC9A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67591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93E8C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5C97C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55030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0646B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66297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35A1D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218F2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D252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C01B2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766E18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ED1C1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DFA71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1F0F5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8D11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CCEEC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1F1F8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7F5F4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7390E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83E44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3CC0F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254FD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67749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B58C04">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6999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DF317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27CFD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738DA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BB0A1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A0A9C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296B6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31831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19594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24EBE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3E4C3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7637F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EA7D0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0FFB0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2D230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169E8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49ACA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E4B5C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31612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F7744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EB8FA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r>
      <w:tr w14:paraId="4358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F6C55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7C7DC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C1A97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627A2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7153B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6BCF6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r>
      <w:tr w14:paraId="3AFA9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FE9755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24BB8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58D96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3FD99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C4855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6607B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r>
      <w:tr w14:paraId="477FD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E9D8D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78386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A4EDF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5658D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7795D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DB52B7">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38113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1ADC5A">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C7FC2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561EF7">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65A03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884D5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FBFEC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r>
      <w:tr w14:paraId="11716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5CE90D">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9DCD1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B9DDD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4E483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07E91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43BC98">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7A3A5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F4E55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05F14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11B6B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EEAE6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F3B6D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4CBB8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0AFA3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528779">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7F07F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629BD3">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CD7246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F4035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98A58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r>
      <w:tr w14:paraId="5D108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1FC07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4ED28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E35E50">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F2D76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AE5B8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963E0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4156B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38F301">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A3642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707FB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6117B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13E68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75E06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43F7A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0B081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3013D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758D7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1D2D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B3692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AF960B">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0F820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DE196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21445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09142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7E802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EF0AC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A480E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r>
      <w:tr w14:paraId="1B87E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CE7EC9">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05B5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34F332">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CB0C8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97DE8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D8062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r>
      <w:tr w14:paraId="7FB2E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AEA2C6">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827BF7">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EE1F6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AB5B1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044EF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93FCE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760C4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DF2B6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5C6E9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E71735">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839FA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C19F2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8BD241">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544C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E3A247">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FA323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9C80E9">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2CDA9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7F586C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94387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r>
      <w:tr w14:paraId="36FFA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6A00E4">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b/>
                <w:bCs/>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A8A9F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B644AAF">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9FE4C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83DFDD">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13906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2275D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F7667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1DA35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C7056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AC04C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C78CE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85914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5EEC1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016998">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6FA70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AD8B3D">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AEA51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C7DA64">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B85CB7">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7D9C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9C3F4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81F31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31AFA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6839F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B8464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20F9D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r>
      <w:tr w14:paraId="709C7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DF85B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使用非财政拨款结余（含专用结余）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E319F0">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11A72E">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EC366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2FDDE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627C1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511D1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3403D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8D2C2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192F7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2145D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90E79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339D8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6A0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2CA7F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0AE85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A3464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B84E6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F228DE">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CCB8C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r>
    </w:tbl>
    <w:p w14:paraId="20D71E4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p w14:paraId="47FFACA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p w14:paraId="302C5A08">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4C162C75">
      <w:pPr>
        <w:keepNext w:val="0"/>
        <w:keepLines w:val="0"/>
        <w:pageBreakBefore w:val="0"/>
        <w:widowControl/>
        <w:kinsoku/>
        <w:wordWrap/>
        <w:overflowPunct/>
        <w:topLinePunct w:val="0"/>
        <w:autoSpaceDE/>
        <w:autoSpaceDN/>
        <w:bidi w:val="0"/>
        <w:adjustRightInd/>
        <w:snapToGrid/>
        <w:spacing w:line="240" w:lineRule="auto"/>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收入决算表</w:t>
      </w:r>
    </w:p>
    <w:tbl>
      <w:tblPr>
        <w:tblStyle w:val="11"/>
        <w:tblW w:w="1545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2520"/>
        <w:gridCol w:w="229"/>
        <w:gridCol w:w="230"/>
        <w:gridCol w:w="5503"/>
        <w:gridCol w:w="1266"/>
        <w:gridCol w:w="1266"/>
        <w:gridCol w:w="688"/>
        <w:gridCol w:w="688"/>
        <w:gridCol w:w="688"/>
        <w:gridCol w:w="688"/>
        <w:gridCol w:w="1686"/>
      </w:tblGrid>
      <w:tr w14:paraId="7CD44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57" w:hRule="atLeast"/>
          <w:jc w:val="center"/>
        </w:trPr>
        <w:tc>
          <w:tcPr>
            <w:tcW w:w="2520" w:type="dxa"/>
            <w:tcBorders>
              <w:top w:val="nil"/>
              <w:left w:val="nil"/>
              <w:bottom w:val="nil"/>
              <w:right w:val="nil"/>
            </w:tcBorders>
            <w:shd w:val="clear" w:color="auto" w:fill="auto"/>
            <w:noWrap/>
            <w:vAlign w:val="center"/>
          </w:tcPr>
          <w:p w14:paraId="550276BC">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229" w:type="dxa"/>
            <w:tcBorders>
              <w:top w:val="nil"/>
              <w:left w:val="nil"/>
              <w:bottom w:val="nil"/>
              <w:right w:val="nil"/>
            </w:tcBorders>
            <w:shd w:val="clear" w:color="auto" w:fill="auto"/>
            <w:noWrap/>
            <w:vAlign w:val="center"/>
          </w:tcPr>
          <w:p w14:paraId="4365B62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230" w:type="dxa"/>
            <w:tcBorders>
              <w:top w:val="nil"/>
              <w:left w:val="nil"/>
              <w:bottom w:val="nil"/>
              <w:right w:val="nil"/>
            </w:tcBorders>
            <w:shd w:val="clear" w:color="auto" w:fill="auto"/>
            <w:noWrap/>
            <w:vAlign w:val="center"/>
          </w:tcPr>
          <w:p w14:paraId="79E0A40B">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5503" w:type="dxa"/>
            <w:tcBorders>
              <w:top w:val="nil"/>
              <w:left w:val="nil"/>
              <w:bottom w:val="nil"/>
              <w:right w:val="nil"/>
            </w:tcBorders>
            <w:shd w:val="clear" w:color="auto" w:fill="auto"/>
            <w:noWrap/>
            <w:vAlign w:val="center"/>
          </w:tcPr>
          <w:p w14:paraId="04204F4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1266" w:type="dxa"/>
            <w:tcBorders>
              <w:top w:val="nil"/>
              <w:left w:val="nil"/>
              <w:bottom w:val="nil"/>
              <w:right w:val="nil"/>
            </w:tcBorders>
            <w:shd w:val="clear" w:color="auto" w:fill="auto"/>
            <w:noWrap/>
            <w:vAlign w:val="center"/>
          </w:tcPr>
          <w:p w14:paraId="564E889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1266" w:type="dxa"/>
            <w:tcBorders>
              <w:top w:val="nil"/>
              <w:left w:val="nil"/>
              <w:bottom w:val="nil"/>
              <w:right w:val="nil"/>
            </w:tcBorders>
            <w:shd w:val="clear" w:color="auto" w:fill="auto"/>
            <w:noWrap/>
            <w:vAlign w:val="center"/>
          </w:tcPr>
          <w:p w14:paraId="6887C389">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nil"/>
              <w:right w:val="nil"/>
            </w:tcBorders>
            <w:shd w:val="clear" w:color="auto" w:fill="auto"/>
            <w:noWrap/>
            <w:vAlign w:val="center"/>
          </w:tcPr>
          <w:p w14:paraId="501FACD5">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nil"/>
              <w:right w:val="nil"/>
            </w:tcBorders>
            <w:shd w:val="clear" w:color="auto" w:fill="auto"/>
            <w:noWrap/>
            <w:vAlign w:val="center"/>
          </w:tcPr>
          <w:p w14:paraId="3598188A">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nil"/>
              <w:right w:val="nil"/>
            </w:tcBorders>
            <w:shd w:val="clear" w:color="auto" w:fill="auto"/>
            <w:noWrap/>
            <w:vAlign w:val="center"/>
          </w:tcPr>
          <w:p w14:paraId="481CDF34">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nil"/>
              <w:right w:val="nil"/>
            </w:tcBorders>
            <w:shd w:val="clear" w:color="auto" w:fill="auto"/>
            <w:noWrap/>
            <w:vAlign w:val="center"/>
          </w:tcPr>
          <w:p w14:paraId="0DF051E5">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1686" w:type="dxa"/>
            <w:tcBorders>
              <w:top w:val="nil"/>
              <w:left w:val="nil"/>
              <w:bottom w:val="nil"/>
              <w:right w:val="nil"/>
            </w:tcBorders>
            <w:shd w:val="clear" w:color="auto" w:fill="auto"/>
            <w:noWrap/>
            <w:vAlign w:val="bottom"/>
          </w:tcPr>
          <w:p w14:paraId="692EAE3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388FC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57" w:hRule="atLeast"/>
          <w:jc w:val="center"/>
        </w:trPr>
        <w:tc>
          <w:tcPr>
            <w:tcW w:w="2520" w:type="dxa"/>
            <w:tcBorders>
              <w:top w:val="nil"/>
              <w:left w:val="nil"/>
              <w:bottom w:val="single" w:color="auto" w:sz="4" w:space="0"/>
              <w:right w:val="nil"/>
            </w:tcBorders>
            <w:shd w:val="clear" w:color="auto" w:fill="auto"/>
            <w:noWrap/>
            <w:vAlign w:val="bottom"/>
          </w:tcPr>
          <w:p w14:paraId="765099E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229" w:type="dxa"/>
            <w:tcBorders>
              <w:top w:val="nil"/>
              <w:left w:val="nil"/>
              <w:bottom w:val="single" w:color="auto" w:sz="4" w:space="0"/>
              <w:right w:val="nil"/>
            </w:tcBorders>
            <w:shd w:val="clear" w:color="auto" w:fill="auto"/>
            <w:noWrap/>
            <w:vAlign w:val="center"/>
          </w:tcPr>
          <w:p w14:paraId="27BBB11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230" w:type="dxa"/>
            <w:tcBorders>
              <w:top w:val="nil"/>
              <w:left w:val="nil"/>
              <w:bottom w:val="single" w:color="auto" w:sz="4" w:space="0"/>
              <w:right w:val="nil"/>
            </w:tcBorders>
            <w:shd w:val="clear" w:color="auto" w:fill="auto"/>
            <w:noWrap/>
            <w:vAlign w:val="center"/>
          </w:tcPr>
          <w:p w14:paraId="21390839">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5503" w:type="dxa"/>
            <w:tcBorders>
              <w:top w:val="nil"/>
              <w:left w:val="nil"/>
              <w:bottom w:val="single" w:color="auto" w:sz="4" w:space="0"/>
              <w:right w:val="nil"/>
            </w:tcBorders>
            <w:shd w:val="clear" w:color="auto" w:fill="auto"/>
            <w:noWrap/>
            <w:vAlign w:val="center"/>
          </w:tcPr>
          <w:p w14:paraId="70098D41">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1266" w:type="dxa"/>
            <w:tcBorders>
              <w:top w:val="nil"/>
              <w:left w:val="nil"/>
              <w:bottom w:val="single" w:color="auto" w:sz="4" w:space="0"/>
              <w:right w:val="nil"/>
            </w:tcBorders>
            <w:shd w:val="clear" w:color="auto" w:fill="auto"/>
            <w:noWrap/>
            <w:vAlign w:val="center"/>
          </w:tcPr>
          <w:p w14:paraId="7F502C83">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1266" w:type="dxa"/>
            <w:tcBorders>
              <w:top w:val="nil"/>
              <w:left w:val="nil"/>
              <w:bottom w:val="single" w:color="auto" w:sz="4" w:space="0"/>
              <w:right w:val="nil"/>
            </w:tcBorders>
            <w:shd w:val="clear" w:color="auto" w:fill="auto"/>
            <w:noWrap/>
            <w:vAlign w:val="center"/>
          </w:tcPr>
          <w:p w14:paraId="12F00927">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single" w:color="auto" w:sz="4" w:space="0"/>
              <w:right w:val="nil"/>
            </w:tcBorders>
            <w:shd w:val="clear" w:color="auto" w:fill="auto"/>
            <w:noWrap/>
            <w:vAlign w:val="center"/>
          </w:tcPr>
          <w:p w14:paraId="703E1CD0">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single" w:color="auto" w:sz="4" w:space="0"/>
              <w:right w:val="nil"/>
            </w:tcBorders>
            <w:shd w:val="clear" w:color="auto" w:fill="auto"/>
            <w:noWrap/>
            <w:vAlign w:val="center"/>
          </w:tcPr>
          <w:p w14:paraId="19CBD699">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single" w:color="auto" w:sz="4" w:space="0"/>
              <w:right w:val="nil"/>
            </w:tcBorders>
            <w:shd w:val="clear" w:color="auto" w:fill="auto"/>
            <w:noWrap/>
            <w:vAlign w:val="center"/>
          </w:tcPr>
          <w:p w14:paraId="238E4038">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688" w:type="dxa"/>
            <w:tcBorders>
              <w:top w:val="nil"/>
              <w:left w:val="nil"/>
              <w:bottom w:val="single" w:color="auto" w:sz="4" w:space="0"/>
              <w:right w:val="nil"/>
            </w:tcBorders>
            <w:shd w:val="clear" w:color="auto" w:fill="auto"/>
            <w:noWrap/>
            <w:vAlign w:val="center"/>
          </w:tcPr>
          <w:p w14:paraId="035A6D3F">
            <w:pPr>
              <w:keepNext w:val="0"/>
              <w:keepLines w:val="0"/>
              <w:pageBreakBefore w:val="0"/>
              <w:widowControl/>
              <w:kinsoku/>
              <w:wordWrap/>
              <w:overflowPunct/>
              <w:topLinePunct w:val="0"/>
              <w:autoSpaceDE/>
              <w:autoSpaceDN/>
              <w:bidi w:val="0"/>
              <w:adjustRightInd/>
              <w:snapToGrid/>
              <w:spacing w:line="240" w:lineRule="auto"/>
              <w:rPr>
                <w:rFonts w:hint="eastAsia" w:ascii="宋体" w:hAnsi="宋体" w:eastAsia="宋体" w:cs="宋体"/>
                <w:i w:val="0"/>
                <w:iCs w:val="0"/>
                <w:color w:val="000000"/>
                <w:sz w:val="22"/>
                <w:szCs w:val="22"/>
                <w:u w:val="none"/>
              </w:rPr>
            </w:pPr>
          </w:p>
        </w:tc>
        <w:tc>
          <w:tcPr>
            <w:tcW w:w="1686" w:type="dxa"/>
            <w:tcBorders>
              <w:top w:val="nil"/>
              <w:left w:val="nil"/>
              <w:bottom w:val="single" w:color="auto" w:sz="4" w:space="0"/>
              <w:right w:val="nil"/>
            </w:tcBorders>
            <w:shd w:val="clear" w:color="auto" w:fill="auto"/>
            <w:noWrap/>
            <w:vAlign w:val="bottom"/>
          </w:tcPr>
          <w:p w14:paraId="1F4C689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D0C3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848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46AB228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5419ECE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本年收入</w:t>
            </w:r>
          </w:p>
          <w:p w14:paraId="5AB0F50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3E0E4B4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389F0FE0">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024CDB2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490977F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604C89B4">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17227D1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3AC3A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7D8E8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117F59">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0EFBDF22">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5C95FD0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098C64E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37C00948">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3B37A91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2B840E1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39619DE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p>
        </w:tc>
      </w:tr>
      <w:tr w14:paraId="3202D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848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2F3253E">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栏次</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1FC51C1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266" w:type="dxa"/>
            <w:tcBorders>
              <w:top w:val="single" w:color="auto" w:sz="4" w:space="0"/>
              <w:left w:val="single" w:color="auto" w:sz="4" w:space="0"/>
              <w:bottom w:val="single" w:color="auto" w:sz="4" w:space="0"/>
              <w:right w:val="single" w:color="auto" w:sz="4" w:space="0"/>
            </w:tcBorders>
            <w:shd w:val="clear" w:color="auto" w:fill="auto"/>
            <w:vAlign w:val="center"/>
          </w:tcPr>
          <w:p w14:paraId="13E1D8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0968EE2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0441D91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221723B3">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688" w:type="dxa"/>
            <w:tcBorders>
              <w:top w:val="single" w:color="auto" w:sz="4" w:space="0"/>
              <w:left w:val="single" w:color="auto" w:sz="4" w:space="0"/>
              <w:bottom w:val="single" w:color="auto" w:sz="4" w:space="0"/>
              <w:right w:val="single" w:color="auto" w:sz="4" w:space="0"/>
            </w:tcBorders>
            <w:shd w:val="clear" w:color="auto" w:fill="auto"/>
            <w:vAlign w:val="center"/>
          </w:tcPr>
          <w:p w14:paraId="1141867C">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c>
          <w:tcPr>
            <w:tcW w:w="1686" w:type="dxa"/>
            <w:tcBorders>
              <w:top w:val="single" w:color="auto" w:sz="4" w:space="0"/>
              <w:left w:val="single" w:color="auto" w:sz="4" w:space="0"/>
              <w:bottom w:val="single" w:color="auto" w:sz="4" w:space="0"/>
              <w:right w:val="single" w:color="auto" w:sz="4" w:space="0"/>
            </w:tcBorders>
            <w:shd w:val="clear" w:color="auto" w:fill="auto"/>
            <w:vAlign w:val="center"/>
          </w:tcPr>
          <w:p w14:paraId="7F6E9DB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7</w:t>
            </w:r>
          </w:p>
        </w:tc>
      </w:tr>
      <w:tr w14:paraId="091BC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04" w:hRule="atLeast"/>
          <w:jc w:val="center"/>
        </w:trPr>
        <w:tc>
          <w:tcPr>
            <w:tcW w:w="848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011A1C7">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23709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31,141.96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5EAC9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31,141.96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45E7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9F37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011F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AB239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AB3AF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5E37D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CA315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FD4C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8604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8F3F1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27E7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F2079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DA4F1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FC049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D5F8D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CFC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4B918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E7D5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34C39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F04EE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0672E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1C94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C28E4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B80F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C532D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20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49586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A1616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9A7C6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420E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BCEE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225C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9BBC5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919AC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195C4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AF0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74111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8D10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C50B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11A5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331A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23349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70AB7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3B6C2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53136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2DF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E6DB8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D747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D4329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0CB10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FBF82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496A6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48C2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07A76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2CB3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CD70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27C47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FE278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47E60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72F69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6CE0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A4A0B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F19DB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237AD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9FADE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11E6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27C45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5EF65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其他统战事务支出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8D16C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9D17F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EC096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B3F04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1B573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BA6B8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EF783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2675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7E619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0988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11761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F95FD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51813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55C4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2834B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B09E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A9CE7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40A7E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2FB16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63241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38F71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D4A11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1A170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F425D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60F8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AE932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3925C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110D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D7C29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4C6E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221F9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E473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62F2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0988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8F5C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E727D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1874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143B4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7A4EE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D02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5F64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0F60C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36E5D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3D84C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FD5BB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AF03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36579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3597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C3FEAC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2080705</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A66D8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412A6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54248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D46C7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7F81A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773E9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EBE85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06475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4D89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8E6F3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7ADF6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3AA7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65AEA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A2EDF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58B41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B7BEE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AE299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70CF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C301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3E1187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437F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69D92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B7AC0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390FE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B198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EF63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BBA74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2601F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09DC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2B007B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FA0DF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7F62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B62E8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DD760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41EE3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8628D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5FB27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10E51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907D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28AF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DD47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9B989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BA56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416F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27C7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B8489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1CDF5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FE759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F512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D2A17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C335F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CF46B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1E9D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1246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18B41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F65FC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149F8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5D88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A09D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E8725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5ED84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C2EBB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38ED6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B3B7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D4948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8ADB8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D8FBF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F22E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136C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1B101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9BB1E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22BF8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184E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3D81D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6C1C8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8E7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C0F9E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35C8A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78B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9F701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CF703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7F2A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199FD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D290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9166C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F0D94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878F5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FD63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057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B8D814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E4E4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6766F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45964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E4C9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ACC8B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0477B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CB9D9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C5ED5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5AB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824E5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FBBF2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BE8F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11,383.47</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2DB51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11,383.47</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62490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DC14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88099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170F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6663A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76BD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F0102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0B14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E59E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1,248.30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DA80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1,248.30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4C757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90AC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19819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78047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5AC08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FCF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1B32B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9B55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2E434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4BCAC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55CBA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BAD2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03EE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88CC4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5129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4612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05774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0F2D7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科技转化与推广服务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4FD33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8F19D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9BA4C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E6C90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E5E75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D1B6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F43C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FB58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D14008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AD6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病虫害控制</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2A950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42F85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1FA0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45BCC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59C4B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0D3C7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8D7C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AACE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E746E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E771D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农产品质量安全</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1775F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71.13</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A9E9D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71.13</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D2430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A510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09E1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904A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3015A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7F03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AA785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1402A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执法监管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50FD3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D50C1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9CC9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51AA7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6E34F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26FE2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6025E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CEC8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288F1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E1E58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统计监测与信息服务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7CB04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342CB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617F1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33FA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B1CB5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FB28C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1182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4241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973464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2130120</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508E8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稳定农民收入补贴</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C4AC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5,841.71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432F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5,841.71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C3A97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E2F7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51073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AC8A0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3707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A1E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0925A1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18F1E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农业结构调整补贴</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96629">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184.42</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73E40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184.42</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4319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FC4F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DB19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6769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B4C8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BD1F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981B0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500A3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853B2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7C38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75B8C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4EE4C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9E573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63469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A0BE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99E8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C5203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243C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910E7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7395A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D4B5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EBD9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101B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305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16AA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4A9A5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80333E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14D9A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农业生态资源保护</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62BBE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EA580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FA7EF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89DE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95EC1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E4B8B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918B6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2494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8327E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191A0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耕地建设与利用</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FA285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2,040.96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850BB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2,040.96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005A6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0A8F3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147F5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65924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4A3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E7D2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CFBBB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2739E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2B5474">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975.06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8CC0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975.06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E0CA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B0446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71A9F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09D34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A289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E922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62AB3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44A43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9BC7B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12,940.96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70C50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12,940.96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23107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DBE55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17671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1CEEF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F5857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D229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42FA85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645A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4CB2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192.28</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B96F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192.28</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78478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2D04F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D11A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F2D20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D99CF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D185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2BDB7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8F18B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8F5F9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153.17</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3CA3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153.17</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32D77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D5B4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EDF1C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CF86C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0D7D0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087F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19A6A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63891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4D333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2,499.44</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B6576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2,499.44</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F605A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BF0B9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A1D64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18588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67DFA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A83C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E6113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2130507</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77D9F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贷款奖补和贴息</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63E73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A7EA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E7E90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1E44F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819FA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0367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A8E2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D826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88B3B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10FE9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FF72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9,930.21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43D2D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9,930.21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B41A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1D0E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62A8E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D645A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D8B04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372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AF61A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41064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A8769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6A1D9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C70E4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B2A0B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9541E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9EEAE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117D1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D15F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D80B6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9948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其他目标价格补贴</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12257">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5AE68">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2BE17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CFA63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D81A4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614A8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AA442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4229C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384BE0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342F0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75940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B3958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3C83E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9866A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0D0B4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1AD35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6662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B919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F5123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04D40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96E0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376E9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45DFC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98978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B08D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E5873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1AED7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1703D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257795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1B7B8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C8F96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4AFE7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A4A69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19E2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59B8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C4E2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F392A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38EEA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21D5EE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2ECB6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0B031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7304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4A300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7C039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CFD3E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279B2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6B49A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A12C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85595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0B7FE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7DFAD0">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5B315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FF299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965C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4C0D5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8541F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293D5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F6C7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94C62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AE9F9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其他金融发展支出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0BC8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9D880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0EAE5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1256E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EE2E6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EFFDA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BF24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AEB9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A4E77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120C8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E72D6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EFCC5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095E1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6205B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9A4C4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18BCF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EAFD6E">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6E721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7A2D10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4B11F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6BA27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54B9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2A9A9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9958B">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DC230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57B33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7C670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4176E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71068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28002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2F58D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1FAB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EFDA5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C85A6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B94A0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C220E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C51FE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181A2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BB1D0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E4696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C0C7D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AB29FB">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19CB6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2EF81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457D2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B30B15">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FA016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74B05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45892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9D1F2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D2BAFD">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4694F3">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2F518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060E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2DB64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2A65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7026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49CA6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D9630E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F3497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261A61">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5050B5">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3EE13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B4399">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CA5AB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5F21C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38BF58">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565C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9966C0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7D836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A7532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A39FC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D6268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7F8BA1">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3051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8D079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DC1600">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2BCA0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202424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E39D2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10F9A6">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7704C2">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5A0F9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0A2CE3">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78B3A">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8E444">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6CB892">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58C9F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04" w:hRule="atLeast"/>
          <w:jc w:val="center"/>
        </w:trPr>
        <w:tc>
          <w:tcPr>
            <w:tcW w:w="2979"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FBA81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550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23A6F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8B6DC">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8F06A">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3C8506">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0D2E8C">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358B37">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6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EAE5F">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c>
          <w:tcPr>
            <w:tcW w:w="168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020A3D">
            <w:pPr>
              <w:keepNext w:val="0"/>
              <w:keepLines w:val="0"/>
              <w:pageBreakBefore w:val="0"/>
              <w:widowControl/>
              <w:kinsoku/>
              <w:wordWrap/>
              <w:overflowPunct/>
              <w:topLinePunct w:val="0"/>
              <w:autoSpaceDE/>
              <w:autoSpaceDN/>
              <w:bidi w:val="0"/>
              <w:adjustRightInd/>
              <w:snapToGrid/>
              <w:spacing w:line="240" w:lineRule="auto"/>
              <w:jc w:val="right"/>
              <w:rPr>
                <w:rFonts w:hint="eastAsia" w:ascii="宋体" w:hAnsi="宋体" w:eastAsia="宋体" w:cs="宋体"/>
                <w:i w:val="0"/>
                <w:iCs w:val="0"/>
                <w:color w:val="000000"/>
                <w:sz w:val="22"/>
                <w:szCs w:val="22"/>
                <w:u w:val="none"/>
              </w:rPr>
            </w:pPr>
          </w:p>
        </w:tc>
      </w:tr>
      <w:tr w14:paraId="0212E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69" w:hRule="atLeast"/>
          <w:jc w:val="center"/>
        </w:trPr>
        <w:tc>
          <w:tcPr>
            <w:tcW w:w="15452" w:type="dxa"/>
            <w:gridSpan w:val="11"/>
            <w:tcBorders>
              <w:top w:val="single" w:color="auto" w:sz="4" w:space="0"/>
              <w:left w:val="nil"/>
              <w:bottom w:val="nil"/>
              <w:right w:val="nil"/>
            </w:tcBorders>
            <w:shd w:val="clear" w:color="auto" w:fill="auto"/>
            <w:noWrap/>
            <w:vAlign w:val="center"/>
          </w:tcPr>
          <w:p w14:paraId="7D34F9C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14:paraId="77DA8D4C">
      <w:pPr>
        <w:tabs>
          <w:tab w:val="left" w:pos="330"/>
          <w:tab w:val="left" w:pos="660"/>
          <w:tab w:val="left" w:pos="990"/>
          <w:tab w:val="left" w:pos="4920"/>
          <w:tab w:val="left" w:pos="6720"/>
          <w:tab w:val="left" w:pos="8520"/>
          <w:tab w:val="left" w:pos="10320"/>
          <w:tab w:val="left" w:pos="12120"/>
          <w:tab w:val="left" w:pos="13920"/>
        </w:tabs>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p>
    <w:p w14:paraId="4979C1CD">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br w:type="page"/>
      </w:r>
    </w:p>
    <w:p w14:paraId="091019E4">
      <w:pPr>
        <w:tabs>
          <w:tab w:val="left" w:pos="330"/>
          <w:tab w:val="left" w:pos="660"/>
          <w:tab w:val="left" w:pos="990"/>
          <w:tab w:val="left" w:pos="4920"/>
          <w:tab w:val="left" w:pos="6720"/>
          <w:tab w:val="left" w:pos="8520"/>
          <w:tab w:val="left" w:pos="10320"/>
          <w:tab w:val="left" w:pos="12120"/>
          <w:tab w:val="left" w:pos="13920"/>
        </w:tabs>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支出决算表</w:t>
      </w:r>
    </w:p>
    <w:p w14:paraId="50683034">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p>
    <w:tbl>
      <w:tblPr>
        <w:tblStyle w:val="11"/>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3705"/>
        <w:gridCol w:w="102"/>
        <w:gridCol w:w="394"/>
        <w:gridCol w:w="4332"/>
        <w:gridCol w:w="1440"/>
        <w:gridCol w:w="1200"/>
        <w:gridCol w:w="1290"/>
        <w:gridCol w:w="510"/>
        <w:gridCol w:w="555"/>
        <w:gridCol w:w="1212"/>
      </w:tblGrid>
      <w:tr w14:paraId="60B97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38" w:hRule="atLeast"/>
          <w:jc w:val="center"/>
        </w:trPr>
        <w:tc>
          <w:tcPr>
            <w:tcW w:w="3705" w:type="dxa"/>
            <w:tcBorders>
              <w:top w:val="nil"/>
              <w:left w:val="nil"/>
              <w:bottom w:val="nil"/>
              <w:right w:val="nil"/>
            </w:tcBorders>
            <w:shd w:val="clear" w:color="auto" w:fill="auto"/>
            <w:noWrap/>
            <w:vAlign w:val="center"/>
          </w:tcPr>
          <w:p w14:paraId="38171E5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02" w:type="dxa"/>
            <w:tcBorders>
              <w:top w:val="nil"/>
              <w:left w:val="nil"/>
              <w:bottom w:val="nil"/>
              <w:right w:val="nil"/>
            </w:tcBorders>
            <w:shd w:val="clear" w:color="auto" w:fill="auto"/>
            <w:noWrap/>
            <w:vAlign w:val="center"/>
          </w:tcPr>
          <w:p w14:paraId="3CAF232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394" w:type="dxa"/>
            <w:tcBorders>
              <w:top w:val="nil"/>
              <w:left w:val="nil"/>
              <w:bottom w:val="nil"/>
              <w:right w:val="nil"/>
            </w:tcBorders>
            <w:shd w:val="clear" w:color="auto" w:fill="auto"/>
            <w:noWrap/>
            <w:vAlign w:val="center"/>
          </w:tcPr>
          <w:p w14:paraId="6C5A24B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4332" w:type="dxa"/>
            <w:tcBorders>
              <w:top w:val="nil"/>
              <w:left w:val="nil"/>
              <w:bottom w:val="nil"/>
              <w:right w:val="nil"/>
            </w:tcBorders>
            <w:shd w:val="clear" w:color="auto" w:fill="auto"/>
            <w:noWrap/>
            <w:vAlign w:val="center"/>
          </w:tcPr>
          <w:p w14:paraId="16CF38C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noWrap/>
            <w:vAlign w:val="center"/>
          </w:tcPr>
          <w:p w14:paraId="352C56F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200" w:type="dxa"/>
            <w:tcBorders>
              <w:top w:val="nil"/>
              <w:left w:val="nil"/>
              <w:bottom w:val="nil"/>
              <w:right w:val="nil"/>
            </w:tcBorders>
            <w:shd w:val="clear" w:color="auto" w:fill="auto"/>
            <w:noWrap/>
            <w:vAlign w:val="center"/>
          </w:tcPr>
          <w:p w14:paraId="0DB05C5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290" w:type="dxa"/>
            <w:tcBorders>
              <w:top w:val="nil"/>
              <w:left w:val="nil"/>
              <w:bottom w:val="nil"/>
              <w:right w:val="nil"/>
            </w:tcBorders>
            <w:shd w:val="clear" w:color="auto" w:fill="auto"/>
            <w:noWrap/>
            <w:vAlign w:val="center"/>
          </w:tcPr>
          <w:p w14:paraId="51B21975">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510" w:type="dxa"/>
            <w:tcBorders>
              <w:top w:val="nil"/>
              <w:left w:val="nil"/>
              <w:bottom w:val="nil"/>
              <w:right w:val="nil"/>
            </w:tcBorders>
            <w:shd w:val="clear" w:color="auto" w:fill="auto"/>
            <w:noWrap/>
            <w:vAlign w:val="center"/>
          </w:tcPr>
          <w:p w14:paraId="27CA1900">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555" w:type="dxa"/>
            <w:tcBorders>
              <w:top w:val="nil"/>
              <w:left w:val="nil"/>
              <w:bottom w:val="nil"/>
              <w:right w:val="nil"/>
            </w:tcBorders>
            <w:shd w:val="clear" w:color="auto" w:fill="auto"/>
            <w:noWrap/>
            <w:vAlign w:val="center"/>
          </w:tcPr>
          <w:p w14:paraId="23113F1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212" w:type="dxa"/>
            <w:tcBorders>
              <w:top w:val="nil"/>
              <w:left w:val="nil"/>
              <w:bottom w:val="nil"/>
              <w:right w:val="nil"/>
            </w:tcBorders>
            <w:shd w:val="clear" w:color="auto" w:fill="auto"/>
            <w:noWrap/>
            <w:vAlign w:val="bottom"/>
          </w:tcPr>
          <w:p w14:paraId="3C31E4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27FF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38" w:hRule="atLeast"/>
          <w:jc w:val="center"/>
        </w:trPr>
        <w:tc>
          <w:tcPr>
            <w:tcW w:w="3705" w:type="dxa"/>
            <w:tcBorders>
              <w:top w:val="nil"/>
              <w:left w:val="nil"/>
              <w:bottom w:val="single" w:color="auto" w:sz="4" w:space="0"/>
              <w:right w:val="nil"/>
            </w:tcBorders>
            <w:shd w:val="clear" w:color="auto" w:fill="auto"/>
            <w:noWrap/>
            <w:vAlign w:val="bottom"/>
          </w:tcPr>
          <w:p w14:paraId="69F294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102" w:type="dxa"/>
            <w:tcBorders>
              <w:top w:val="nil"/>
              <w:left w:val="nil"/>
              <w:bottom w:val="single" w:color="auto" w:sz="4" w:space="0"/>
              <w:right w:val="nil"/>
            </w:tcBorders>
            <w:shd w:val="clear" w:color="auto" w:fill="auto"/>
            <w:noWrap/>
            <w:vAlign w:val="center"/>
          </w:tcPr>
          <w:p w14:paraId="2E74430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394" w:type="dxa"/>
            <w:tcBorders>
              <w:top w:val="nil"/>
              <w:left w:val="nil"/>
              <w:bottom w:val="single" w:color="auto" w:sz="4" w:space="0"/>
              <w:right w:val="nil"/>
            </w:tcBorders>
            <w:shd w:val="clear" w:color="auto" w:fill="auto"/>
            <w:noWrap/>
            <w:vAlign w:val="center"/>
          </w:tcPr>
          <w:p w14:paraId="7EE5DEF6">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4332" w:type="dxa"/>
            <w:tcBorders>
              <w:top w:val="nil"/>
              <w:left w:val="nil"/>
              <w:bottom w:val="single" w:color="auto" w:sz="4" w:space="0"/>
              <w:right w:val="nil"/>
            </w:tcBorders>
            <w:shd w:val="clear" w:color="auto" w:fill="auto"/>
            <w:noWrap/>
            <w:vAlign w:val="center"/>
          </w:tcPr>
          <w:p w14:paraId="53F3A831">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440" w:type="dxa"/>
            <w:tcBorders>
              <w:top w:val="nil"/>
              <w:left w:val="nil"/>
              <w:bottom w:val="single" w:color="auto" w:sz="4" w:space="0"/>
              <w:right w:val="nil"/>
            </w:tcBorders>
            <w:shd w:val="clear" w:color="auto" w:fill="auto"/>
            <w:noWrap/>
            <w:vAlign w:val="center"/>
          </w:tcPr>
          <w:p w14:paraId="55350D5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200" w:type="dxa"/>
            <w:tcBorders>
              <w:top w:val="nil"/>
              <w:left w:val="nil"/>
              <w:bottom w:val="single" w:color="auto" w:sz="4" w:space="0"/>
              <w:right w:val="nil"/>
            </w:tcBorders>
            <w:shd w:val="clear" w:color="auto" w:fill="auto"/>
            <w:noWrap/>
            <w:vAlign w:val="center"/>
          </w:tcPr>
          <w:p w14:paraId="5BCFCFAA">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290" w:type="dxa"/>
            <w:tcBorders>
              <w:top w:val="nil"/>
              <w:left w:val="nil"/>
              <w:bottom w:val="single" w:color="auto" w:sz="4" w:space="0"/>
              <w:right w:val="nil"/>
            </w:tcBorders>
            <w:shd w:val="clear" w:color="auto" w:fill="auto"/>
            <w:noWrap/>
            <w:vAlign w:val="center"/>
          </w:tcPr>
          <w:p w14:paraId="1C972C6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510" w:type="dxa"/>
            <w:tcBorders>
              <w:top w:val="nil"/>
              <w:left w:val="nil"/>
              <w:bottom w:val="single" w:color="auto" w:sz="4" w:space="0"/>
              <w:right w:val="nil"/>
            </w:tcBorders>
            <w:shd w:val="clear" w:color="auto" w:fill="auto"/>
            <w:noWrap/>
            <w:vAlign w:val="center"/>
          </w:tcPr>
          <w:p w14:paraId="4FE6DF87">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555" w:type="dxa"/>
            <w:tcBorders>
              <w:top w:val="nil"/>
              <w:left w:val="nil"/>
              <w:bottom w:val="single" w:color="auto" w:sz="4" w:space="0"/>
              <w:right w:val="nil"/>
            </w:tcBorders>
            <w:shd w:val="clear" w:color="auto" w:fill="auto"/>
            <w:noWrap/>
            <w:vAlign w:val="center"/>
          </w:tcPr>
          <w:p w14:paraId="4918605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1212" w:type="dxa"/>
            <w:tcBorders>
              <w:top w:val="nil"/>
              <w:left w:val="nil"/>
              <w:bottom w:val="single" w:color="auto" w:sz="4" w:space="0"/>
              <w:right w:val="nil"/>
            </w:tcBorders>
            <w:shd w:val="clear" w:color="auto" w:fill="auto"/>
            <w:noWrap/>
            <w:vAlign w:val="bottom"/>
          </w:tcPr>
          <w:p w14:paraId="65207C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15D20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853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BBEC3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0A6A2A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本年支出合计</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3BB6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本年收入</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25C381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项目支出</w:t>
            </w: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14:paraId="294FA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上缴上级支出</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14:paraId="7DECE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经营支出</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04BB6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70738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1D04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科目代码</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0BC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科目名称</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30BF9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403FA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4A2D51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14:paraId="514EC3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14:paraId="0C7D1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1B6884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22"/>
                <w:szCs w:val="22"/>
                <w:u w:val="none"/>
                <w:lang w:val="en-US" w:eastAsia="zh-CN" w:bidi="ar"/>
              </w:rPr>
            </w:pPr>
          </w:p>
        </w:tc>
      </w:tr>
      <w:tr w14:paraId="2B0E0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853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004F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栏次</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14:paraId="7FB8A3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8EE9F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1290" w:type="dxa"/>
            <w:tcBorders>
              <w:top w:val="single" w:color="auto" w:sz="4" w:space="0"/>
              <w:left w:val="single" w:color="auto" w:sz="4" w:space="0"/>
              <w:bottom w:val="single" w:color="auto" w:sz="4" w:space="0"/>
              <w:right w:val="single" w:color="auto" w:sz="4" w:space="0"/>
            </w:tcBorders>
            <w:shd w:val="clear" w:color="auto" w:fill="auto"/>
            <w:vAlign w:val="center"/>
          </w:tcPr>
          <w:p w14:paraId="354CE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14:paraId="375516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555" w:type="dxa"/>
            <w:tcBorders>
              <w:top w:val="single" w:color="auto" w:sz="4" w:space="0"/>
              <w:left w:val="single" w:color="auto" w:sz="4" w:space="0"/>
              <w:bottom w:val="single" w:color="auto" w:sz="4" w:space="0"/>
              <w:right w:val="single" w:color="auto" w:sz="4" w:space="0"/>
            </w:tcBorders>
            <w:shd w:val="clear" w:color="auto" w:fill="auto"/>
            <w:vAlign w:val="center"/>
          </w:tcPr>
          <w:p w14:paraId="0CB61B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c>
          <w:tcPr>
            <w:tcW w:w="1212" w:type="dxa"/>
            <w:tcBorders>
              <w:top w:val="single" w:color="auto" w:sz="4" w:space="0"/>
              <w:left w:val="single" w:color="auto" w:sz="4" w:space="0"/>
              <w:bottom w:val="single" w:color="auto" w:sz="4" w:space="0"/>
              <w:right w:val="single" w:color="auto" w:sz="4" w:space="0"/>
            </w:tcBorders>
            <w:shd w:val="clear" w:color="auto" w:fill="auto"/>
            <w:vAlign w:val="center"/>
          </w:tcPr>
          <w:p w14:paraId="45994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6</w:t>
            </w:r>
          </w:p>
        </w:tc>
      </w:tr>
      <w:tr w14:paraId="2A54E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8533"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AC6EC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3922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31,141.96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CB17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2,191.57</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CF7F7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28,950.39</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43F96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3B5F6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F913C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b/>
                <w:bCs/>
                <w:i w:val="0"/>
                <w:iCs w:val="0"/>
                <w:color w:val="000000"/>
                <w:sz w:val="22"/>
                <w:szCs w:val="22"/>
                <w:u w:val="none"/>
              </w:rPr>
            </w:pPr>
          </w:p>
        </w:tc>
      </w:tr>
      <w:tr w14:paraId="2FFF2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68B5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DDB6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39BFF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FF0A5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93FA6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33FF2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9509B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A95D5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CA2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A001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7D0D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13949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E0855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779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EF8A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F0729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9D3EE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16F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6473C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311C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F772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8CE43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0EC89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B4DE4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9B9BD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45DF9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5D7F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A99B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D86E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3C006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C588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59CA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DFAFA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720E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92392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736C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49BD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7C3A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E7EF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4D896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A3454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0131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5626D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90206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AE9E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E9A8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C2FC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021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2AA70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87D0F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15AC8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BEBFB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7797B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0BAA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2A689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4E0A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其他统战事务支出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B427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A925D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0911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C33A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1024E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5DA01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C0CE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DB40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8B0D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57A1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3280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232.30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5001C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43FBE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2CB31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45AFC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0162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74CD5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DC07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DF504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83B0C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568F2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C233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0CA6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72DD4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969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07A4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A033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7233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607A0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16100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1E675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F1256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BE24A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B2C5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EC64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479E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15E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88D32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44EEB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20F2E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DDED6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8985A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08B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FD3B0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2080705</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E83A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FBFB9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63CDE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2465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428E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2E813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9B933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9E98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D6C57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7F39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224B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618F4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A727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165D3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43CFC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07BDF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C803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8BD8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E556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74A14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DAE3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1F2CE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F16E2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FB0BE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E5D02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A610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32A9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00C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F9B54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6F6B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B7595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0E337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A04D0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66D79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FEA2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FD3E7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F38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A79FB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B978C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07A0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F3A6C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49A54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9E4B5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8174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F2DFF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9C28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6071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BECE3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4EF54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47FE7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7D3BD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BB873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FC8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377A9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29A6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5135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2BFD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3BFB8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3CAB1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DD39D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AC19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C00B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92958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B07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4CAF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E80CB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DB0C0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646E0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35724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8FB2D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EBE8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D68AF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568E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B21B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3F4F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6BCA5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F6AAE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DBFD0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55979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E376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73B3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4C7C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959FF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EC12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1,793.05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39D5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23,967.48</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4673E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6642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AFF63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6961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06209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FA52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8F47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11,383.47</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C4572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1,434.75</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B50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9,948.72</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B9CE6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8BB3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C24B9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54B9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B9AB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A8BC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7EBF3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1,248.30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BDD07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1,248.30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2286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8C4A1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1CE9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B221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4EBE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8662E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4D1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E8892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BF50C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B2C7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F6290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62029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CDC93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6C0B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AAC0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376D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科技转化与推广服务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1AFE9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85466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3540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6CA8A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3D4AD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B8F82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296D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2132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5566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病虫害控制</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325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A05F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24.94</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D812C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43964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973C0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CC45A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C53A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B0AE7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2F83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农产品质量安全</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C373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71.13</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96A38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F09A5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71.13</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1E5D8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6549F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72668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701F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66ED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E13B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执法监管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843B5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1720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22.11</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F57E0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88650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4B71C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5F186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E64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FBC0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FEC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统计监测与信息服务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8E024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AE694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8267F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D2707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37F0B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15A61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E630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4C1A3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2130120</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B74F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稳定农民收入补贴</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1D8FC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5,841.71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34B52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236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5,841.71</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C552C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E8F49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47B75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948D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F4D4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1A41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农业结构调整补贴</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6A0A9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184.42</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8C222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CAF08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184.42</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8F122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1E844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A9A81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D658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E38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9555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E65E3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A3D8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58E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134.62</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B0790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9C85C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0A15C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624A2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03521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0930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41767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2536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DECF5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0AF86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8BB8B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9D398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01C2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F3BE9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C309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农业生态资源保护</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58D16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D6A7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62BC9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518.66</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6C20F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EA96E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15065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DB6E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8C4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4122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耕地建设与利用</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0AAE1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2,040.96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54D80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A3D8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2,040.96</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ABA98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B2A8F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64291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15B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7948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B3BF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8E127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975.06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5C16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43.63</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2A298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931.43</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8E7A1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29DF0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C4DA7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EDC1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7336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6D97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2236E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12,940.96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D847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358.30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91955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12,582.65</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54B6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14C4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DA0BB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B1DF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F128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32F2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184A1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192.28</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6149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192.28</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7C71B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1B0B9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FCD2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F014F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11E1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1635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B9E7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67BA6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153.17</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A7B92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998C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153.17</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9ACE4B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E513B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0C96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1FEA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20BC5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E3E6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4A612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2,499.44</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9621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CC87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2,499.44</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6B349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04DA2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B4D2B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480C4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EA20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2130507</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8EFB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贷款奖补和贴息</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23D65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6CCCE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B59E8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165.86</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52ACA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BA7E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F49C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E431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FBD9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6582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C0027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9,930.21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F61C5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166.02</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CB8F8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9,764.19</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CAE54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E84AF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DE832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983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541A4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B8AB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49605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CCB23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3D83E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32B7F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DE417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CAAC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6A37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3B47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4FF1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其他目标价格补贴</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2FD9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F068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993D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DFB10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3272E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606F4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430C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356C4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AA3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252CA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0C14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17945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4DD34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21099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461C5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163B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6EBF2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88D6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94B06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BAFC7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E046B0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2FA4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D15A1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593E6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AD9C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FD6FD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630D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4A40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57CD6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D4355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12A52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AA10C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E58CB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2DFE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0CB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D7D5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FF8D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7AFB7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0DA4E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3FC89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45A1A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E6FD1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58C3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A497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0F53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1CEE3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DA000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2FE2F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5954D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C6D7C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17B9D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D7F3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3F325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731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其他金融发展支出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EDA39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BEAE3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C8CC3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2A35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F83F0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8006E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DECE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B656A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8E49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C1DE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8BC81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B6DB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DB8CC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B4C01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A9993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E8AA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61EE1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7EE48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E1C0F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4F0A5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EA726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4F261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352D8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AF7A3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EF7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CBEE6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0A76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FC7D53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A99F9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19FFB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A7BE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3928E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69926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2F16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93AC4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9C26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725F5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5553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11D7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A50E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8364F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07BDF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B508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A2FD2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AED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94289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517A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3DD28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498F5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7379A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C674A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9ED5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2E1D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6771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21BE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CF739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CD72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EB6A2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10362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2FB2A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628E1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93F2A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719A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18E56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431E8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7CB0E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D186D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21CED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E0A83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1878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91A3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89A8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B0E46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E948CA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A98B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46B7A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17F26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91732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5116B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4201"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E8C5C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433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625F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2C659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2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880D4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9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8613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C4CE7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55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5450C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121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B0451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054A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45" w:hRule="atLeast"/>
          <w:jc w:val="center"/>
        </w:trPr>
        <w:tc>
          <w:tcPr>
            <w:tcW w:w="14740" w:type="dxa"/>
            <w:gridSpan w:val="10"/>
            <w:tcBorders>
              <w:top w:val="single" w:color="auto" w:sz="4" w:space="0"/>
              <w:left w:val="nil"/>
              <w:bottom w:val="nil"/>
              <w:right w:val="nil"/>
            </w:tcBorders>
            <w:shd w:val="clear" w:color="auto" w:fill="auto"/>
            <w:noWrap/>
            <w:vAlign w:val="center"/>
          </w:tcPr>
          <w:p w14:paraId="649B8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45953D90">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7B132D99">
      <w:pPr>
        <w:tabs>
          <w:tab w:val="left" w:pos="3270"/>
          <w:tab w:val="left" w:pos="3840"/>
          <w:tab w:val="left" w:pos="5520"/>
          <w:tab w:val="left" w:pos="9180"/>
          <w:tab w:val="left" w:pos="9750"/>
          <w:tab w:val="left" w:pos="11430"/>
          <w:tab w:val="left" w:pos="13110"/>
          <w:tab w:val="left" w:pos="14790"/>
        </w:tabs>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黑体" w:hAnsi="宋体" w:eastAsia="黑体" w:cs="黑体"/>
          <w:i w:val="0"/>
          <w:iCs w:val="0"/>
          <w:color w:val="000000"/>
          <w:kern w:val="0"/>
          <w:sz w:val="30"/>
          <w:szCs w:val="30"/>
          <w:u w:val="none"/>
          <w:lang w:val="en-US" w:eastAsia="zh-CN" w:bidi="ar"/>
        </w:rPr>
        <w:t>财政拨款收入支出决算总表</w:t>
      </w:r>
      <w:r>
        <w:rPr>
          <w:rFonts w:ascii="黑体" w:hAnsi="宋体" w:eastAsia="黑体" w:cs="黑体"/>
          <w:i w:val="0"/>
          <w:iCs w:val="0"/>
          <w:color w:val="000000"/>
          <w:sz w:val="30"/>
          <w:szCs w:val="30"/>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p>
    <w:tbl>
      <w:tblPr>
        <w:tblStyle w:val="11"/>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28" w:type="dxa"/>
          <w:bottom w:w="0" w:type="dxa"/>
          <w:right w:w="28" w:type="dxa"/>
        </w:tblCellMar>
      </w:tblPr>
      <w:tblGrid>
        <w:gridCol w:w="2692"/>
        <w:gridCol w:w="433"/>
        <w:gridCol w:w="903"/>
        <w:gridCol w:w="2880"/>
        <w:gridCol w:w="433"/>
        <w:gridCol w:w="903"/>
        <w:gridCol w:w="1939"/>
        <w:gridCol w:w="2127"/>
        <w:gridCol w:w="2316"/>
      </w:tblGrid>
      <w:tr w14:paraId="384E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48" w:hRule="atLeast"/>
          <w:jc w:val="center"/>
        </w:trPr>
        <w:tc>
          <w:tcPr>
            <w:tcW w:w="0" w:type="auto"/>
            <w:tcBorders>
              <w:top w:val="nil"/>
              <w:left w:val="nil"/>
              <w:bottom w:val="nil"/>
              <w:right w:val="nil"/>
            </w:tcBorders>
            <w:shd w:val="clear" w:color="auto" w:fill="auto"/>
            <w:noWrap/>
            <w:vAlign w:val="center"/>
          </w:tcPr>
          <w:p w14:paraId="7AAC5D9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0B2688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B12D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F088E1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D02BB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F0854D8">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0EDD723">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3C7A141">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2C7CD97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36491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48" w:hRule="atLeast"/>
          <w:jc w:val="center"/>
        </w:trPr>
        <w:tc>
          <w:tcPr>
            <w:tcW w:w="0" w:type="auto"/>
            <w:tcBorders>
              <w:top w:val="nil"/>
              <w:left w:val="nil"/>
              <w:bottom w:val="single" w:color="auto" w:sz="4" w:space="0"/>
              <w:right w:val="nil"/>
            </w:tcBorders>
            <w:shd w:val="clear" w:color="auto" w:fill="auto"/>
            <w:noWrap/>
            <w:vAlign w:val="bottom"/>
          </w:tcPr>
          <w:p w14:paraId="5870112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single" w:color="auto" w:sz="4" w:space="0"/>
              <w:right w:val="nil"/>
            </w:tcBorders>
            <w:shd w:val="clear" w:color="auto" w:fill="auto"/>
            <w:noWrap/>
            <w:vAlign w:val="center"/>
          </w:tcPr>
          <w:p w14:paraId="58BE2DA0">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37E06904">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52A8C5D7">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1A6455C4">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3C5C00E0">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74E42A17">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34C2646F">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bottom"/>
          </w:tcPr>
          <w:p w14:paraId="5D56866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BDD9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364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0CFE2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5AAAD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82DC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8B988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ED8D87">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8B8E6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04788B">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02AA7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B381CE">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CA5E3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8E325F">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6C4B1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ED233D">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7B51CB">
            <w:pPr>
              <w:jc w:val="center"/>
              <w:rPr>
                <w:rFonts w:hint="eastAsia" w:ascii="宋体" w:hAnsi="宋体" w:eastAsia="宋体" w:cs="宋体"/>
                <w:i w:val="0"/>
                <w:iCs w:val="0"/>
                <w:color w:val="000000"/>
                <w:kern w:val="2"/>
                <w:sz w:val="22"/>
                <w:szCs w:val="22"/>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F6E69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A3609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C86BB2">
            <w:pPr>
              <w:jc w:val="center"/>
              <w:rPr>
                <w:rFonts w:hint="eastAsia" w:ascii="宋体" w:hAnsi="宋体" w:eastAsia="宋体" w:cs="宋体"/>
                <w:i w:val="0"/>
                <w:iCs w:val="0"/>
                <w:color w:val="000000"/>
                <w:kern w:val="2"/>
                <w:sz w:val="22"/>
                <w:szCs w:val="22"/>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7D8000">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66F8F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B3A013">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1091E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5</w:t>
            </w:r>
          </w:p>
        </w:tc>
      </w:tr>
      <w:tr w14:paraId="76B52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7023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105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694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27,999.46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124CA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EC8C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9B58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3160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1DE9F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C99AE5">
            <w:pPr>
              <w:jc w:val="right"/>
              <w:rPr>
                <w:rFonts w:hint="eastAsia" w:ascii="宋体" w:hAnsi="宋体" w:eastAsia="宋体" w:cs="宋体"/>
                <w:i w:val="0"/>
                <w:iCs w:val="0"/>
                <w:color w:val="000000"/>
                <w:sz w:val="22"/>
                <w:szCs w:val="22"/>
                <w:u w:val="none"/>
              </w:rPr>
            </w:pPr>
          </w:p>
        </w:tc>
      </w:tr>
      <w:tr w14:paraId="24399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E1A2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CC2C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A426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DF7A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B902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1534AB">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D4DBD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1A2F6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75780C">
            <w:pPr>
              <w:jc w:val="right"/>
              <w:rPr>
                <w:rFonts w:hint="eastAsia" w:ascii="宋体" w:hAnsi="宋体" w:eastAsia="宋体" w:cs="宋体"/>
                <w:i w:val="0"/>
                <w:iCs w:val="0"/>
                <w:color w:val="000000"/>
                <w:sz w:val="22"/>
                <w:szCs w:val="22"/>
                <w:u w:val="none"/>
              </w:rPr>
            </w:pPr>
          </w:p>
        </w:tc>
      </w:tr>
      <w:tr w14:paraId="3997F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54AB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D8F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7D61D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6097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678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CF711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5A590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9DCE8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6D47D8">
            <w:pPr>
              <w:jc w:val="right"/>
              <w:rPr>
                <w:rFonts w:hint="eastAsia" w:ascii="宋体" w:hAnsi="宋体" w:eastAsia="宋体" w:cs="宋体"/>
                <w:i w:val="0"/>
                <w:iCs w:val="0"/>
                <w:color w:val="000000"/>
                <w:sz w:val="22"/>
                <w:szCs w:val="22"/>
                <w:u w:val="none"/>
              </w:rPr>
            </w:pPr>
          </w:p>
        </w:tc>
      </w:tr>
      <w:tr w14:paraId="2BF18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E7E5C2">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F08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B60C8C">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5B7E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0CB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32CAF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309C4C">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1E64B1">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D62A80">
            <w:pPr>
              <w:jc w:val="right"/>
              <w:rPr>
                <w:rFonts w:hint="eastAsia" w:ascii="宋体" w:hAnsi="宋体" w:eastAsia="宋体" w:cs="宋体"/>
                <w:i w:val="0"/>
                <w:iCs w:val="0"/>
                <w:color w:val="000000"/>
                <w:sz w:val="22"/>
                <w:szCs w:val="22"/>
                <w:u w:val="none"/>
              </w:rPr>
            </w:pPr>
          </w:p>
        </w:tc>
      </w:tr>
      <w:tr w14:paraId="68DAE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8041F4">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1BE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04532B">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1847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AEF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88F9A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1391A9">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397207">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F3D11E">
            <w:pPr>
              <w:jc w:val="right"/>
              <w:rPr>
                <w:rFonts w:hint="eastAsia" w:ascii="宋体" w:hAnsi="宋体" w:eastAsia="宋体" w:cs="宋体"/>
                <w:i w:val="0"/>
                <w:iCs w:val="0"/>
                <w:color w:val="000000"/>
                <w:sz w:val="22"/>
                <w:szCs w:val="22"/>
                <w:u w:val="none"/>
              </w:rPr>
            </w:pPr>
          </w:p>
        </w:tc>
      </w:tr>
      <w:tr w14:paraId="76B5D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5161DC">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2F19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C34239">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695A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B73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DAE8D5">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71F7F3">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96AB93">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C4F511">
            <w:pPr>
              <w:jc w:val="right"/>
              <w:rPr>
                <w:rFonts w:hint="eastAsia" w:ascii="宋体" w:hAnsi="宋体" w:eastAsia="宋体" w:cs="宋体"/>
                <w:i w:val="0"/>
                <w:iCs w:val="0"/>
                <w:color w:val="000000"/>
                <w:sz w:val="22"/>
                <w:szCs w:val="22"/>
                <w:u w:val="none"/>
              </w:rPr>
            </w:pPr>
          </w:p>
        </w:tc>
      </w:tr>
      <w:tr w14:paraId="3A7C1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5D988A">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5610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3B2E6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FD76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97E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3A6BA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EAD352">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AB809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021D69">
            <w:pPr>
              <w:jc w:val="right"/>
              <w:rPr>
                <w:rFonts w:hint="eastAsia" w:ascii="宋体" w:hAnsi="宋体" w:eastAsia="宋体" w:cs="宋体"/>
                <w:i w:val="0"/>
                <w:iCs w:val="0"/>
                <w:color w:val="000000"/>
                <w:sz w:val="22"/>
                <w:szCs w:val="22"/>
                <w:u w:val="none"/>
              </w:rPr>
            </w:pPr>
          </w:p>
        </w:tc>
      </w:tr>
      <w:tr w14:paraId="5CDB2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77735D">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123D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DDB69B">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1806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1794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0F06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2212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DC7BCC">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4D6AD1">
            <w:pPr>
              <w:jc w:val="right"/>
              <w:rPr>
                <w:rFonts w:hint="eastAsia" w:ascii="宋体" w:hAnsi="宋体" w:eastAsia="宋体" w:cs="宋体"/>
                <w:i w:val="0"/>
                <w:iCs w:val="0"/>
                <w:color w:val="000000"/>
                <w:sz w:val="22"/>
                <w:szCs w:val="22"/>
                <w:u w:val="none"/>
              </w:rPr>
            </w:pPr>
          </w:p>
        </w:tc>
      </w:tr>
      <w:tr w14:paraId="212C7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0832C0">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91A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D5D7B4">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003B7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05EC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24F2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4D69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2C6C3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1072F0">
            <w:pPr>
              <w:jc w:val="right"/>
              <w:rPr>
                <w:rFonts w:hint="eastAsia" w:ascii="宋体" w:hAnsi="宋体" w:eastAsia="宋体" w:cs="宋体"/>
                <w:i w:val="0"/>
                <w:iCs w:val="0"/>
                <w:color w:val="000000"/>
                <w:sz w:val="22"/>
                <w:szCs w:val="22"/>
                <w:u w:val="none"/>
              </w:rPr>
            </w:pPr>
          </w:p>
        </w:tc>
      </w:tr>
      <w:tr w14:paraId="11F80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85F102">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9D8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1FB03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07F39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771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30D4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5ED8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671325">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8989D4">
            <w:pPr>
              <w:jc w:val="right"/>
              <w:rPr>
                <w:rFonts w:hint="eastAsia" w:ascii="宋体" w:hAnsi="宋体" w:eastAsia="宋体" w:cs="宋体"/>
                <w:i w:val="0"/>
                <w:iCs w:val="0"/>
                <w:color w:val="000000"/>
                <w:sz w:val="22"/>
                <w:szCs w:val="22"/>
                <w:u w:val="none"/>
              </w:rPr>
            </w:pPr>
          </w:p>
        </w:tc>
      </w:tr>
      <w:tr w14:paraId="0EC9A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C5741D">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172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EE6091">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B321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F511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08F803">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867EB3">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336714">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652FDE">
            <w:pPr>
              <w:jc w:val="right"/>
              <w:rPr>
                <w:rFonts w:hint="eastAsia" w:ascii="宋体" w:hAnsi="宋体" w:eastAsia="宋体" w:cs="宋体"/>
                <w:i w:val="0"/>
                <w:iCs w:val="0"/>
                <w:color w:val="000000"/>
                <w:sz w:val="22"/>
                <w:szCs w:val="22"/>
                <w:u w:val="none"/>
              </w:rPr>
            </w:pPr>
          </w:p>
        </w:tc>
      </w:tr>
      <w:tr w14:paraId="121C9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0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8EEE4A">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424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B5970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6C54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054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1B8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BDCA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47FBB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94DF17">
            <w:pPr>
              <w:jc w:val="right"/>
              <w:rPr>
                <w:rFonts w:hint="eastAsia" w:ascii="宋体" w:hAnsi="宋体" w:eastAsia="宋体" w:cs="宋体"/>
                <w:i w:val="0"/>
                <w:iCs w:val="0"/>
                <w:color w:val="000000"/>
                <w:sz w:val="22"/>
                <w:szCs w:val="22"/>
                <w:u w:val="none"/>
              </w:rPr>
            </w:pPr>
          </w:p>
        </w:tc>
      </w:tr>
      <w:tr w14:paraId="116D3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5C507B0">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ACE2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40EB2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7E2E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1505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62E297">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8DE9C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AEA315">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13C105">
            <w:pPr>
              <w:jc w:val="right"/>
              <w:rPr>
                <w:rFonts w:hint="eastAsia" w:ascii="宋体" w:hAnsi="宋体" w:eastAsia="宋体" w:cs="宋体"/>
                <w:i w:val="0"/>
                <w:iCs w:val="0"/>
                <w:color w:val="000000"/>
                <w:sz w:val="22"/>
                <w:szCs w:val="22"/>
                <w:u w:val="none"/>
              </w:rPr>
            </w:pPr>
          </w:p>
        </w:tc>
      </w:tr>
      <w:tr w14:paraId="10AA8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047056">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B127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6DC36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1C52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3E48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9B42E1">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F4D6B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1BCCA1">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C2A2D3">
            <w:pPr>
              <w:jc w:val="right"/>
              <w:rPr>
                <w:rFonts w:hint="eastAsia" w:ascii="宋体" w:hAnsi="宋体" w:eastAsia="宋体" w:cs="宋体"/>
                <w:i w:val="0"/>
                <w:iCs w:val="0"/>
                <w:color w:val="000000"/>
                <w:sz w:val="22"/>
                <w:szCs w:val="22"/>
                <w:u w:val="none"/>
              </w:rPr>
            </w:pPr>
          </w:p>
        </w:tc>
      </w:tr>
      <w:tr w14:paraId="68370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7CFD24">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3197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4A0880">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C71B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101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42F3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896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C916B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C3F324">
            <w:pPr>
              <w:jc w:val="right"/>
              <w:rPr>
                <w:rFonts w:hint="eastAsia" w:ascii="宋体" w:hAnsi="宋体" w:eastAsia="宋体" w:cs="宋体"/>
                <w:i w:val="0"/>
                <w:iCs w:val="0"/>
                <w:color w:val="000000"/>
                <w:sz w:val="22"/>
                <w:szCs w:val="22"/>
                <w:u w:val="none"/>
              </w:rPr>
            </w:pPr>
          </w:p>
        </w:tc>
      </w:tr>
      <w:tr w14:paraId="600AA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1029F0">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A7EC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A9F5E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A229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C2E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F8B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944D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8F6CA4">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0712A8">
            <w:pPr>
              <w:jc w:val="right"/>
              <w:rPr>
                <w:rFonts w:hint="eastAsia" w:ascii="宋体" w:hAnsi="宋体" w:eastAsia="宋体" w:cs="宋体"/>
                <w:i w:val="0"/>
                <w:iCs w:val="0"/>
                <w:color w:val="000000"/>
                <w:sz w:val="22"/>
                <w:szCs w:val="22"/>
                <w:u w:val="none"/>
              </w:rPr>
            </w:pPr>
          </w:p>
        </w:tc>
      </w:tr>
      <w:tr w14:paraId="03A70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6E4BBF">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3C1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118B8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6948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A4BD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D92B70">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B471C7">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60540B">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56678B">
            <w:pPr>
              <w:jc w:val="right"/>
              <w:rPr>
                <w:rFonts w:hint="eastAsia" w:ascii="宋体" w:hAnsi="宋体" w:eastAsia="宋体" w:cs="宋体"/>
                <w:i w:val="0"/>
                <w:iCs w:val="0"/>
                <w:color w:val="000000"/>
                <w:sz w:val="22"/>
                <w:szCs w:val="22"/>
                <w:u w:val="none"/>
              </w:rPr>
            </w:pPr>
          </w:p>
        </w:tc>
      </w:tr>
      <w:tr w14:paraId="4248E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C8DEBA">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DDD5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946A02">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A15E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5087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A75044">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D53CB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3236C3">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E5CC19">
            <w:pPr>
              <w:jc w:val="right"/>
              <w:rPr>
                <w:rFonts w:hint="eastAsia" w:ascii="宋体" w:hAnsi="宋体" w:eastAsia="宋体" w:cs="宋体"/>
                <w:i w:val="0"/>
                <w:iCs w:val="0"/>
                <w:color w:val="000000"/>
                <w:sz w:val="22"/>
                <w:szCs w:val="22"/>
                <w:u w:val="none"/>
              </w:rPr>
            </w:pPr>
          </w:p>
        </w:tc>
      </w:tr>
      <w:tr w14:paraId="3286B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357BAD">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802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DFCFD1">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6AC9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7823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20A9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B800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2392B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BA38E47">
            <w:pPr>
              <w:jc w:val="right"/>
              <w:rPr>
                <w:rFonts w:hint="eastAsia" w:ascii="宋体" w:hAnsi="宋体" w:eastAsia="宋体" w:cs="宋体"/>
                <w:i w:val="0"/>
                <w:iCs w:val="0"/>
                <w:color w:val="000000"/>
                <w:sz w:val="22"/>
                <w:szCs w:val="22"/>
                <w:u w:val="none"/>
              </w:rPr>
            </w:pPr>
          </w:p>
        </w:tc>
      </w:tr>
      <w:tr w14:paraId="3C0EA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C5F9B7">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3988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23249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8BCD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347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7FC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1C39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C684E9">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BFD3C4">
            <w:pPr>
              <w:jc w:val="right"/>
              <w:rPr>
                <w:rFonts w:hint="eastAsia" w:ascii="宋体" w:hAnsi="宋体" w:eastAsia="宋体" w:cs="宋体"/>
                <w:i w:val="0"/>
                <w:iCs w:val="0"/>
                <w:color w:val="000000"/>
                <w:sz w:val="22"/>
                <w:szCs w:val="22"/>
                <w:u w:val="none"/>
              </w:rPr>
            </w:pPr>
          </w:p>
        </w:tc>
      </w:tr>
      <w:tr w14:paraId="1074C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815B8C">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0016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95DA6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258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6CF1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C3789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53719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A0342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9F7F37">
            <w:pPr>
              <w:jc w:val="right"/>
              <w:rPr>
                <w:rFonts w:hint="eastAsia" w:ascii="宋体" w:hAnsi="宋体" w:eastAsia="宋体" w:cs="宋体"/>
                <w:i w:val="0"/>
                <w:iCs w:val="0"/>
                <w:color w:val="000000"/>
                <w:sz w:val="22"/>
                <w:szCs w:val="22"/>
                <w:u w:val="none"/>
              </w:rPr>
            </w:pPr>
          </w:p>
        </w:tc>
      </w:tr>
      <w:tr w14:paraId="60EEC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A7AB80">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8979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11749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C68A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B6E8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BE52E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E7C75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092765">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087BBF">
            <w:pPr>
              <w:jc w:val="right"/>
              <w:rPr>
                <w:rFonts w:hint="eastAsia" w:ascii="宋体" w:hAnsi="宋体" w:eastAsia="宋体" w:cs="宋体"/>
                <w:i w:val="0"/>
                <w:iCs w:val="0"/>
                <w:color w:val="000000"/>
                <w:sz w:val="22"/>
                <w:szCs w:val="22"/>
                <w:u w:val="none"/>
              </w:rPr>
            </w:pPr>
          </w:p>
        </w:tc>
      </w:tr>
      <w:tr w14:paraId="65B73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08310F">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3A9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C5D39A">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63C1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66CB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7CAC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2D7E6F">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15CC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03214B">
            <w:pPr>
              <w:jc w:val="right"/>
              <w:rPr>
                <w:rFonts w:hint="eastAsia" w:ascii="宋体" w:hAnsi="宋体" w:eastAsia="宋体" w:cs="宋体"/>
                <w:i w:val="0"/>
                <w:iCs w:val="0"/>
                <w:color w:val="000000"/>
                <w:sz w:val="22"/>
                <w:szCs w:val="22"/>
                <w:u w:val="none"/>
              </w:rPr>
            </w:pPr>
          </w:p>
        </w:tc>
      </w:tr>
      <w:tr w14:paraId="2056D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08D486">
            <w:pPr>
              <w:jc w:val="center"/>
              <w:rPr>
                <w:rFonts w:hint="eastAsia" w:ascii="宋体" w:hAnsi="宋体" w:eastAsia="宋体" w:cs="宋体"/>
                <w:b/>
                <w:bCs/>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59E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B3AA8C">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72AC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88C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BBAFE0">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6F0EE2">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864A2B">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3059A8">
            <w:pPr>
              <w:jc w:val="right"/>
              <w:rPr>
                <w:rFonts w:hint="eastAsia" w:ascii="宋体" w:hAnsi="宋体" w:eastAsia="宋体" w:cs="宋体"/>
                <w:i w:val="0"/>
                <w:iCs w:val="0"/>
                <w:color w:val="000000"/>
                <w:sz w:val="22"/>
                <w:szCs w:val="22"/>
                <w:u w:val="none"/>
              </w:rPr>
            </w:pPr>
          </w:p>
        </w:tc>
      </w:tr>
      <w:tr w14:paraId="39EFC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8708D0">
            <w:pPr>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D74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037F65">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C210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158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AE23A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CF6506">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4E42FC">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0A90F2">
            <w:pPr>
              <w:jc w:val="right"/>
              <w:rPr>
                <w:rFonts w:hint="eastAsia" w:ascii="宋体" w:hAnsi="宋体" w:eastAsia="宋体" w:cs="宋体"/>
                <w:i w:val="0"/>
                <w:iCs w:val="0"/>
                <w:color w:val="000000"/>
                <w:sz w:val="22"/>
                <w:szCs w:val="22"/>
                <w:u w:val="none"/>
              </w:rPr>
            </w:pPr>
          </w:p>
        </w:tc>
      </w:tr>
      <w:tr w14:paraId="01378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5C96E0">
            <w:pPr>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28D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3B14B3">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2040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FA60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E0625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7073CB">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264C69">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5927696">
            <w:pPr>
              <w:jc w:val="right"/>
              <w:rPr>
                <w:rFonts w:hint="eastAsia" w:ascii="宋体" w:hAnsi="宋体" w:eastAsia="宋体" w:cs="宋体"/>
                <w:i w:val="0"/>
                <w:iCs w:val="0"/>
                <w:color w:val="000000"/>
                <w:sz w:val="22"/>
                <w:szCs w:val="22"/>
                <w:u w:val="none"/>
              </w:rPr>
            </w:pPr>
          </w:p>
        </w:tc>
      </w:tr>
      <w:tr w14:paraId="115DC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0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27D2A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DC4A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51CC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C8414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F1F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4FDA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FA8B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27,999.46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7994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C21541">
            <w:pPr>
              <w:jc w:val="right"/>
              <w:rPr>
                <w:rFonts w:hint="eastAsia" w:ascii="宋体" w:hAnsi="宋体" w:eastAsia="宋体" w:cs="宋体"/>
                <w:i w:val="0"/>
                <w:iCs w:val="0"/>
                <w:color w:val="000000"/>
                <w:sz w:val="22"/>
                <w:szCs w:val="22"/>
                <w:u w:val="none"/>
              </w:rPr>
            </w:pPr>
          </w:p>
        </w:tc>
      </w:tr>
      <w:tr w14:paraId="1E4D0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2907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196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9910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76DE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FA6E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0BF6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EB2C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6CFF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729604">
            <w:pPr>
              <w:jc w:val="right"/>
              <w:rPr>
                <w:rFonts w:hint="eastAsia" w:ascii="宋体" w:hAnsi="宋体" w:eastAsia="宋体" w:cs="宋体"/>
                <w:i w:val="0"/>
                <w:iCs w:val="0"/>
                <w:color w:val="000000"/>
                <w:sz w:val="22"/>
                <w:szCs w:val="22"/>
                <w:u w:val="none"/>
              </w:rPr>
            </w:pPr>
          </w:p>
        </w:tc>
      </w:tr>
      <w:tr w14:paraId="5603A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7B08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246F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E0DA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F42D99">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8EB7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F8B45C">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99B2C4">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E6B97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501272">
            <w:pPr>
              <w:jc w:val="right"/>
              <w:rPr>
                <w:rFonts w:hint="eastAsia" w:ascii="宋体" w:hAnsi="宋体" w:eastAsia="宋体" w:cs="宋体"/>
                <w:i w:val="0"/>
                <w:iCs w:val="0"/>
                <w:color w:val="000000"/>
                <w:sz w:val="22"/>
                <w:szCs w:val="22"/>
                <w:u w:val="none"/>
              </w:rPr>
            </w:pPr>
          </w:p>
        </w:tc>
      </w:tr>
      <w:tr w14:paraId="468C5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DB9C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C73E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7983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DAF67EE">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0ED96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CA7030">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54C90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70AF76">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CCE62B">
            <w:pPr>
              <w:jc w:val="right"/>
              <w:rPr>
                <w:rFonts w:hint="eastAsia" w:ascii="宋体" w:hAnsi="宋体" w:eastAsia="宋体" w:cs="宋体"/>
                <w:i w:val="0"/>
                <w:iCs w:val="0"/>
                <w:color w:val="000000"/>
                <w:sz w:val="22"/>
                <w:szCs w:val="22"/>
                <w:u w:val="none"/>
              </w:rPr>
            </w:pPr>
          </w:p>
        </w:tc>
      </w:tr>
      <w:tr w14:paraId="0F977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2A06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015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761B1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6814C8">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413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F3712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2B7746">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2927E7">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15D3B4">
            <w:pPr>
              <w:jc w:val="right"/>
              <w:rPr>
                <w:rFonts w:hint="eastAsia" w:ascii="宋体" w:hAnsi="宋体" w:eastAsia="宋体" w:cs="宋体"/>
                <w:i w:val="0"/>
                <w:iCs w:val="0"/>
                <w:color w:val="000000"/>
                <w:sz w:val="22"/>
                <w:szCs w:val="22"/>
                <w:u w:val="none"/>
              </w:rPr>
            </w:pPr>
          </w:p>
        </w:tc>
      </w:tr>
      <w:tr w14:paraId="52D80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0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3974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B72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8EBA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777E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E926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A7714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31,141.96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162F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27,999.46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4480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965356">
            <w:pPr>
              <w:jc w:val="right"/>
              <w:rPr>
                <w:rFonts w:hint="eastAsia" w:ascii="宋体" w:hAnsi="宋体" w:eastAsia="宋体" w:cs="宋体"/>
                <w:i w:val="0"/>
                <w:iCs w:val="0"/>
                <w:color w:val="000000"/>
                <w:sz w:val="22"/>
                <w:szCs w:val="22"/>
                <w:u w:val="none"/>
              </w:rPr>
            </w:pPr>
          </w:p>
        </w:tc>
      </w:tr>
      <w:tr w14:paraId="0B128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153" w:hRule="atLeast"/>
          <w:jc w:val="center"/>
        </w:trPr>
        <w:tc>
          <w:tcPr>
            <w:tcW w:w="0" w:type="auto"/>
            <w:gridSpan w:val="8"/>
            <w:tcBorders>
              <w:top w:val="single" w:color="auto" w:sz="4" w:space="0"/>
              <w:left w:val="nil"/>
              <w:bottom w:val="nil"/>
              <w:right w:val="nil"/>
            </w:tcBorders>
            <w:shd w:val="clear" w:color="auto" w:fill="auto"/>
            <w:noWrap/>
            <w:vAlign w:val="center"/>
          </w:tcPr>
          <w:p w14:paraId="03203E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single" w:color="auto" w:sz="4" w:space="0"/>
              <w:left w:val="nil"/>
              <w:bottom w:val="nil"/>
              <w:right w:val="nil"/>
            </w:tcBorders>
            <w:shd w:val="clear" w:color="auto" w:fill="auto"/>
            <w:noWrap/>
            <w:vAlign w:val="center"/>
          </w:tcPr>
          <w:p w14:paraId="12CCC265">
            <w:pPr>
              <w:jc w:val="left"/>
              <w:rPr>
                <w:rFonts w:hint="eastAsia" w:ascii="宋体" w:hAnsi="宋体" w:eastAsia="宋体" w:cs="宋体"/>
                <w:i w:val="0"/>
                <w:iCs w:val="0"/>
                <w:color w:val="000000"/>
                <w:sz w:val="20"/>
                <w:szCs w:val="20"/>
                <w:u w:val="none"/>
              </w:rPr>
            </w:pPr>
          </w:p>
        </w:tc>
      </w:tr>
    </w:tbl>
    <w:p w14:paraId="1BFFB665">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02088307">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一般公共预算财政拨款支出决算表</w:t>
      </w:r>
    </w:p>
    <w:tbl>
      <w:tblPr>
        <w:tblStyle w:val="11"/>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88"/>
        <w:gridCol w:w="256"/>
        <w:gridCol w:w="256"/>
        <w:gridCol w:w="4690"/>
        <w:gridCol w:w="2250"/>
        <w:gridCol w:w="2250"/>
        <w:gridCol w:w="2250"/>
      </w:tblGrid>
      <w:tr w14:paraId="173CC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1" w:hRule="atLeast"/>
          <w:jc w:val="center"/>
        </w:trPr>
        <w:tc>
          <w:tcPr>
            <w:tcW w:w="0" w:type="auto"/>
            <w:tcBorders>
              <w:top w:val="nil"/>
              <w:left w:val="nil"/>
              <w:bottom w:val="nil"/>
              <w:right w:val="nil"/>
            </w:tcBorders>
            <w:shd w:val="clear" w:color="auto" w:fill="auto"/>
            <w:noWrap/>
            <w:vAlign w:val="center"/>
          </w:tcPr>
          <w:p w14:paraId="1E6BDDF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746A22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87595CF">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A4B66F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5212469">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B2E22BC">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4BA383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31DE8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0" w:type="auto"/>
            <w:tcBorders>
              <w:top w:val="nil"/>
              <w:left w:val="nil"/>
              <w:bottom w:val="single" w:color="auto" w:sz="4" w:space="0"/>
              <w:right w:val="nil"/>
            </w:tcBorders>
            <w:shd w:val="clear" w:color="auto" w:fill="auto"/>
            <w:noWrap/>
            <w:vAlign w:val="bottom"/>
          </w:tcPr>
          <w:p w14:paraId="136EF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single" w:color="auto" w:sz="4" w:space="0"/>
              <w:right w:val="nil"/>
            </w:tcBorders>
            <w:shd w:val="clear" w:color="auto" w:fill="auto"/>
            <w:noWrap/>
            <w:vAlign w:val="center"/>
          </w:tcPr>
          <w:p w14:paraId="38631DD4">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73DA4CFE">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4D64BAB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7B1F74F3">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2410D4CB">
            <w:pPr>
              <w:keepNext w:val="0"/>
              <w:keepLines w:val="0"/>
              <w:pageBreakBefore w:val="0"/>
              <w:widowControl/>
              <w:kinsoku/>
              <w:wordWrap/>
              <w:overflowPunct/>
              <w:topLinePunct w:val="0"/>
              <w:autoSpaceDE/>
              <w:autoSpaceDN/>
              <w:bidi w:val="0"/>
              <w:adjustRightInd/>
              <w:snapToGrid/>
              <w:spacing w:line="240" w:lineRule="exac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bottom"/>
          </w:tcPr>
          <w:p w14:paraId="7981F4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03EDD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0609E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5E03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2780E0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248"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04E2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C040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A2E8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3AD7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E8D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3C233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248"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BD4DE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935B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21D7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3FF71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7C50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175C2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jc w:val="center"/>
        </w:trPr>
        <w:tc>
          <w:tcPr>
            <w:tcW w:w="3248"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54C9D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B975A3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8298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2D40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c>
          <w:tcPr>
            <w:tcW w:w="22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2A23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u w:val="none"/>
              </w:rPr>
            </w:pPr>
          </w:p>
        </w:tc>
      </w:tr>
      <w:tr w14:paraId="47DB7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1D18EA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F311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2299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8EC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C0DD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855B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854DF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27,999.46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857C82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2,191.57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494D0B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25,807.88</w:t>
            </w:r>
          </w:p>
        </w:tc>
      </w:tr>
      <w:tr w14:paraId="5A9F9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A2B1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D218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75294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0F140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AB0F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61.25</w:t>
            </w:r>
          </w:p>
        </w:tc>
      </w:tr>
      <w:tr w14:paraId="65AE2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4A134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1A77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发展与改革事务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7AB05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B0154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810B8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r>
      <w:tr w14:paraId="22224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E8509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2010499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C05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其他发展与改革事务支出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BA138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AB8919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2C753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57.50</w:t>
            </w:r>
          </w:p>
        </w:tc>
      </w:tr>
      <w:tr w14:paraId="58EFA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38C50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E9DEF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纪检监察事务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E7EA1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662D3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F2782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r>
      <w:tr w14:paraId="2482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CD779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2011102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75EF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C42C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D8EBF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4CC63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3.20</w:t>
            </w:r>
          </w:p>
        </w:tc>
      </w:tr>
      <w:tr w14:paraId="0CEC8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E2EFE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F391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统战事务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44315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E0EA01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9F2F8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r>
      <w:tr w14:paraId="74A9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C664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2013499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34B6D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其他统战事务支出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EB90F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7E5AB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95462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0.55</w:t>
            </w:r>
          </w:p>
        </w:tc>
      </w:tr>
      <w:tr w14:paraId="500AF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2D255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2E7F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4FC62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958.55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3078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C0FCD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r>
      <w:tr w14:paraId="32238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35C38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AD18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2C55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B3BC3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C5A06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73C9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1231A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56A97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5D2B0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943F2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792D9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3CC6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2A734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EA010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就业补助</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71D78A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50E04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B9D9D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r>
      <w:tr w14:paraId="5E804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829D9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2080705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A29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公益性岗位补贴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80B06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4CB77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D3685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726.25</w:t>
            </w:r>
          </w:p>
        </w:tc>
      </w:tr>
      <w:tr w14:paraId="75113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13B41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1E0D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E474B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2B1BEF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78B7EE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DD77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72B4F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2C844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死亡抚恤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1C8AC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06D1F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4FD15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21AB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52562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DBAD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4138E8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71BEA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C5EC4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4A47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CB0A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58A6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78A7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A9D4B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E6D0E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C49E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225A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ADE8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行政单位医疗</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E5E5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C8564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77.80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7BA8F5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0E3D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348BB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0993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9BE9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BB798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7BDA1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C1AE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1A4DD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C83A8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96CA6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C05B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EAFB8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4FE36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7217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4AC7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农村环境保护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7617E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AFBEF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E27B8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043A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F704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1AB4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ADA5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25,760.53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4E53D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1,793.05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C8EF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23,967.48</w:t>
            </w:r>
          </w:p>
        </w:tc>
      </w:tr>
      <w:tr w14:paraId="7015E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9434D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B2DF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农业农村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0E8BEF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11,383.47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904F67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1,434.75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B137A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9,948.72</w:t>
            </w:r>
          </w:p>
        </w:tc>
      </w:tr>
      <w:tr w14:paraId="1FC3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047D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676F6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102B6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AA2664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1,248.30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FF139F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13BF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A756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FEF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一般行政管理事务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BF1F4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D00A9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2A25B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15.19</w:t>
            </w:r>
          </w:p>
        </w:tc>
      </w:tr>
      <w:tr w14:paraId="3EFA2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E355F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93058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科技转化与推广服务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DC1B7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0EA08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FF089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196.35</w:t>
            </w:r>
          </w:p>
        </w:tc>
      </w:tr>
      <w:tr w14:paraId="6B63B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C8F92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1858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病虫害控制</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6236E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ACC9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47B87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r>
      <w:tr w14:paraId="4282B4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8A42C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2130109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D2E7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农产品质量安全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A6DF6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9E7EA6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5AC8F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71.13</w:t>
            </w:r>
          </w:p>
        </w:tc>
      </w:tr>
      <w:tr w14:paraId="3BE16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B3E19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B95C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执法监管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77AE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E7A1BB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876E0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03E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5116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145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统计监测与信息服务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B4C59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EA2FE5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121D5C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7.25</w:t>
            </w:r>
          </w:p>
        </w:tc>
      </w:tr>
      <w:tr w14:paraId="3D2CC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93E2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657B6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稳定农民收入补贴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32A57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5,841.71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8C10B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E2CB2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5,841.71</w:t>
            </w:r>
          </w:p>
        </w:tc>
      </w:tr>
      <w:tr w14:paraId="48C31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2099B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DD90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农业结构调整补贴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0E06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660D2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D7D096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184.42</w:t>
            </w:r>
          </w:p>
        </w:tc>
      </w:tr>
      <w:tr w14:paraId="59D61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E5677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23F3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农业生产发展</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2FEEF3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136.62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03A72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6C3C51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134.62</w:t>
            </w:r>
          </w:p>
        </w:tc>
      </w:tr>
      <w:tr w14:paraId="4443A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39EE4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4A7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农村社会事业</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38CE6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A5226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93.76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F616D6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6815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92E6C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F3AB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农业生态资源保护</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7BCCB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2A222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2D0A4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518.66</w:t>
            </w:r>
          </w:p>
        </w:tc>
      </w:tr>
      <w:tr w14:paraId="0076C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D2941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B10C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耕地建设与利用</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32FAF8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BFE47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8E20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2,040.96</w:t>
            </w:r>
          </w:p>
        </w:tc>
      </w:tr>
      <w:tr w14:paraId="195BE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420F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608A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其他农业农村支出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BF4B8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975.06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2792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43.63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353F82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931.43</w:t>
            </w:r>
          </w:p>
        </w:tc>
      </w:tr>
      <w:tr w14:paraId="69267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CD938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63B9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巩固拓展脱贫攻坚成果衔接乡村振兴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DC447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12,940.96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AF606D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358.30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09B7A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12,582.65</w:t>
            </w:r>
          </w:p>
        </w:tc>
      </w:tr>
      <w:tr w14:paraId="0B8AC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E43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47F12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行政运行</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493F2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627061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84372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CB79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A76D9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6DE0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农村基础设施建设</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55B505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C3E4CD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FC21F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153.17</w:t>
            </w:r>
          </w:p>
        </w:tc>
      </w:tr>
      <w:tr w14:paraId="4784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ACA54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79A64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生产发展</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7D2F9D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2,499.44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3D30F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08D73F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2,499.44</w:t>
            </w:r>
          </w:p>
        </w:tc>
      </w:tr>
      <w:tr w14:paraId="5AE5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1DCD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2130507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C7768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贷款奖补和贴息</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037007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BF86C3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AC251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165.86</w:t>
            </w:r>
          </w:p>
        </w:tc>
      </w:tr>
      <w:tr w14:paraId="2361B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1139C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3C5CF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其他巩固拓展脱贫攻坚成果衔接乡村振兴支出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EAD17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9,930.21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4BBA9A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166.02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E4C72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9,764.19</w:t>
            </w:r>
          </w:p>
        </w:tc>
      </w:tr>
      <w:tr w14:paraId="0E2B3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8F68B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D5A1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目标价格补贴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AC4E02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44238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00AF7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r>
      <w:tr w14:paraId="7560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86687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2130999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EFF28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其他目标价格补贴</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7F293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08C39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1C224B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1,436.11</w:t>
            </w:r>
          </w:p>
        </w:tc>
      </w:tr>
      <w:tr w14:paraId="51451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59CC9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8ACC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商业服务业等支出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FA6B7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6DAFEA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130DAFF">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779B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E7C3A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3FD6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商业流通事务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01796B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C87EF1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BFB4D3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36DC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05464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2160299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D600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其他商业流通事务支出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1027CA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A3E725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0B616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2C67DD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2C68A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9227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70E23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95B139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65EFF6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7005D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C228F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E08D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金融发展支出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3993EC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4ADA1E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0F51CA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5B156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4E2ED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2170399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1A00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其他金融发展支出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9B2B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92BD68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838E1A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w:t>
            </w:r>
          </w:p>
        </w:tc>
      </w:tr>
      <w:tr w14:paraId="3655B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DD491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550E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781AEE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BC1954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16D59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091B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2E5CE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D8CDF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DF5D9D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277BD3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59B3A8B">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18A5A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653A99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248B3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住房公积金</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977BD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928227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76.36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92A991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r>
      <w:tr w14:paraId="3A461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3C286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D0ED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粮油物资储备支出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2655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056BE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1215A2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r>
      <w:tr w14:paraId="05811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50CF6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21AE8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粮油物资事务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B66BDD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5285571">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A472B0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r>
      <w:tr w14:paraId="28925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2E424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2220199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678B0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其他粮油物资事务支出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371DE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4B32F64">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F16C9B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1,040.90</w:t>
            </w:r>
          </w:p>
        </w:tc>
      </w:tr>
      <w:tr w14:paraId="22CDF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jc w:val="center"/>
        </w:trPr>
        <w:tc>
          <w:tcPr>
            <w:tcW w:w="0" w:type="auto"/>
            <w:gridSpan w:val="7"/>
            <w:tcBorders>
              <w:top w:val="single" w:color="auto" w:sz="4" w:space="0"/>
              <w:left w:val="nil"/>
              <w:bottom w:val="nil"/>
              <w:right w:val="nil"/>
            </w:tcBorders>
            <w:shd w:val="clear" w:color="auto" w:fill="auto"/>
            <w:noWrap/>
            <w:vAlign w:val="center"/>
          </w:tcPr>
          <w:p w14:paraId="12CA2A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76D4B870">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2808100C">
      <w:pPr>
        <w:keepNext w:val="0"/>
        <w:keepLines w:val="0"/>
        <w:pageBreakBefore w:val="0"/>
        <w:widowControl/>
        <w:tabs>
          <w:tab w:val="left" w:pos="735"/>
          <w:tab w:val="left" w:pos="4260"/>
          <w:tab w:val="left" w:pos="6060"/>
          <w:tab w:val="left" w:pos="6795"/>
          <w:tab w:val="left" w:pos="9570"/>
          <w:tab w:val="left" w:pos="11370"/>
          <w:tab w:val="left" w:pos="12105"/>
          <w:tab w:val="left" w:pos="16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30"/>
          <w:szCs w:val="30"/>
          <w:u w:val="none"/>
          <w:lang w:val="en-US" w:eastAsia="zh-CN" w:bidi="ar"/>
        </w:rPr>
        <w:t>一般公共预算财政拨款基本支出决算明细表</w:t>
      </w:r>
    </w:p>
    <w:tbl>
      <w:tblPr>
        <w:tblStyle w:val="11"/>
        <w:tblW w:w="150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28" w:type="dxa"/>
          <w:bottom w:w="0" w:type="dxa"/>
          <w:right w:w="28" w:type="dxa"/>
        </w:tblCellMar>
      </w:tblPr>
      <w:tblGrid>
        <w:gridCol w:w="1107"/>
        <w:gridCol w:w="3228"/>
        <w:gridCol w:w="1019"/>
        <w:gridCol w:w="718"/>
        <w:gridCol w:w="2225"/>
        <w:gridCol w:w="818"/>
        <w:gridCol w:w="718"/>
        <w:gridCol w:w="3111"/>
        <w:gridCol w:w="574"/>
        <w:gridCol w:w="1317"/>
      </w:tblGrid>
      <w:tr w14:paraId="0AA52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05" w:hRule="atLeast"/>
          <w:jc w:val="center"/>
        </w:trPr>
        <w:tc>
          <w:tcPr>
            <w:tcW w:w="1107" w:type="dxa"/>
            <w:tcBorders>
              <w:top w:val="nil"/>
              <w:left w:val="nil"/>
              <w:bottom w:val="nil"/>
              <w:right w:val="nil"/>
            </w:tcBorders>
            <w:shd w:val="clear" w:color="auto" w:fill="auto"/>
            <w:noWrap/>
            <w:vAlign w:val="center"/>
          </w:tcPr>
          <w:p w14:paraId="281F3187">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3228" w:type="dxa"/>
            <w:tcBorders>
              <w:top w:val="nil"/>
              <w:left w:val="nil"/>
              <w:bottom w:val="nil"/>
              <w:right w:val="nil"/>
            </w:tcBorders>
            <w:shd w:val="clear" w:color="auto" w:fill="auto"/>
            <w:noWrap/>
            <w:vAlign w:val="center"/>
          </w:tcPr>
          <w:p w14:paraId="0C63DD00">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1019" w:type="dxa"/>
            <w:tcBorders>
              <w:top w:val="nil"/>
              <w:left w:val="nil"/>
              <w:bottom w:val="nil"/>
              <w:right w:val="nil"/>
            </w:tcBorders>
            <w:shd w:val="clear" w:color="auto" w:fill="auto"/>
            <w:noWrap/>
            <w:vAlign w:val="center"/>
          </w:tcPr>
          <w:p w14:paraId="428C5BD4">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718" w:type="dxa"/>
            <w:tcBorders>
              <w:top w:val="nil"/>
              <w:left w:val="nil"/>
              <w:bottom w:val="nil"/>
              <w:right w:val="nil"/>
            </w:tcBorders>
            <w:shd w:val="clear" w:color="auto" w:fill="auto"/>
            <w:noWrap/>
            <w:vAlign w:val="center"/>
          </w:tcPr>
          <w:p w14:paraId="1A3C3F85">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2225" w:type="dxa"/>
            <w:tcBorders>
              <w:top w:val="nil"/>
              <w:left w:val="nil"/>
              <w:bottom w:val="nil"/>
              <w:right w:val="nil"/>
            </w:tcBorders>
            <w:shd w:val="clear" w:color="auto" w:fill="auto"/>
            <w:noWrap/>
            <w:vAlign w:val="center"/>
          </w:tcPr>
          <w:p w14:paraId="1CFCF51A">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818" w:type="dxa"/>
            <w:tcBorders>
              <w:top w:val="nil"/>
              <w:left w:val="nil"/>
              <w:bottom w:val="nil"/>
              <w:right w:val="nil"/>
            </w:tcBorders>
            <w:shd w:val="clear" w:color="auto" w:fill="auto"/>
            <w:noWrap/>
            <w:vAlign w:val="center"/>
          </w:tcPr>
          <w:p w14:paraId="35FF1CFE">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718" w:type="dxa"/>
            <w:tcBorders>
              <w:top w:val="nil"/>
              <w:left w:val="nil"/>
              <w:bottom w:val="nil"/>
              <w:right w:val="nil"/>
            </w:tcBorders>
            <w:shd w:val="clear" w:color="auto" w:fill="auto"/>
            <w:noWrap/>
            <w:vAlign w:val="center"/>
          </w:tcPr>
          <w:p w14:paraId="01A25E00">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3111" w:type="dxa"/>
            <w:tcBorders>
              <w:top w:val="nil"/>
              <w:left w:val="nil"/>
              <w:bottom w:val="nil"/>
              <w:right w:val="nil"/>
            </w:tcBorders>
            <w:shd w:val="clear" w:color="auto" w:fill="auto"/>
            <w:noWrap/>
            <w:vAlign w:val="center"/>
          </w:tcPr>
          <w:p w14:paraId="5B6C8F26">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1891" w:type="dxa"/>
            <w:gridSpan w:val="2"/>
            <w:tcBorders>
              <w:top w:val="nil"/>
              <w:left w:val="nil"/>
              <w:bottom w:val="nil"/>
              <w:right w:val="nil"/>
            </w:tcBorders>
            <w:shd w:val="clear" w:color="auto" w:fill="auto"/>
            <w:noWrap/>
            <w:vAlign w:val="bottom"/>
          </w:tcPr>
          <w:p w14:paraId="346036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7659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05" w:hRule="atLeast"/>
          <w:jc w:val="center"/>
        </w:trPr>
        <w:tc>
          <w:tcPr>
            <w:tcW w:w="4335" w:type="dxa"/>
            <w:gridSpan w:val="2"/>
            <w:tcBorders>
              <w:top w:val="nil"/>
              <w:left w:val="nil"/>
              <w:bottom w:val="single" w:color="auto" w:sz="4" w:space="0"/>
              <w:right w:val="nil"/>
            </w:tcBorders>
            <w:shd w:val="clear" w:color="auto" w:fill="auto"/>
            <w:noWrap/>
            <w:vAlign w:val="bottom"/>
          </w:tcPr>
          <w:p w14:paraId="443D1A21">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18"/>
                <w:szCs w:val="18"/>
                <w:u w:val="none"/>
                <w:lang w:val="en-US" w:eastAsia="zh-CN" w:bidi="ar"/>
              </w:rPr>
              <w:t>部门：溆浦县农业农村局</w:t>
            </w:r>
          </w:p>
        </w:tc>
        <w:tc>
          <w:tcPr>
            <w:tcW w:w="1019" w:type="dxa"/>
            <w:tcBorders>
              <w:top w:val="nil"/>
              <w:left w:val="nil"/>
              <w:bottom w:val="single" w:color="auto" w:sz="4" w:space="0"/>
              <w:right w:val="nil"/>
            </w:tcBorders>
            <w:shd w:val="clear" w:color="auto" w:fill="auto"/>
            <w:noWrap/>
            <w:vAlign w:val="center"/>
          </w:tcPr>
          <w:p w14:paraId="7FBF5143">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718" w:type="dxa"/>
            <w:tcBorders>
              <w:top w:val="nil"/>
              <w:left w:val="nil"/>
              <w:bottom w:val="single" w:color="auto" w:sz="4" w:space="0"/>
              <w:right w:val="nil"/>
            </w:tcBorders>
            <w:shd w:val="clear" w:color="auto" w:fill="auto"/>
            <w:noWrap/>
            <w:vAlign w:val="center"/>
          </w:tcPr>
          <w:p w14:paraId="2C152E0F">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2225" w:type="dxa"/>
            <w:tcBorders>
              <w:top w:val="nil"/>
              <w:left w:val="nil"/>
              <w:bottom w:val="single" w:color="auto" w:sz="4" w:space="0"/>
              <w:right w:val="nil"/>
            </w:tcBorders>
            <w:shd w:val="clear" w:color="auto" w:fill="auto"/>
            <w:noWrap/>
            <w:vAlign w:val="center"/>
          </w:tcPr>
          <w:p w14:paraId="17A57202">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818" w:type="dxa"/>
            <w:tcBorders>
              <w:top w:val="nil"/>
              <w:left w:val="nil"/>
              <w:bottom w:val="single" w:color="auto" w:sz="4" w:space="0"/>
              <w:right w:val="nil"/>
            </w:tcBorders>
            <w:shd w:val="clear" w:color="auto" w:fill="auto"/>
            <w:noWrap/>
            <w:vAlign w:val="center"/>
          </w:tcPr>
          <w:p w14:paraId="0A35ABDD">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718" w:type="dxa"/>
            <w:tcBorders>
              <w:top w:val="nil"/>
              <w:left w:val="nil"/>
              <w:bottom w:val="single" w:color="auto" w:sz="4" w:space="0"/>
              <w:right w:val="nil"/>
            </w:tcBorders>
            <w:shd w:val="clear" w:color="auto" w:fill="auto"/>
            <w:noWrap/>
            <w:vAlign w:val="center"/>
          </w:tcPr>
          <w:p w14:paraId="51DFBB6B">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3111" w:type="dxa"/>
            <w:tcBorders>
              <w:top w:val="nil"/>
              <w:left w:val="nil"/>
              <w:bottom w:val="single" w:color="auto" w:sz="4" w:space="0"/>
              <w:right w:val="nil"/>
            </w:tcBorders>
            <w:shd w:val="clear" w:color="auto" w:fill="auto"/>
            <w:noWrap/>
            <w:vAlign w:val="center"/>
          </w:tcPr>
          <w:p w14:paraId="67DB247A">
            <w:pPr>
              <w:keepNext w:val="0"/>
              <w:keepLines w:val="0"/>
              <w:pageBreakBefore w:val="0"/>
              <w:widowControl/>
              <w:kinsoku/>
              <w:wordWrap/>
              <w:overflowPunct/>
              <w:topLinePunct w:val="0"/>
              <w:autoSpaceDE/>
              <w:autoSpaceDN/>
              <w:bidi w:val="0"/>
              <w:adjustRightInd/>
              <w:snapToGrid/>
              <w:spacing w:line="220" w:lineRule="exact"/>
              <w:rPr>
                <w:rFonts w:hint="eastAsia" w:ascii="宋体" w:hAnsi="宋体" w:eastAsia="宋体" w:cs="宋体"/>
                <w:i w:val="0"/>
                <w:iCs w:val="0"/>
                <w:color w:val="000000"/>
                <w:sz w:val="22"/>
                <w:szCs w:val="22"/>
                <w:u w:val="none"/>
              </w:rPr>
            </w:pPr>
          </w:p>
        </w:tc>
        <w:tc>
          <w:tcPr>
            <w:tcW w:w="1891" w:type="dxa"/>
            <w:gridSpan w:val="2"/>
            <w:tcBorders>
              <w:top w:val="nil"/>
              <w:left w:val="nil"/>
              <w:bottom w:val="single" w:color="auto" w:sz="4" w:space="0"/>
              <w:right w:val="nil"/>
            </w:tcBorders>
            <w:shd w:val="clear" w:color="auto" w:fill="auto"/>
            <w:noWrap/>
            <w:vAlign w:val="bottom"/>
          </w:tcPr>
          <w:p w14:paraId="63F342D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64AE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535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AE18DC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w:t>
            </w:r>
          </w:p>
        </w:tc>
        <w:tc>
          <w:tcPr>
            <w:tcW w:w="9481" w:type="dxa"/>
            <w:gridSpan w:val="7"/>
            <w:tcBorders>
              <w:top w:val="single" w:color="auto" w:sz="4" w:space="0"/>
              <w:left w:val="single" w:color="auto" w:sz="4" w:space="0"/>
              <w:bottom w:val="single" w:color="auto" w:sz="4" w:space="0"/>
              <w:right w:val="single" w:color="auto" w:sz="4" w:space="0"/>
            </w:tcBorders>
            <w:shd w:val="clear" w:color="auto" w:fill="auto"/>
            <w:noWrap/>
            <w:vAlign w:val="center"/>
          </w:tcPr>
          <w:p w14:paraId="06F1C66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w:t>
            </w:r>
          </w:p>
        </w:tc>
      </w:tr>
      <w:tr w14:paraId="75C74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12" w:hRule="atLeast"/>
          <w:jc w:val="center"/>
        </w:trPr>
        <w:tc>
          <w:tcPr>
            <w:tcW w:w="11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3F5073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2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55EF5D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0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D2D62E5">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AB81C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222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99EFA8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8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AFF27C">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7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1E443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685"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91585B">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3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58A9C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4197C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312" w:hRule="atLeast"/>
          <w:jc w:val="center"/>
        </w:trPr>
        <w:tc>
          <w:tcPr>
            <w:tcW w:w="1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6A2239F">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32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CA28B01">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101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72886E">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7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56F3B63">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222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F2AD90A">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8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82BB7DB">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7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8A2B4D">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3685"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40ADE6">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c>
          <w:tcPr>
            <w:tcW w:w="131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C779BD0">
            <w:pPr>
              <w:keepNext w:val="0"/>
              <w:keepLines w:val="0"/>
              <w:pageBreakBefore w:val="0"/>
              <w:widowControl/>
              <w:kinsoku/>
              <w:wordWrap/>
              <w:overflowPunct/>
              <w:topLinePunct w:val="0"/>
              <w:autoSpaceDE/>
              <w:autoSpaceDN/>
              <w:bidi w:val="0"/>
              <w:adjustRightInd/>
              <w:snapToGrid/>
              <w:spacing w:line="220" w:lineRule="exact"/>
              <w:jc w:val="center"/>
              <w:rPr>
                <w:rFonts w:hint="eastAsia" w:ascii="宋体" w:hAnsi="宋体" w:eastAsia="宋体" w:cs="宋体"/>
                <w:i w:val="0"/>
                <w:iCs w:val="0"/>
                <w:color w:val="000000"/>
                <w:sz w:val="22"/>
                <w:szCs w:val="22"/>
                <w:u w:val="none"/>
              </w:rPr>
            </w:pPr>
          </w:p>
        </w:tc>
      </w:tr>
      <w:tr w14:paraId="678EC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D05EA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68D3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工资福利支出</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D203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1,732.56</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167B2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DD1EE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商品和服务支出</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E17E1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387.63</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D7ED7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B2561B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债务利息及费用支出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EA6A2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C04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21A654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30101</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96D7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基本工资</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AA6CA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881.55</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BD9A1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30201</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F0018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7C53B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57.12</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B38C2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30701</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85EA6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国内债务付息</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509BF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708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6D4B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30102</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C9E26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津贴补贴</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CBDD8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329.80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062B9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30202</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E08E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印刷费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F0629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75.08</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5689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30702</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CFFDCE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国外债务付息</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CEC8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C7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30F2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30103</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7AEE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奖金</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F8F8E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105.24</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8D36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30203</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14024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咨询费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5A43B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0BCA0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67C5AE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资本性支出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ECEC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w:t>
            </w:r>
          </w:p>
        </w:tc>
      </w:tr>
      <w:tr w14:paraId="12BE8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9331F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30106</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4CAAF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伙食补助费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C82F3A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36.01</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C14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30204</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70706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手续费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8DE80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00C4B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31001</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E84DC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房屋建筑物购建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6344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889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4F52C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30107</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E99BD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绩效工资</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7FA8C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659AB9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30205</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79A86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0D9DA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627C3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31002</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A9F69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办公设备购置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E9416E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6.92</w:t>
            </w:r>
          </w:p>
        </w:tc>
      </w:tr>
      <w:tr w14:paraId="2E9C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416"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65408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30108</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325DD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826B51">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180.23</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9A6B2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30206</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68601F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电费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B99B5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10.63</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04BA2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31003</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108498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专用设备购置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FC0FC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F0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BB77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30109</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569FA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职业年金缴费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4F50D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E8FDA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30207</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2B54C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邮电费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3A356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DCCF67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31005</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3E169D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基础设施建设</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4A60E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233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27513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30110</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56349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职工基本医疗保险缴费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1F7D3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80.70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A1A32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30208</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611C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取暖费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2680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6860A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31006</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1A423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大型修缮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D8257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B6F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5D2D7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30111</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551C3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公务员医疗补助缴费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AC005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CD542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30209</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39424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物业管理费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73DA3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5617B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31007</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95DA7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信息网络及软件购置更新</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85D62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ACC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0B637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30112</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0E79E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其他社会保障缴费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D3816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19.70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CAE4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30211</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44490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差旅费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AF703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101.90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9715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31008</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2E5E93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物资储备</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5859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D0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A692F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30113</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DC6E0A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403FE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86.40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1EFBD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30212</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A67B5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因公出国（境）费用</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A73FC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67FB3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31009</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2F88D0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土地补偿</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540E8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944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6B844C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30114</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24FC1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D2B8D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045A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30213</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EFDE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维修（护）费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1EB6B9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1.61</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6DF33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31010</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DA9AF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安置补助</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D4716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F4C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26B1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30199</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F325B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其他工资福利支出</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7523A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11.72</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BD98A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30214</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35B0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租赁费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6CA5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2ED78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31011</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B6EF5F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地上附着物和青苗补偿</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FB316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B0C1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2A4F97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F5322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对个人和家庭的补助</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C1698E">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64.46</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2F8E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30215</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8FE36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会议费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BC7AD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BE1AB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31012</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BC011A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拆迁补偿</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2522A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2F6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D02D5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30301</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90456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离休费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43D7A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52D4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30216</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B1CE5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培训费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5AEC5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4834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31013</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40E531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公务用车购置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50784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173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A88D4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30302</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74DEE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退休费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1DBFE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84D59C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30217</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FF455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公务接待费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3C3104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D144E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31019</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D19B6A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其他交通工具购置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EBCDE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2DF8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39DE5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30303</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559C1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退职（役）费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3A00FD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46EA3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30218</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69F41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专用材料费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C3BFC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DD297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31021</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2B397A4">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文物和陈列品购置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9C36E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28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0BA7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30304</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88931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抚恤金</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AF6476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25BC9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30224</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F9853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被装购置费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8117E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5F6BD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31022</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036363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无形资产购置</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B73D2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57C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E4C53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30305</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E62D943">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生活补助</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D5EA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52.08</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76CAF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30225</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FEBC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专用燃料费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A4644A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549456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31099</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5F5EEE5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其他资本性支出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DB262A">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3F1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B53A1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30306</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72858D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救济费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68ED6">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0E99D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30226</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E06AE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劳务费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A99C6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19.29</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44AB5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A46BCA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80F883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C74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31167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30307</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6A969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医疗费补助</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865249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A37322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30227</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2D65A7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委托业务费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45C4D6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97DA5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39907</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E30480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国家赔偿费用支出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46E29B">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F45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6"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8907E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30308</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131BF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助学金</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D1B15C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91C5AC">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30228</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AD698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工会经费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AC775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EDC8A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39908</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8BEDB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对民间非营利组织和群众性自治组织补贴</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2EB677">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503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5EF795">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30309</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5E60A1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奖励金</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48592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93028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30229</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7BBE9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福利费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67F585">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39DF8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39909</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4FE985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经常性赠与</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57542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3B4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16"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842A8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30310</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72EC8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个人农业生产补贴</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EF701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EA2A3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30231</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9D95FF">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公务用车运行维护费</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9FC57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8809D78">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39910</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D142C27">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资本性赠与</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76941B9">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9A6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DCE7DF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30311</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A35D5D">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代缴社会保险费</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79E174">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ECCB30">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30239</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A859A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其他交通费用</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951C4D">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50.31</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46F122">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39999</w:t>
            </w: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CBA02F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其他支出</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6CC35EC">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C117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4C29BBA">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30399</w:t>
            </w: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5554F3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其他对个人和家庭的补助</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A6A33">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12.38</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A587D9">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30240</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C7DC61">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税金及附加费用</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EAAE9F">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F73335">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09B561C">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1B495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56993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28" w:type="dxa"/>
            <w:bottom w:w="0" w:type="dxa"/>
            <w:right w:w="28" w:type="dxa"/>
          </w:tblCellMar>
        </w:tblPrEx>
        <w:trPr>
          <w:trHeight w:val="416" w:hRule="atLeast"/>
          <w:jc w:val="center"/>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F6AE14">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322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313C10">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F03C226">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8724A6">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30299</w:t>
            </w:r>
          </w:p>
        </w:tc>
        <w:tc>
          <w:tcPr>
            <w:tcW w:w="222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665DF2E">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其他商品和服务支出</w:t>
            </w:r>
          </w:p>
        </w:tc>
        <w:tc>
          <w:tcPr>
            <w:tcW w:w="8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D8692C2">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29.92</w:t>
            </w:r>
          </w:p>
        </w:tc>
        <w:tc>
          <w:tcPr>
            <w:tcW w:w="71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4A74B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368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70DFB22">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000000"/>
                <w:sz w:val="22"/>
                <w:szCs w:val="22"/>
                <w:u w:val="none"/>
              </w:rPr>
            </w:pP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4DD32A">
            <w:pPr>
              <w:keepNext w:val="0"/>
              <w:keepLines w:val="0"/>
              <w:pageBreakBefore w:val="0"/>
              <w:widowControl/>
              <w:kinsoku/>
              <w:wordWrap/>
              <w:overflowPunct/>
              <w:topLinePunct w:val="0"/>
              <w:autoSpaceDE/>
              <w:autoSpaceDN/>
              <w:bidi w:val="0"/>
              <w:adjustRightInd/>
              <w:snapToGrid/>
              <w:spacing w:line="220" w:lineRule="exact"/>
              <w:jc w:val="right"/>
              <w:rPr>
                <w:rFonts w:hint="eastAsia" w:ascii="宋体" w:hAnsi="宋体" w:eastAsia="宋体" w:cs="宋体"/>
                <w:i w:val="0"/>
                <w:iCs w:val="0"/>
                <w:color w:val="000000"/>
                <w:sz w:val="22"/>
                <w:szCs w:val="22"/>
                <w:u w:val="none"/>
              </w:rPr>
            </w:pPr>
          </w:p>
        </w:tc>
      </w:tr>
      <w:tr w14:paraId="13B63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4335"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E06ED2">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人员经费合计</w:t>
            </w:r>
          </w:p>
        </w:tc>
        <w:tc>
          <w:tcPr>
            <w:tcW w:w="10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ED6BB98">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1,797.02</w:t>
            </w:r>
          </w:p>
        </w:tc>
        <w:tc>
          <w:tcPr>
            <w:tcW w:w="8164"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C7A1151">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公用经费合计</w:t>
            </w:r>
          </w:p>
        </w:tc>
        <w:tc>
          <w:tcPr>
            <w:tcW w:w="1317"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593B4F0">
            <w:pPr>
              <w:keepNext w:val="0"/>
              <w:keepLines w:val="0"/>
              <w:pageBreakBefore w:val="0"/>
              <w:widowControl/>
              <w:suppressLineNumbers w:val="0"/>
              <w:kinsoku/>
              <w:wordWrap/>
              <w:overflowPunct/>
              <w:topLinePunct w:val="0"/>
              <w:autoSpaceDE/>
              <w:autoSpaceDN/>
              <w:bidi w:val="0"/>
              <w:adjustRightInd/>
              <w:snapToGrid/>
              <w:spacing w:line="220" w:lineRule="exact"/>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394.55</w:t>
            </w:r>
          </w:p>
        </w:tc>
      </w:tr>
      <w:tr w14:paraId="3881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211" w:hRule="atLeast"/>
          <w:jc w:val="center"/>
        </w:trPr>
        <w:tc>
          <w:tcPr>
            <w:tcW w:w="14835" w:type="dxa"/>
            <w:gridSpan w:val="10"/>
            <w:tcBorders>
              <w:top w:val="single" w:color="auto" w:sz="4" w:space="0"/>
              <w:left w:val="nil"/>
              <w:bottom w:val="nil"/>
              <w:right w:val="nil"/>
            </w:tcBorders>
            <w:shd w:val="clear" w:color="auto" w:fill="auto"/>
            <w:noWrap/>
            <w:vAlign w:val="center"/>
          </w:tcPr>
          <w:p w14:paraId="0142773B">
            <w:pPr>
              <w:keepNext w:val="0"/>
              <w:keepLines w:val="0"/>
              <w:pageBreakBefore w:val="0"/>
              <w:widowControl/>
              <w:suppressLineNumbers w:val="0"/>
              <w:kinsoku/>
              <w:wordWrap/>
              <w:overflowPunct/>
              <w:topLinePunct w:val="0"/>
              <w:autoSpaceDE/>
              <w:autoSpaceDN/>
              <w:bidi w:val="0"/>
              <w:adjustRightInd/>
              <w:snapToGrid/>
              <w:spacing w:line="220" w:lineRule="exac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tc>
      </w:tr>
    </w:tbl>
    <w:p w14:paraId="503C31E6">
      <w:pPr>
        <w:tabs>
          <w:tab w:val="left" w:pos="330"/>
          <w:tab w:val="left" w:pos="660"/>
          <w:tab w:val="left" w:pos="990"/>
          <w:tab w:val="left" w:pos="4920"/>
          <w:tab w:val="left" w:pos="6600"/>
          <w:tab w:val="left" w:pos="8280"/>
          <w:tab w:val="left" w:pos="9960"/>
          <w:tab w:val="left" w:pos="11640"/>
          <w:tab w:val="left" w:pos="13320"/>
        </w:tabs>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黑体" w:hAnsi="宋体" w:eastAsia="黑体" w:cs="黑体"/>
          <w:i w:val="0"/>
          <w:iCs w:val="0"/>
          <w:color w:val="000000"/>
          <w:kern w:val="0"/>
          <w:sz w:val="30"/>
          <w:szCs w:val="30"/>
          <w:u w:val="none"/>
          <w:lang w:val="en-US" w:eastAsia="zh-CN" w:bidi="ar"/>
        </w:rPr>
        <w:t>政府性基金预算财政拨款收入支出决算表</w:t>
      </w:r>
      <w:r>
        <w:rPr>
          <w:rFonts w:ascii="黑体" w:hAnsi="宋体" w:eastAsia="黑体" w:cs="黑体"/>
          <w:i w:val="0"/>
          <w:iCs w:val="0"/>
          <w:color w:val="000000"/>
          <w:sz w:val="30"/>
          <w:szCs w:val="30"/>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r>
        <w:rPr>
          <w:rFonts w:hint="eastAsia" w:ascii="宋体" w:hAnsi="宋体" w:eastAsia="宋体" w:cs="宋体"/>
          <w:i w:val="0"/>
          <w:iCs w:val="0"/>
          <w:color w:val="000000"/>
          <w:sz w:val="22"/>
          <w:szCs w:val="22"/>
          <w:u w:val="none"/>
        </w:rPr>
        <w:tab/>
      </w:r>
    </w:p>
    <w:tbl>
      <w:tblPr>
        <w:tblStyle w:val="11"/>
        <w:tblW w:w="15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0"/>
        <w:gridCol w:w="330"/>
        <w:gridCol w:w="330"/>
        <w:gridCol w:w="3930"/>
        <w:gridCol w:w="1680"/>
        <w:gridCol w:w="1680"/>
        <w:gridCol w:w="1680"/>
        <w:gridCol w:w="1680"/>
        <w:gridCol w:w="1680"/>
        <w:gridCol w:w="1680"/>
      </w:tblGrid>
      <w:tr w14:paraId="2B8F2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330" w:type="dxa"/>
            <w:tcBorders>
              <w:top w:val="nil"/>
              <w:left w:val="nil"/>
              <w:bottom w:val="nil"/>
              <w:right w:val="nil"/>
            </w:tcBorders>
            <w:shd w:val="clear" w:color="auto" w:fill="auto"/>
            <w:noWrap/>
            <w:vAlign w:val="center"/>
          </w:tcPr>
          <w:p w14:paraId="76B52E03">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150030D1">
            <w:pPr>
              <w:rPr>
                <w:rFonts w:hint="eastAsia" w:ascii="宋体" w:hAnsi="宋体" w:eastAsia="宋体" w:cs="宋体"/>
                <w:i w:val="0"/>
                <w:iCs w:val="0"/>
                <w:color w:val="000000"/>
                <w:sz w:val="22"/>
                <w:szCs w:val="22"/>
                <w:u w:val="none"/>
              </w:rPr>
            </w:pPr>
          </w:p>
        </w:tc>
        <w:tc>
          <w:tcPr>
            <w:tcW w:w="330" w:type="dxa"/>
            <w:tcBorders>
              <w:top w:val="nil"/>
              <w:left w:val="nil"/>
              <w:bottom w:val="nil"/>
              <w:right w:val="nil"/>
            </w:tcBorders>
            <w:shd w:val="clear" w:color="auto" w:fill="auto"/>
            <w:noWrap/>
            <w:vAlign w:val="center"/>
          </w:tcPr>
          <w:p w14:paraId="5EC156D9">
            <w:pPr>
              <w:rPr>
                <w:rFonts w:hint="eastAsia" w:ascii="宋体" w:hAnsi="宋体" w:eastAsia="宋体" w:cs="宋体"/>
                <w:i w:val="0"/>
                <w:iCs w:val="0"/>
                <w:color w:val="000000"/>
                <w:sz w:val="22"/>
                <w:szCs w:val="22"/>
                <w:u w:val="none"/>
              </w:rPr>
            </w:pPr>
          </w:p>
        </w:tc>
        <w:tc>
          <w:tcPr>
            <w:tcW w:w="3930" w:type="dxa"/>
            <w:tcBorders>
              <w:top w:val="nil"/>
              <w:left w:val="nil"/>
              <w:bottom w:val="nil"/>
              <w:right w:val="nil"/>
            </w:tcBorders>
            <w:shd w:val="clear" w:color="auto" w:fill="auto"/>
            <w:noWrap/>
            <w:vAlign w:val="center"/>
          </w:tcPr>
          <w:p w14:paraId="0361E7D6">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63294923">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79552EE6">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0628D675">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6BAAEBFF">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center"/>
          </w:tcPr>
          <w:p w14:paraId="784B09CF">
            <w:pPr>
              <w:rPr>
                <w:rFonts w:hint="eastAsia" w:ascii="宋体" w:hAnsi="宋体" w:eastAsia="宋体" w:cs="宋体"/>
                <w:i w:val="0"/>
                <w:iCs w:val="0"/>
                <w:color w:val="000000"/>
                <w:sz w:val="22"/>
                <w:szCs w:val="22"/>
                <w:u w:val="none"/>
              </w:rPr>
            </w:pPr>
          </w:p>
        </w:tc>
        <w:tc>
          <w:tcPr>
            <w:tcW w:w="1680" w:type="dxa"/>
            <w:tcBorders>
              <w:top w:val="nil"/>
              <w:left w:val="nil"/>
              <w:bottom w:val="nil"/>
              <w:right w:val="nil"/>
            </w:tcBorders>
            <w:shd w:val="clear" w:color="auto" w:fill="auto"/>
            <w:noWrap/>
            <w:vAlign w:val="bottom"/>
          </w:tcPr>
          <w:p w14:paraId="5AE5DD2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2A4B3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920" w:type="dxa"/>
            <w:gridSpan w:val="4"/>
            <w:tcBorders>
              <w:top w:val="nil"/>
              <w:left w:val="nil"/>
              <w:bottom w:val="single" w:color="auto" w:sz="4" w:space="0"/>
              <w:right w:val="nil"/>
            </w:tcBorders>
            <w:shd w:val="clear" w:color="auto" w:fill="auto"/>
            <w:noWrap/>
            <w:vAlign w:val="bottom"/>
          </w:tcPr>
          <w:p w14:paraId="6F43231B">
            <w:pP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1680" w:type="dxa"/>
            <w:tcBorders>
              <w:top w:val="nil"/>
              <w:left w:val="nil"/>
              <w:bottom w:val="single" w:color="auto" w:sz="4" w:space="0"/>
              <w:right w:val="nil"/>
            </w:tcBorders>
            <w:shd w:val="clear" w:color="auto" w:fill="auto"/>
            <w:noWrap/>
            <w:vAlign w:val="center"/>
          </w:tcPr>
          <w:p w14:paraId="0F2BA4AF">
            <w:pPr>
              <w:rPr>
                <w:rFonts w:hint="eastAsia" w:ascii="宋体" w:hAnsi="宋体" w:eastAsia="宋体" w:cs="宋体"/>
                <w:i w:val="0"/>
                <w:iCs w:val="0"/>
                <w:color w:val="000000"/>
                <w:sz w:val="22"/>
                <w:szCs w:val="22"/>
                <w:u w:val="none"/>
              </w:rPr>
            </w:pPr>
          </w:p>
        </w:tc>
        <w:tc>
          <w:tcPr>
            <w:tcW w:w="1680" w:type="dxa"/>
            <w:tcBorders>
              <w:top w:val="nil"/>
              <w:left w:val="nil"/>
              <w:bottom w:val="single" w:color="auto" w:sz="4" w:space="0"/>
              <w:right w:val="nil"/>
            </w:tcBorders>
            <w:shd w:val="clear" w:color="auto" w:fill="auto"/>
            <w:noWrap/>
            <w:vAlign w:val="center"/>
          </w:tcPr>
          <w:p w14:paraId="5A36A93D">
            <w:pPr>
              <w:rPr>
                <w:rFonts w:hint="eastAsia" w:ascii="宋体" w:hAnsi="宋体" w:eastAsia="宋体" w:cs="宋体"/>
                <w:i w:val="0"/>
                <w:iCs w:val="0"/>
                <w:color w:val="000000"/>
                <w:sz w:val="22"/>
                <w:szCs w:val="22"/>
                <w:u w:val="none"/>
              </w:rPr>
            </w:pPr>
          </w:p>
        </w:tc>
        <w:tc>
          <w:tcPr>
            <w:tcW w:w="1680" w:type="dxa"/>
            <w:tcBorders>
              <w:top w:val="nil"/>
              <w:left w:val="nil"/>
              <w:bottom w:val="single" w:color="auto" w:sz="4" w:space="0"/>
              <w:right w:val="nil"/>
            </w:tcBorders>
            <w:shd w:val="clear" w:color="auto" w:fill="auto"/>
            <w:noWrap/>
            <w:vAlign w:val="center"/>
          </w:tcPr>
          <w:p w14:paraId="118922E7">
            <w:pPr>
              <w:rPr>
                <w:rFonts w:hint="eastAsia" w:ascii="宋体" w:hAnsi="宋体" w:eastAsia="宋体" w:cs="宋体"/>
                <w:i w:val="0"/>
                <w:iCs w:val="0"/>
                <w:color w:val="000000"/>
                <w:sz w:val="22"/>
                <w:szCs w:val="22"/>
                <w:u w:val="none"/>
              </w:rPr>
            </w:pPr>
          </w:p>
        </w:tc>
        <w:tc>
          <w:tcPr>
            <w:tcW w:w="1680" w:type="dxa"/>
            <w:tcBorders>
              <w:top w:val="nil"/>
              <w:left w:val="nil"/>
              <w:bottom w:val="single" w:color="auto" w:sz="4" w:space="0"/>
              <w:right w:val="nil"/>
            </w:tcBorders>
            <w:shd w:val="clear" w:color="auto" w:fill="auto"/>
            <w:noWrap/>
            <w:vAlign w:val="center"/>
          </w:tcPr>
          <w:p w14:paraId="7E83B253">
            <w:pPr>
              <w:rPr>
                <w:rFonts w:hint="eastAsia" w:ascii="宋体" w:hAnsi="宋体" w:eastAsia="宋体" w:cs="宋体"/>
                <w:i w:val="0"/>
                <w:iCs w:val="0"/>
                <w:color w:val="000000"/>
                <w:sz w:val="22"/>
                <w:szCs w:val="22"/>
                <w:u w:val="none"/>
              </w:rPr>
            </w:pPr>
          </w:p>
        </w:tc>
        <w:tc>
          <w:tcPr>
            <w:tcW w:w="1680" w:type="dxa"/>
            <w:tcBorders>
              <w:top w:val="nil"/>
              <w:left w:val="nil"/>
              <w:bottom w:val="single" w:color="auto" w:sz="4" w:space="0"/>
              <w:right w:val="nil"/>
            </w:tcBorders>
            <w:shd w:val="clear" w:color="auto" w:fill="auto"/>
            <w:noWrap/>
            <w:vAlign w:val="center"/>
          </w:tcPr>
          <w:p w14:paraId="627477A8">
            <w:pPr>
              <w:rPr>
                <w:rFonts w:hint="eastAsia" w:ascii="宋体" w:hAnsi="宋体" w:eastAsia="宋体" w:cs="宋体"/>
                <w:i w:val="0"/>
                <w:iCs w:val="0"/>
                <w:color w:val="000000"/>
                <w:sz w:val="22"/>
                <w:szCs w:val="22"/>
                <w:u w:val="none"/>
              </w:rPr>
            </w:pPr>
          </w:p>
        </w:tc>
        <w:tc>
          <w:tcPr>
            <w:tcW w:w="1680" w:type="dxa"/>
            <w:tcBorders>
              <w:top w:val="nil"/>
              <w:left w:val="nil"/>
              <w:bottom w:val="single" w:color="auto" w:sz="4" w:space="0"/>
              <w:right w:val="nil"/>
            </w:tcBorders>
            <w:shd w:val="clear" w:color="auto" w:fill="auto"/>
            <w:noWrap/>
            <w:vAlign w:val="bottom"/>
          </w:tcPr>
          <w:p w14:paraId="507D26B1">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C8D5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B18F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8B8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6D083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504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2724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07490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54772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EE93A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393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EC53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C5B7E4">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4814B65">
            <w:pPr>
              <w:jc w:val="center"/>
              <w:rPr>
                <w:rFonts w:hint="eastAsia" w:ascii="宋体" w:hAnsi="宋体" w:eastAsia="宋体" w:cs="宋体"/>
                <w:i w:val="0"/>
                <w:iCs w:val="0"/>
                <w:color w:val="000000"/>
                <w:sz w:val="22"/>
                <w:szCs w:val="22"/>
                <w:u w:val="none"/>
              </w:rPr>
            </w:pP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F0DE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70B1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4872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7724F5">
            <w:pPr>
              <w:jc w:val="center"/>
              <w:rPr>
                <w:rFonts w:hint="eastAsia" w:ascii="宋体" w:hAnsi="宋体" w:eastAsia="宋体" w:cs="宋体"/>
                <w:i w:val="0"/>
                <w:iCs w:val="0"/>
                <w:color w:val="000000"/>
                <w:sz w:val="22"/>
                <w:szCs w:val="22"/>
                <w:u w:val="none"/>
              </w:rPr>
            </w:pPr>
          </w:p>
        </w:tc>
      </w:tr>
      <w:tr w14:paraId="0297A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0D6E00">
            <w:pPr>
              <w:jc w:val="center"/>
              <w:rPr>
                <w:rFonts w:hint="eastAsia" w:ascii="宋体" w:hAnsi="宋体" w:eastAsia="宋体" w:cs="宋体"/>
                <w:i w:val="0"/>
                <w:iCs w:val="0"/>
                <w:color w:val="000000"/>
                <w:sz w:val="22"/>
                <w:szCs w:val="22"/>
                <w:u w:val="none"/>
              </w:rPr>
            </w:pPr>
          </w:p>
        </w:tc>
        <w:tc>
          <w:tcPr>
            <w:tcW w:w="393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D6FABA6">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DF09BAF">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DE585DA">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95FFCB">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E7805C5">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7D4610F">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9C86DA9">
            <w:pPr>
              <w:jc w:val="center"/>
              <w:rPr>
                <w:rFonts w:hint="eastAsia" w:ascii="宋体" w:hAnsi="宋体" w:eastAsia="宋体" w:cs="宋体"/>
                <w:i w:val="0"/>
                <w:iCs w:val="0"/>
                <w:color w:val="000000"/>
                <w:sz w:val="22"/>
                <w:szCs w:val="22"/>
                <w:u w:val="none"/>
              </w:rPr>
            </w:pPr>
          </w:p>
        </w:tc>
      </w:tr>
      <w:tr w14:paraId="32D08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1EE3D3">
            <w:pPr>
              <w:jc w:val="center"/>
              <w:rPr>
                <w:rFonts w:hint="eastAsia" w:ascii="宋体" w:hAnsi="宋体" w:eastAsia="宋体" w:cs="宋体"/>
                <w:i w:val="0"/>
                <w:iCs w:val="0"/>
                <w:color w:val="000000"/>
                <w:sz w:val="22"/>
                <w:szCs w:val="22"/>
                <w:u w:val="none"/>
              </w:rPr>
            </w:pPr>
          </w:p>
        </w:tc>
        <w:tc>
          <w:tcPr>
            <w:tcW w:w="3930"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D51C4A">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32FC3F">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22AEEF">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97E8EB1">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60368B">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5CDF89F">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85FC4D7">
            <w:pPr>
              <w:jc w:val="center"/>
              <w:rPr>
                <w:rFonts w:hint="eastAsia" w:ascii="宋体" w:hAnsi="宋体" w:eastAsia="宋体" w:cs="宋体"/>
                <w:i w:val="0"/>
                <w:iCs w:val="0"/>
                <w:color w:val="000000"/>
                <w:sz w:val="22"/>
                <w:szCs w:val="22"/>
                <w:u w:val="none"/>
              </w:rPr>
            </w:pPr>
          </w:p>
        </w:tc>
      </w:tr>
      <w:tr w14:paraId="5DA5B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491FB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72E9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FBA6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BF28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F4D23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839EC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521E2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7E566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92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617B2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D7C965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46C1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39B56B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4F3FA85">
            <w:pPr>
              <w:jc w:val="right"/>
              <w:rPr>
                <w:rFonts w:hint="eastAsia" w:ascii="宋体" w:hAnsi="宋体" w:eastAsia="宋体" w:cs="宋体"/>
                <w:b/>
                <w:bCs/>
                <w:i w:val="0"/>
                <w:iCs w:val="0"/>
                <w:color w:val="000000"/>
                <w:sz w:val="22"/>
                <w:szCs w:val="22"/>
                <w:u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A0C72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DA0946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0712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D77E9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3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7B1D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0560C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B37F5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7BE1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0D801F">
            <w:pPr>
              <w:jc w:val="right"/>
              <w:rPr>
                <w:rFonts w:hint="eastAsia" w:ascii="宋体" w:hAnsi="宋体" w:eastAsia="宋体" w:cs="宋体"/>
                <w:i w:val="0"/>
                <w:iCs w:val="0"/>
                <w:color w:val="000000"/>
                <w:sz w:val="22"/>
                <w:szCs w:val="22"/>
                <w:u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4A20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72B64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EE7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9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D85FA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3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94FBA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4E243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091B9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B7A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F070FF">
            <w:pPr>
              <w:jc w:val="right"/>
              <w:rPr>
                <w:rFonts w:hint="eastAsia" w:ascii="宋体" w:hAnsi="宋体" w:eastAsia="宋体" w:cs="宋体"/>
                <w:i w:val="0"/>
                <w:iCs w:val="0"/>
                <w:color w:val="000000"/>
                <w:sz w:val="22"/>
                <w:szCs w:val="22"/>
                <w:u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B4FD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280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030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4BACB9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393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C6285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其他地方自行试点项目收益专项债券收入安排的支出</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D581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DEE5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C2A7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8A2E217">
            <w:pPr>
              <w:jc w:val="right"/>
              <w:rPr>
                <w:rFonts w:hint="eastAsia" w:ascii="宋体" w:hAnsi="宋体" w:eastAsia="宋体" w:cs="宋体"/>
                <w:i w:val="0"/>
                <w:iCs w:val="0"/>
                <w:color w:val="000000"/>
                <w:sz w:val="22"/>
                <w:szCs w:val="22"/>
                <w:u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C8A4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3,142.51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B412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A1E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5000" w:type="dxa"/>
            <w:gridSpan w:val="10"/>
            <w:tcBorders>
              <w:top w:val="single" w:color="auto" w:sz="4" w:space="0"/>
              <w:left w:val="nil"/>
              <w:bottom w:val="nil"/>
              <w:right w:val="nil"/>
            </w:tcBorders>
            <w:shd w:val="clear" w:color="auto" w:fill="auto"/>
            <w:noWrap/>
            <w:vAlign w:val="center"/>
          </w:tcPr>
          <w:p w14:paraId="4357C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bl>
    <w:p w14:paraId="29F0AED5">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tbl>
      <w:tblPr>
        <w:tblStyle w:val="11"/>
        <w:tblW w:w="147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25"/>
        <w:gridCol w:w="324"/>
        <w:gridCol w:w="324"/>
        <w:gridCol w:w="1599"/>
        <w:gridCol w:w="1544"/>
        <w:gridCol w:w="2256"/>
        <w:gridCol w:w="5218"/>
      </w:tblGrid>
      <w:tr w14:paraId="645F0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790" w:type="dxa"/>
            <w:gridSpan w:val="7"/>
            <w:tcBorders>
              <w:top w:val="nil"/>
              <w:left w:val="nil"/>
              <w:bottom w:val="nil"/>
              <w:right w:val="nil"/>
            </w:tcBorders>
            <w:shd w:val="clear" w:color="auto" w:fill="auto"/>
            <w:noWrap/>
            <w:vAlign w:val="center"/>
          </w:tcPr>
          <w:p w14:paraId="359723EA">
            <w:pPr>
              <w:keepNext w:val="0"/>
              <w:keepLines w:val="0"/>
              <w:widowControl/>
              <w:suppressLineNumbers w:val="0"/>
              <w:jc w:val="center"/>
              <w:textAlignment w:val="center"/>
              <w:rPr>
                <w:rFonts w:ascii="黑体" w:hAnsi="宋体" w:eastAsia="黑体" w:cs="黑体"/>
                <w:i w:val="0"/>
                <w:iCs w:val="0"/>
                <w:color w:val="000000"/>
                <w:sz w:val="30"/>
                <w:szCs w:val="30"/>
                <w:u w:val="none"/>
              </w:rPr>
            </w:pPr>
            <w:r>
              <w:rPr>
                <w:rFonts w:hint="eastAsia" w:ascii="黑体" w:hAnsi="宋体" w:eastAsia="黑体" w:cs="黑体"/>
                <w:i w:val="0"/>
                <w:iCs w:val="0"/>
                <w:color w:val="000000"/>
                <w:kern w:val="0"/>
                <w:sz w:val="30"/>
                <w:szCs w:val="30"/>
                <w:u w:val="none"/>
                <w:lang w:val="en-US" w:eastAsia="zh-CN" w:bidi="ar"/>
              </w:rPr>
              <w:t>国有资本经营预算财政拨款支出决算表</w:t>
            </w:r>
          </w:p>
        </w:tc>
      </w:tr>
      <w:tr w14:paraId="0CFFA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38E3413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3132D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39B80B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1CC8042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D5B001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06F5AD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0735111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0D1DE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nil"/>
              <w:left w:val="nil"/>
              <w:bottom w:val="single" w:color="auto" w:sz="4" w:space="0"/>
              <w:right w:val="nil"/>
            </w:tcBorders>
            <w:shd w:val="clear" w:color="auto" w:fill="auto"/>
            <w:noWrap/>
            <w:vAlign w:val="bottom"/>
          </w:tcPr>
          <w:p w14:paraId="6DB9EE1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single" w:color="auto" w:sz="4" w:space="0"/>
              <w:right w:val="nil"/>
            </w:tcBorders>
            <w:shd w:val="clear" w:color="auto" w:fill="auto"/>
            <w:noWrap/>
            <w:vAlign w:val="center"/>
          </w:tcPr>
          <w:p w14:paraId="47ACAB24">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6C919D3A">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736B33E1">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04171C4B">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1936D919">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bottom"/>
          </w:tcPr>
          <w:p w14:paraId="31D1A15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26CC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2E23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987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F59E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2EE1E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A727E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CA83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F1F8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265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722DE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53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9A03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665A5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0C6602">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FA2A78">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7EF35C">
            <w:pPr>
              <w:jc w:val="center"/>
              <w:rPr>
                <w:rFonts w:hint="eastAsia" w:ascii="宋体" w:hAnsi="宋体" w:eastAsia="宋体" w:cs="宋体"/>
                <w:i w:val="0"/>
                <w:iCs w:val="0"/>
                <w:color w:val="000000"/>
                <w:sz w:val="22"/>
                <w:szCs w:val="22"/>
                <w:u w:val="none"/>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409E6B9">
            <w:pPr>
              <w:jc w:val="center"/>
              <w:rPr>
                <w:rFonts w:hint="eastAsia" w:ascii="宋体" w:hAnsi="宋体" w:eastAsia="宋体" w:cs="宋体"/>
                <w:i w:val="0"/>
                <w:iCs w:val="0"/>
                <w:color w:val="000000"/>
                <w:sz w:val="22"/>
                <w:szCs w:val="22"/>
                <w:u w:val="none"/>
              </w:rPr>
            </w:pPr>
          </w:p>
        </w:tc>
        <w:tc>
          <w:tcPr>
            <w:tcW w:w="55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355387F">
            <w:pPr>
              <w:jc w:val="center"/>
              <w:rPr>
                <w:rFonts w:hint="eastAsia" w:ascii="宋体" w:hAnsi="宋体" w:eastAsia="宋体" w:cs="宋体"/>
                <w:i w:val="0"/>
                <w:iCs w:val="0"/>
                <w:color w:val="000000"/>
                <w:sz w:val="22"/>
                <w:szCs w:val="22"/>
                <w:u w:val="none"/>
              </w:rPr>
            </w:pPr>
          </w:p>
        </w:tc>
      </w:tr>
      <w:tr w14:paraId="35CD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990"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5FFDBC7">
            <w:pPr>
              <w:jc w:val="center"/>
              <w:rPr>
                <w:rFonts w:hint="eastAsia" w:ascii="宋体" w:hAnsi="宋体" w:eastAsia="宋体" w:cs="宋体"/>
                <w:i w:val="0"/>
                <w:iCs w:val="0"/>
                <w:color w:val="000000"/>
                <w:sz w:val="22"/>
                <w:szCs w:val="22"/>
                <w:u w:val="none"/>
              </w:rPr>
            </w:pPr>
          </w:p>
        </w:tc>
        <w:tc>
          <w:tcPr>
            <w:tcW w:w="0" w:type="auto"/>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202F1A5">
            <w:pPr>
              <w:jc w:val="center"/>
              <w:rPr>
                <w:rFonts w:hint="eastAsia" w:ascii="宋体" w:hAnsi="宋体" w:eastAsia="宋体" w:cs="宋体"/>
                <w:i w:val="0"/>
                <w:iCs w:val="0"/>
                <w:color w:val="000000"/>
                <w:sz w:val="22"/>
                <w:szCs w:val="22"/>
                <w:u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CA9889">
            <w:pPr>
              <w:jc w:val="center"/>
              <w:rPr>
                <w:rFonts w:hint="eastAsia" w:ascii="宋体" w:hAnsi="宋体" w:eastAsia="宋体" w:cs="宋体"/>
                <w:i w:val="0"/>
                <w:iCs w:val="0"/>
                <w:color w:val="000000"/>
                <w:sz w:val="22"/>
                <w:szCs w:val="22"/>
                <w:u w:val="none"/>
              </w:rPr>
            </w:pPr>
          </w:p>
        </w:tc>
        <w:tc>
          <w:tcPr>
            <w:tcW w:w="265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82CCC5">
            <w:pPr>
              <w:jc w:val="center"/>
              <w:rPr>
                <w:rFonts w:hint="eastAsia" w:ascii="宋体" w:hAnsi="宋体" w:eastAsia="宋体" w:cs="宋体"/>
                <w:i w:val="0"/>
                <w:iCs w:val="0"/>
                <w:color w:val="000000"/>
                <w:sz w:val="22"/>
                <w:szCs w:val="22"/>
                <w:u w:val="none"/>
              </w:rPr>
            </w:pPr>
          </w:p>
        </w:tc>
        <w:tc>
          <w:tcPr>
            <w:tcW w:w="553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B8EA65D">
            <w:pPr>
              <w:jc w:val="center"/>
              <w:rPr>
                <w:rFonts w:hint="eastAsia" w:ascii="宋体" w:hAnsi="宋体" w:eastAsia="宋体" w:cs="宋体"/>
                <w:i w:val="0"/>
                <w:iCs w:val="0"/>
                <w:color w:val="000000"/>
                <w:sz w:val="22"/>
                <w:szCs w:val="22"/>
                <w:u w:val="none"/>
              </w:rPr>
            </w:pPr>
          </w:p>
        </w:tc>
      </w:tr>
      <w:tr w14:paraId="4A5F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9721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E2667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504C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89D7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0D597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713F1E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361EFE4D">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我单位没有使用国有资本经营预算安排的支出，故本单位无数据。</w:t>
            </w:r>
          </w:p>
        </w:tc>
      </w:tr>
      <w:tr w14:paraId="42ECB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2440FBC">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89A4F6F">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2B25012">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1320117">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2C2853B">
            <w:pPr>
              <w:jc w:val="right"/>
              <w:rPr>
                <w:rFonts w:hint="eastAsia" w:ascii="宋体" w:hAnsi="宋体" w:eastAsia="宋体" w:cs="宋体"/>
                <w:i w:val="0"/>
                <w:iCs w:val="0"/>
                <w:color w:val="000000"/>
                <w:sz w:val="22"/>
                <w:szCs w:val="22"/>
                <w:u w:val="none"/>
              </w:rPr>
            </w:pPr>
          </w:p>
        </w:tc>
      </w:tr>
      <w:tr w14:paraId="73A2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192DB1D9">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49B808D">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F1395D8">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34F1E74">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D978E28">
            <w:pPr>
              <w:jc w:val="right"/>
              <w:rPr>
                <w:rFonts w:hint="eastAsia" w:ascii="宋体" w:hAnsi="宋体" w:eastAsia="宋体" w:cs="宋体"/>
                <w:i w:val="0"/>
                <w:iCs w:val="0"/>
                <w:color w:val="000000"/>
                <w:sz w:val="22"/>
                <w:szCs w:val="22"/>
                <w:u w:val="none"/>
              </w:rPr>
            </w:pPr>
          </w:p>
        </w:tc>
      </w:tr>
      <w:tr w14:paraId="53FFA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7"/>
            <w:tcBorders>
              <w:top w:val="single" w:color="auto" w:sz="4" w:space="0"/>
              <w:left w:val="nil"/>
              <w:bottom w:val="nil"/>
              <w:right w:val="nil"/>
            </w:tcBorders>
            <w:shd w:val="clear" w:color="auto" w:fill="auto"/>
            <w:noWrap/>
            <w:vAlign w:val="center"/>
          </w:tcPr>
          <w:p w14:paraId="24C34C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r w14:paraId="45D12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gridSpan w:val="7"/>
            <w:tcBorders>
              <w:top w:val="nil"/>
              <w:left w:val="nil"/>
              <w:bottom w:val="nil"/>
              <w:right w:val="nil"/>
            </w:tcBorders>
            <w:shd w:val="clear" w:color="auto" w:fill="auto"/>
            <w:noWrap/>
            <w:vAlign w:val="center"/>
          </w:tcPr>
          <w:p w14:paraId="133B05B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说明：我单位没有使用国有资本经营预算安排的支出，故本单位无数据。</w:t>
            </w:r>
          </w:p>
        </w:tc>
      </w:tr>
    </w:tbl>
    <w:p w14:paraId="154756E4">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219ED4BF">
      <w:pPr>
        <w:tabs>
          <w:tab w:val="left" w:pos="1410"/>
          <w:tab w:val="left" w:pos="2820"/>
          <w:tab w:val="left" w:pos="4230"/>
          <w:tab w:val="left" w:pos="5640"/>
          <w:tab w:val="left" w:pos="7050"/>
          <w:tab w:val="left" w:pos="8460"/>
          <w:tab w:val="left" w:pos="9870"/>
          <w:tab w:val="left" w:pos="11280"/>
          <w:tab w:val="left" w:pos="12690"/>
          <w:tab w:val="left" w:pos="14100"/>
          <w:tab w:val="left" w:pos="15510"/>
        </w:tabs>
        <w:jc w:val="center"/>
        <w:rPr>
          <w:rFonts w:hint="eastAsia" w:ascii="宋体" w:hAnsi="宋体" w:eastAsia="宋体" w:cs="宋体"/>
          <w:i w:val="0"/>
          <w:iCs w:val="0"/>
          <w:color w:val="000000"/>
          <w:sz w:val="22"/>
          <w:szCs w:val="22"/>
          <w:u w:val="none"/>
        </w:rPr>
      </w:pPr>
      <w:r>
        <w:rPr>
          <w:rFonts w:hint="eastAsia" w:ascii="黑体" w:hAnsi="宋体" w:eastAsia="黑体" w:cs="黑体"/>
          <w:i w:val="0"/>
          <w:iCs w:val="0"/>
          <w:color w:val="000000"/>
          <w:kern w:val="0"/>
          <w:sz w:val="44"/>
          <w:szCs w:val="44"/>
          <w:u w:val="none"/>
          <w:lang w:val="en-US" w:eastAsia="zh-CN" w:bidi="ar"/>
        </w:rPr>
        <w:t>财政拨款“三公”经费支出决算表</w:t>
      </w:r>
    </w:p>
    <w:tbl>
      <w:tblPr>
        <w:tblStyle w:val="11"/>
        <w:tblW w:w="14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6"/>
        <w:gridCol w:w="1162"/>
        <w:gridCol w:w="1060"/>
        <w:gridCol w:w="958"/>
        <w:gridCol w:w="1061"/>
        <w:gridCol w:w="1061"/>
        <w:gridCol w:w="1112"/>
        <w:gridCol w:w="1163"/>
        <w:gridCol w:w="1061"/>
        <w:gridCol w:w="959"/>
        <w:gridCol w:w="1061"/>
        <w:gridCol w:w="1666"/>
      </w:tblGrid>
      <w:tr w14:paraId="11DB1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nil"/>
              <w:right w:val="nil"/>
            </w:tcBorders>
            <w:shd w:val="clear" w:color="auto" w:fill="auto"/>
            <w:noWrap/>
            <w:vAlign w:val="center"/>
          </w:tcPr>
          <w:p w14:paraId="46D306B2">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7E41FA">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C06B765">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B61313E">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94207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44DD256C">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9D2463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76DC20CB">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65A0E654">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073ECCA6">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22CC5390">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bottom"/>
          </w:tcPr>
          <w:p w14:paraId="110135B2">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65C44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nil"/>
              <w:left w:val="nil"/>
              <w:bottom w:val="single" w:color="auto" w:sz="4" w:space="0"/>
              <w:right w:val="nil"/>
            </w:tcBorders>
            <w:shd w:val="clear" w:color="auto" w:fill="auto"/>
            <w:noWrap/>
            <w:vAlign w:val="bottom"/>
          </w:tcPr>
          <w:p w14:paraId="57E2B350">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部门：溆浦县农业农村局</w:t>
            </w:r>
          </w:p>
        </w:tc>
        <w:tc>
          <w:tcPr>
            <w:tcW w:w="0" w:type="auto"/>
            <w:tcBorders>
              <w:top w:val="nil"/>
              <w:left w:val="nil"/>
              <w:bottom w:val="single" w:color="auto" w:sz="4" w:space="0"/>
              <w:right w:val="nil"/>
            </w:tcBorders>
            <w:shd w:val="clear" w:color="auto" w:fill="auto"/>
            <w:noWrap/>
            <w:vAlign w:val="center"/>
          </w:tcPr>
          <w:p w14:paraId="32E0CF2E">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07CF10A8">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17E86FCE">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10CF8101">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7C78325C">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46CFF7A8">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4562ADEF">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50BF92E7">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1B66C627">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center"/>
          </w:tcPr>
          <w:p w14:paraId="212F8BAA">
            <w:pPr>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nil"/>
            </w:tcBorders>
            <w:shd w:val="clear" w:color="auto" w:fill="auto"/>
            <w:noWrap/>
            <w:vAlign w:val="bottom"/>
          </w:tcPr>
          <w:p w14:paraId="0E5A81E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C04B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846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5CE14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876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09AB95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270E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4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6F6D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BEC7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C473A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B7F2B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4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9F45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818D5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42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0391C1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1F84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53FA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4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CDCA06">
            <w:pPr>
              <w:jc w:val="center"/>
              <w:rPr>
                <w:rFonts w:hint="eastAsia" w:ascii="宋体" w:hAnsi="宋体" w:eastAsia="宋体" w:cs="宋体"/>
                <w:i w:val="0"/>
                <w:iCs w:val="0"/>
                <w:color w:val="000000"/>
                <w:sz w:val="22"/>
                <w:szCs w:val="22"/>
                <w:u w:val="none"/>
              </w:rPr>
            </w:pPr>
          </w:p>
        </w:tc>
        <w:tc>
          <w:tcPr>
            <w:tcW w:w="14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CBFC2D">
            <w:pPr>
              <w:jc w:val="center"/>
              <w:rPr>
                <w:rFonts w:hint="eastAsia" w:ascii="宋体" w:hAnsi="宋体" w:eastAsia="宋体" w:cs="宋体"/>
                <w:i w:val="0"/>
                <w:iCs w:val="0"/>
                <w:color w:val="000000"/>
                <w:sz w:val="22"/>
                <w:szCs w:val="22"/>
                <w:u w:val="none"/>
              </w:rPr>
            </w:pP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0B149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25B6A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C1C4E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D689507">
            <w:pPr>
              <w:jc w:val="center"/>
              <w:rPr>
                <w:rFonts w:hint="eastAsia" w:ascii="宋体" w:hAnsi="宋体" w:eastAsia="宋体" w:cs="宋体"/>
                <w:i w:val="0"/>
                <w:iCs w:val="0"/>
                <w:color w:val="000000"/>
                <w:sz w:val="22"/>
                <w:szCs w:val="22"/>
                <w:u w:val="none"/>
              </w:rPr>
            </w:pPr>
          </w:p>
        </w:tc>
        <w:tc>
          <w:tcPr>
            <w:tcW w:w="14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17D5BC2">
            <w:pPr>
              <w:jc w:val="center"/>
              <w:rPr>
                <w:rFonts w:hint="eastAsia" w:ascii="宋体" w:hAnsi="宋体" w:eastAsia="宋体" w:cs="宋体"/>
                <w:i w:val="0"/>
                <w:iCs w:val="0"/>
                <w:color w:val="000000"/>
                <w:sz w:val="22"/>
                <w:szCs w:val="22"/>
                <w:u w:val="none"/>
              </w:rPr>
            </w:pPr>
          </w:p>
        </w:tc>
        <w:tc>
          <w:tcPr>
            <w:tcW w:w="14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A0EE63">
            <w:pPr>
              <w:jc w:val="center"/>
              <w:rPr>
                <w:rFonts w:hint="eastAsia" w:ascii="宋体" w:hAnsi="宋体" w:eastAsia="宋体" w:cs="宋体"/>
                <w:i w:val="0"/>
                <w:iCs w:val="0"/>
                <w:color w:val="000000"/>
                <w:sz w:val="22"/>
                <w:szCs w:val="22"/>
                <w:u w:val="none"/>
              </w:rPr>
            </w:pP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5BFFD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6A9A6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4DDFF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71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260F264">
            <w:pPr>
              <w:jc w:val="center"/>
              <w:rPr>
                <w:rFonts w:hint="eastAsia" w:ascii="宋体" w:hAnsi="宋体" w:eastAsia="宋体" w:cs="宋体"/>
                <w:i w:val="0"/>
                <w:iCs w:val="0"/>
                <w:color w:val="000000"/>
                <w:sz w:val="22"/>
                <w:szCs w:val="22"/>
                <w:u w:val="none"/>
              </w:rPr>
            </w:pPr>
          </w:p>
        </w:tc>
      </w:tr>
      <w:tr w14:paraId="2D8D1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3FA5DA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0883D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BFE4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66AAF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6028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C7E7B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20F4BE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538D0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707E1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1141E0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410" w:type="dxa"/>
            <w:tcBorders>
              <w:top w:val="single" w:color="auto" w:sz="4" w:space="0"/>
              <w:left w:val="single" w:color="auto" w:sz="4" w:space="0"/>
              <w:bottom w:val="single" w:color="auto" w:sz="4" w:space="0"/>
              <w:right w:val="single" w:color="auto" w:sz="4" w:space="0"/>
            </w:tcBorders>
            <w:shd w:val="clear" w:color="auto" w:fill="auto"/>
            <w:vAlign w:val="center"/>
          </w:tcPr>
          <w:p w14:paraId="7DDF0E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710" w:type="dxa"/>
            <w:tcBorders>
              <w:top w:val="single" w:color="auto" w:sz="4" w:space="0"/>
              <w:left w:val="single" w:color="auto" w:sz="4" w:space="0"/>
              <w:bottom w:val="single" w:color="auto" w:sz="4" w:space="0"/>
              <w:right w:val="single" w:color="auto" w:sz="4" w:space="0"/>
            </w:tcBorders>
            <w:shd w:val="clear" w:color="auto" w:fill="auto"/>
            <w:vAlign w:val="center"/>
          </w:tcPr>
          <w:p w14:paraId="5BFA0D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16A01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76EB31C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F591EBE">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CBE6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5FCA90AD">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35288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92F2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18E86E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13.89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013CE61">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8B233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C490A59">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3E730B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45B734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7.59</w:t>
            </w:r>
          </w:p>
        </w:tc>
      </w:tr>
      <w:tr w14:paraId="670C3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7220" w:type="dxa"/>
            <w:gridSpan w:val="12"/>
            <w:tcBorders>
              <w:top w:val="single" w:color="auto" w:sz="4" w:space="0"/>
              <w:left w:val="nil"/>
              <w:bottom w:val="nil"/>
              <w:right w:val="nil"/>
            </w:tcBorders>
            <w:shd w:val="clear" w:color="auto" w:fill="auto"/>
            <w:vAlign w:val="center"/>
          </w:tcPr>
          <w:p w14:paraId="0DCEAB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6D154259">
      <w:pPr>
        <w:rPr>
          <w:rFonts w:hint="eastAsia" w:ascii="方正小标宋_GBK" w:hAnsi="方正小标宋_GBK" w:eastAsia="方正小标宋_GBK" w:cs="方正小标宋_GBK"/>
          <w:color w:val="auto"/>
          <w:sz w:val="72"/>
          <w:szCs w:val="72"/>
        </w:rPr>
      </w:pPr>
    </w:p>
    <w:p w14:paraId="764B14F0">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2E13F988">
      <w:pPr>
        <w:pStyle w:val="16"/>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第三部分</w:t>
      </w:r>
    </w:p>
    <w:p w14:paraId="31888E76">
      <w:pPr>
        <w:pStyle w:val="16"/>
        <w:jc w:val="center"/>
        <w:rPr>
          <w:rFonts w:hint="eastAsia" w:ascii="方正小标宋_GBK" w:hAnsi="方正小标宋_GBK" w:eastAsia="方正小标宋_GBK" w:cs="方正小标宋_GBK"/>
          <w:color w:val="auto"/>
          <w:sz w:val="70"/>
          <w:szCs w:val="70"/>
        </w:rPr>
      </w:pPr>
      <w:r>
        <w:rPr>
          <w:rFonts w:hint="eastAsia" w:ascii="方正小标宋_GBK" w:hAnsi="方正小标宋_GBK" w:eastAsia="方正小标宋_GBK" w:cs="方正小标宋_GBK"/>
          <w:color w:val="auto"/>
          <w:sz w:val="70"/>
          <w:szCs w:val="70"/>
        </w:rPr>
        <w:t>202</w:t>
      </w:r>
      <w:r>
        <w:rPr>
          <w:rFonts w:hint="eastAsia" w:ascii="方正小标宋_GBK" w:hAnsi="方正小标宋_GBK" w:eastAsia="方正小标宋_GBK" w:cs="方正小标宋_GBK"/>
          <w:color w:val="auto"/>
          <w:sz w:val="70"/>
          <w:szCs w:val="70"/>
          <w:lang w:val="en-US" w:eastAsia="zh-CN"/>
        </w:rPr>
        <w:t>4</w:t>
      </w:r>
      <w:r>
        <w:rPr>
          <w:rFonts w:hint="eastAsia" w:ascii="方正小标宋_GBK" w:hAnsi="方正小标宋_GBK" w:eastAsia="方正小标宋_GBK" w:cs="方正小标宋_GBK"/>
          <w:color w:val="auto"/>
          <w:sz w:val="70"/>
          <w:szCs w:val="70"/>
        </w:rPr>
        <w:t>年度部门决算情况说明</w:t>
      </w:r>
    </w:p>
    <w:p w14:paraId="42ADF6EF">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一、收入支出决算总体情况说明</w:t>
      </w:r>
    </w:p>
    <w:p w14:paraId="7CFFC5BF">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年度收、支总计</w:t>
      </w:r>
      <w:r>
        <w:rPr>
          <w:rFonts w:hint="eastAsia" w:ascii="Times New Roman" w:hAnsi="Times New Roman" w:eastAsia="仿宋_GB2312"/>
          <w:color w:val="auto"/>
          <w:sz w:val="32"/>
          <w:szCs w:val="32"/>
          <w:lang w:val="en-US" w:eastAsia="zh-CN"/>
        </w:rPr>
        <w:t>31,141.96</w:t>
      </w:r>
      <w:r>
        <w:rPr>
          <w:rFonts w:hint="eastAsia" w:ascii="Times New Roman" w:hAnsi="Times New Roman" w:eastAsia="仿宋_GB2312"/>
          <w:color w:val="auto"/>
          <w:sz w:val="32"/>
          <w:szCs w:val="32"/>
        </w:rPr>
        <w:t>万元。与上年相比，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1596.67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5.4</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本年度项目支出有所增加。</w:t>
      </w:r>
    </w:p>
    <w:p w14:paraId="4D6504C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二、收入决算情况说明</w:t>
      </w:r>
    </w:p>
    <w:p w14:paraId="01BE5BA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年度收入合计</w:t>
      </w:r>
      <w:r>
        <w:rPr>
          <w:rFonts w:hint="eastAsia" w:ascii="Times New Roman" w:hAnsi="Times New Roman" w:eastAsia="仿宋_GB2312"/>
          <w:color w:val="auto"/>
          <w:sz w:val="32"/>
          <w:szCs w:val="32"/>
          <w:lang w:val="en-US" w:eastAsia="zh-CN"/>
        </w:rPr>
        <w:t>31,141.96</w:t>
      </w:r>
      <w:r>
        <w:rPr>
          <w:rFonts w:hint="eastAsia" w:ascii="Times New Roman" w:hAnsi="Times New Roman" w:eastAsia="仿宋_GB2312"/>
          <w:color w:val="auto"/>
          <w:sz w:val="32"/>
          <w:szCs w:val="32"/>
        </w:rPr>
        <w:t>万元，其中：财政拨款收入</w:t>
      </w:r>
      <w:r>
        <w:rPr>
          <w:rFonts w:hint="eastAsia" w:ascii="Times New Roman" w:hAnsi="Times New Roman" w:eastAsia="仿宋_GB2312"/>
          <w:color w:val="auto"/>
          <w:sz w:val="32"/>
          <w:szCs w:val="32"/>
          <w:lang w:val="en-US" w:eastAsia="zh-CN"/>
        </w:rPr>
        <w:t>31,141.96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%；上级补助收入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%；事业收入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%；经营收入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%；附属单位上缴收入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%；其他收入</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501C5367">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三、支出决算情况说明</w:t>
      </w:r>
    </w:p>
    <w:p w14:paraId="1901272D">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年度支出合计</w:t>
      </w:r>
      <w:r>
        <w:rPr>
          <w:rFonts w:hint="eastAsia" w:ascii="Times New Roman" w:hAnsi="Times New Roman" w:eastAsia="仿宋_GB2312"/>
          <w:color w:val="auto"/>
          <w:sz w:val="32"/>
          <w:szCs w:val="32"/>
          <w:lang w:val="en-US" w:eastAsia="zh-CN"/>
        </w:rPr>
        <w:t>31,141.96</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2,191.56</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7.04</w:t>
      </w:r>
      <w:r>
        <w:rPr>
          <w:rFonts w:hint="eastAsia" w:ascii="Times New Roman" w:hAnsi="Times New Roman" w:eastAsia="仿宋_GB2312"/>
          <w:color w:val="auto"/>
          <w:sz w:val="32"/>
          <w:szCs w:val="32"/>
        </w:rPr>
        <w:t>%；项目支出</w:t>
      </w:r>
      <w:r>
        <w:rPr>
          <w:rFonts w:hint="eastAsia" w:ascii="Times New Roman" w:hAnsi="Times New Roman" w:eastAsia="仿宋_GB2312"/>
          <w:color w:val="auto"/>
          <w:sz w:val="32"/>
          <w:szCs w:val="32"/>
          <w:lang w:val="en-US" w:eastAsia="zh-CN"/>
        </w:rPr>
        <w:t>28,950.39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92.96</w:t>
      </w:r>
      <w:r>
        <w:rPr>
          <w:rFonts w:hint="eastAsia" w:ascii="Times New Roman" w:hAnsi="Times New Roman" w:eastAsia="仿宋_GB2312"/>
          <w:color w:val="auto"/>
          <w:sz w:val="32"/>
          <w:szCs w:val="32"/>
        </w:rPr>
        <w:t>%；上缴上级支出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%；经营支出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%；对附属单位补助支出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0CF87E8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四、财政拨款收入支出决算总体情况说明</w:t>
      </w:r>
    </w:p>
    <w:p w14:paraId="616F26C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年度财政拨款收、支总计</w:t>
      </w:r>
      <w:r>
        <w:rPr>
          <w:rFonts w:hint="eastAsia" w:ascii="Times New Roman" w:hAnsi="Times New Roman" w:eastAsia="仿宋_GB2312"/>
          <w:color w:val="auto"/>
          <w:sz w:val="32"/>
          <w:szCs w:val="32"/>
          <w:lang w:val="en-US" w:eastAsia="zh-CN"/>
        </w:rPr>
        <w:t>31,141.96</w:t>
      </w:r>
      <w:r>
        <w:rPr>
          <w:rFonts w:hint="eastAsia" w:ascii="Times New Roman" w:hAnsi="Times New Roman" w:eastAsia="仿宋_GB2312"/>
          <w:color w:val="auto"/>
          <w:sz w:val="32"/>
          <w:szCs w:val="32"/>
        </w:rPr>
        <w:t>万元，与上年相比，</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1,596.67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5.4</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本年度项目支出有所增加。</w:t>
      </w:r>
    </w:p>
    <w:p w14:paraId="7411A83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五、一般公共预算财政拨款支出决算情况说明</w:t>
      </w:r>
    </w:p>
    <w:p w14:paraId="3AF4EE4A">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（一）财政拨款支出决算总体情况</w:t>
      </w:r>
    </w:p>
    <w:p w14:paraId="76AF4D8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年度财政拨款支出</w:t>
      </w:r>
      <w:r>
        <w:rPr>
          <w:rFonts w:hint="eastAsia" w:ascii="Times New Roman" w:hAnsi="Times New Roman" w:eastAsia="仿宋_GB2312"/>
          <w:color w:val="auto"/>
          <w:sz w:val="32"/>
          <w:szCs w:val="32"/>
          <w:lang w:val="en-US" w:eastAsia="zh-CN"/>
        </w:rPr>
        <w:t>27,999.46万</w:t>
      </w:r>
      <w:r>
        <w:rPr>
          <w:rFonts w:hint="eastAsia" w:ascii="Times New Roman" w:hAnsi="Times New Roman" w:eastAsia="仿宋_GB2312"/>
          <w:color w:val="auto"/>
          <w:sz w:val="32"/>
          <w:szCs w:val="32"/>
        </w:rPr>
        <w:t>元，占本年支出合计的</w:t>
      </w:r>
      <w:r>
        <w:rPr>
          <w:rFonts w:hint="eastAsia" w:ascii="Times New Roman" w:hAnsi="Times New Roman" w:eastAsia="仿宋_GB2312"/>
          <w:color w:val="auto"/>
          <w:sz w:val="32"/>
          <w:szCs w:val="32"/>
          <w:lang w:val="en-US" w:eastAsia="zh-CN"/>
        </w:rPr>
        <w:t>89.91</w:t>
      </w:r>
      <w:r>
        <w:rPr>
          <w:rFonts w:hint="eastAsia" w:ascii="Times New Roman" w:hAnsi="Times New Roman" w:eastAsia="仿宋_GB2312"/>
          <w:color w:val="auto"/>
          <w:sz w:val="32"/>
          <w:szCs w:val="32"/>
        </w:rPr>
        <w:t>%，与上年相比，财政拨款支出</w:t>
      </w:r>
      <w:r>
        <w:rPr>
          <w:rFonts w:hint="eastAsia" w:ascii="Times New Roman" w:hAnsi="Times New Roman" w:eastAsia="仿宋_GB2312"/>
          <w:color w:val="auto"/>
          <w:sz w:val="32"/>
          <w:szCs w:val="32"/>
          <w:lang w:val="en-US" w:eastAsia="zh-CN"/>
        </w:rPr>
        <w:t>增加4,840.37</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val="en-US" w:eastAsia="zh-CN"/>
        </w:rPr>
        <w:t>增加20.9</w:t>
      </w:r>
      <w:r>
        <w:rPr>
          <w:rFonts w:hint="eastAsia" w:ascii="Times New Roman" w:hAnsi="Times New Roman" w:eastAsia="仿宋_GB2312"/>
          <w:color w:val="auto"/>
          <w:sz w:val="32"/>
          <w:szCs w:val="32"/>
        </w:rPr>
        <w:t>%，主要是因为</w:t>
      </w:r>
      <w:r>
        <w:rPr>
          <w:rFonts w:hint="eastAsia" w:ascii="Times New Roman" w:hAnsi="Times New Roman" w:eastAsia="仿宋_GB2312"/>
          <w:color w:val="auto"/>
          <w:sz w:val="32"/>
          <w:szCs w:val="32"/>
          <w:lang w:val="en-US" w:eastAsia="zh-CN"/>
        </w:rPr>
        <w:t>本年度项目支出增加。</w:t>
      </w:r>
    </w:p>
    <w:p w14:paraId="65CB52F6">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（二）财政拨款支出决算结构情况</w:t>
      </w:r>
    </w:p>
    <w:p w14:paraId="5882D52F">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4</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lang w:val="en-US" w:eastAsia="zh-CN"/>
        </w:rPr>
        <w:t>27,999.46</w:t>
      </w:r>
      <w:r>
        <w:rPr>
          <w:rFonts w:hint="eastAsia" w:ascii="Times New Roman" w:hAnsi="Times New Roman" w:eastAsia="仿宋_GB2312"/>
          <w:color w:val="auto"/>
          <w:sz w:val="32"/>
          <w:szCs w:val="32"/>
          <w:highlight w:val="none"/>
        </w:rPr>
        <w:t>万元，主要用于以下方面：一般公共服务（类）支出</w:t>
      </w:r>
      <w:r>
        <w:rPr>
          <w:rFonts w:hint="eastAsia" w:ascii="Times New Roman" w:hAnsi="Times New Roman" w:eastAsia="仿宋_GB2312"/>
          <w:color w:val="auto"/>
          <w:sz w:val="32"/>
          <w:szCs w:val="32"/>
          <w:highlight w:val="none"/>
          <w:lang w:val="en-US" w:eastAsia="zh-CN"/>
        </w:rPr>
        <w:t>61.25</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0.22</w:t>
      </w:r>
      <w:r>
        <w:rPr>
          <w:rFonts w:hint="eastAsia" w:ascii="Times New Roman" w:hAnsi="Times New Roman" w:eastAsia="仿宋_GB2312"/>
          <w:color w:val="auto"/>
          <w:sz w:val="32"/>
          <w:szCs w:val="32"/>
          <w:highlight w:val="none"/>
        </w:rPr>
        <w:t>%；社会保障和就业（类）支出</w:t>
      </w:r>
      <w:r>
        <w:rPr>
          <w:rFonts w:hint="eastAsia" w:ascii="Times New Roman" w:hAnsi="Times New Roman" w:eastAsia="仿宋_GB2312"/>
          <w:color w:val="auto"/>
          <w:sz w:val="32"/>
          <w:szCs w:val="32"/>
          <w:highlight w:val="none"/>
          <w:lang w:val="en-US" w:eastAsia="zh-CN"/>
        </w:rPr>
        <w:t>958.55</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3.42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卫生健康（类）支出</w:t>
      </w:r>
      <w:r>
        <w:rPr>
          <w:rFonts w:hint="eastAsia" w:ascii="Times New Roman" w:hAnsi="Times New Roman" w:eastAsia="仿宋_GB2312"/>
          <w:color w:val="auto"/>
          <w:sz w:val="32"/>
          <w:szCs w:val="32"/>
          <w:highlight w:val="none"/>
          <w:lang w:val="en-US" w:eastAsia="zh-CN"/>
        </w:rPr>
        <w:t>77.8</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0.28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节能环保（类）支出</w:t>
      </w:r>
      <w:r>
        <w:rPr>
          <w:rFonts w:hint="eastAsia" w:ascii="Times New Roman" w:hAnsi="Times New Roman" w:eastAsia="仿宋_GB2312"/>
          <w:color w:val="auto"/>
          <w:sz w:val="32"/>
          <w:szCs w:val="32"/>
          <w:highlight w:val="none"/>
          <w:lang w:val="en-US" w:eastAsia="zh-CN"/>
        </w:rPr>
        <w:t>6.06</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0.02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农林水</w:t>
      </w:r>
      <w:r>
        <w:rPr>
          <w:rFonts w:hint="eastAsia" w:ascii="Times New Roman" w:hAnsi="Times New Roman" w:eastAsia="仿宋_GB2312"/>
          <w:color w:val="auto"/>
          <w:sz w:val="32"/>
          <w:szCs w:val="32"/>
          <w:highlight w:val="none"/>
          <w:lang w:val="en-US" w:eastAsia="zh-CN"/>
        </w:rPr>
        <w:t>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val="en-US" w:eastAsia="zh-CN"/>
        </w:rPr>
        <w:t>25,760.53</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92.0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商业服务业等支出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val="en-US" w:eastAsia="zh-CN"/>
        </w:rPr>
        <w:t>6.0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0.02</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金融支出</w:t>
      </w:r>
      <w:r>
        <w:rPr>
          <w:rFonts w:hint="eastAsia" w:ascii="Times New Roman" w:hAnsi="Times New Roman" w:eastAsia="仿宋_GB2312"/>
          <w:color w:val="auto"/>
          <w:sz w:val="32"/>
          <w:szCs w:val="32"/>
          <w:highlight w:val="none"/>
        </w:rPr>
        <w:t>（类）</w:t>
      </w:r>
      <w:r>
        <w:rPr>
          <w:rFonts w:hint="eastAsia" w:ascii="Times New Roman" w:hAnsi="Times New Roman" w:eastAsia="仿宋_GB2312"/>
          <w:color w:val="auto"/>
          <w:sz w:val="32"/>
          <w:szCs w:val="32"/>
          <w:highlight w:val="none"/>
          <w:lang w:val="en-US" w:eastAsia="zh-CN"/>
        </w:rPr>
        <w:t>12.0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0.04</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住房保障（类）支出</w:t>
      </w:r>
      <w:r>
        <w:rPr>
          <w:rFonts w:hint="eastAsia" w:ascii="Times New Roman" w:hAnsi="Times New Roman" w:eastAsia="仿宋_GB2312"/>
          <w:color w:val="auto"/>
          <w:sz w:val="32"/>
          <w:szCs w:val="32"/>
          <w:highlight w:val="none"/>
          <w:lang w:val="en-US" w:eastAsia="zh-CN"/>
        </w:rPr>
        <w:t>76.36</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0.27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粮油物资储备（类）支出</w:t>
      </w:r>
      <w:r>
        <w:rPr>
          <w:rFonts w:hint="eastAsia" w:ascii="Times New Roman" w:hAnsi="Times New Roman" w:eastAsia="仿宋_GB2312"/>
          <w:color w:val="auto"/>
          <w:sz w:val="32"/>
          <w:szCs w:val="32"/>
          <w:highlight w:val="none"/>
          <w:lang w:val="en-US" w:eastAsia="zh-CN"/>
        </w:rPr>
        <w:t>1040.9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3.72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p>
    <w:p w14:paraId="094AD9F5">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（三）财政拨款支出决算具体情况</w:t>
      </w:r>
    </w:p>
    <w:p w14:paraId="674BA2E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年度财政拨款支出年初预算数为</w:t>
      </w:r>
      <w:r>
        <w:rPr>
          <w:rFonts w:hint="eastAsia" w:ascii="Times New Roman" w:hAnsi="Times New Roman" w:eastAsia="仿宋_GB2312"/>
          <w:color w:val="auto"/>
          <w:sz w:val="32"/>
          <w:szCs w:val="32"/>
          <w:lang w:val="en-US" w:eastAsia="zh-CN"/>
        </w:rPr>
        <w:t>27,999.46</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27,999.46</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w:t>
      </w:r>
    </w:p>
    <w:p w14:paraId="3C1735B1">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1、</w:t>
      </w:r>
      <w:r>
        <w:rPr>
          <w:rFonts w:hint="eastAsia" w:ascii="Times New Roman" w:hAnsi="Times New Roman" w:eastAsia="仿宋_GB2312"/>
          <w:color w:val="auto"/>
          <w:sz w:val="32"/>
          <w:szCs w:val="32"/>
          <w:lang w:eastAsia="zh-CN"/>
        </w:rPr>
        <w:t>卫生健康支出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行政事业单位医疗</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款</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行政单位医疗</w:t>
      </w:r>
      <w:r>
        <w:rPr>
          <w:rFonts w:hint="eastAsia" w:ascii="Times New Roman" w:hAnsi="Times New Roman" w:eastAsia="仿宋_GB2312"/>
          <w:color w:val="auto"/>
          <w:sz w:val="32"/>
          <w:szCs w:val="32"/>
        </w:rPr>
        <w:t>（项）。</w:t>
      </w:r>
    </w:p>
    <w:p w14:paraId="0416922C">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77.8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77.8</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A8547E9">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行政运行</w:t>
      </w:r>
      <w:r>
        <w:rPr>
          <w:rFonts w:hint="eastAsia" w:ascii="Times New Roman" w:hAnsi="Times New Roman" w:eastAsia="仿宋_GB2312"/>
          <w:color w:val="auto"/>
          <w:sz w:val="32"/>
          <w:szCs w:val="32"/>
        </w:rPr>
        <w:t>（项）。</w:t>
      </w:r>
    </w:p>
    <w:p w14:paraId="2DBFE019">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1,248.3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1,248.3</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633928C">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一般行政管理事务</w:t>
      </w:r>
      <w:r>
        <w:rPr>
          <w:rFonts w:hint="eastAsia" w:ascii="Times New Roman" w:hAnsi="Times New Roman" w:eastAsia="仿宋_GB2312"/>
          <w:color w:val="auto"/>
          <w:sz w:val="32"/>
          <w:szCs w:val="32"/>
        </w:rPr>
        <w:t>（项）。</w:t>
      </w:r>
    </w:p>
    <w:p w14:paraId="1D0ED6E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15.19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15.19</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449D79E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科技转化与推广服务</w:t>
      </w:r>
      <w:r>
        <w:rPr>
          <w:rFonts w:hint="eastAsia" w:ascii="Times New Roman" w:hAnsi="Times New Roman" w:eastAsia="仿宋_GB2312"/>
          <w:color w:val="auto"/>
          <w:sz w:val="32"/>
          <w:szCs w:val="32"/>
        </w:rPr>
        <w:t>（项）。</w:t>
      </w:r>
    </w:p>
    <w:p w14:paraId="544260C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196.35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196.35</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3B793CD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病虫害防控</w:t>
      </w:r>
      <w:r>
        <w:rPr>
          <w:rFonts w:hint="eastAsia" w:ascii="Times New Roman" w:hAnsi="Times New Roman" w:eastAsia="仿宋_GB2312"/>
          <w:color w:val="auto"/>
          <w:sz w:val="32"/>
          <w:szCs w:val="32"/>
        </w:rPr>
        <w:t>（项）。</w:t>
      </w:r>
    </w:p>
    <w:p w14:paraId="21F3B51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31.94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31.94</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44F13625">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农产品质量安全</w:t>
      </w:r>
      <w:r>
        <w:rPr>
          <w:rFonts w:hint="eastAsia" w:ascii="Times New Roman" w:hAnsi="Times New Roman" w:eastAsia="仿宋_GB2312"/>
          <w:color w:val="auto"/>
          <w:sz w:val="32"/>
          <w:szCs w:val="32"/>
        </w:rPr>
        <w:t>（项）。</w:t>
      </w:r>
    </w:p>
    <w:p w14:paraId="5D717F3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71.13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71.13</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4F1C2CB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执法监管</w:t>
      </w:r>
      <w:r>
        <w:rPr>
          <w:rFonts w:hint="eastAsia" w:ascii="Times New Roman" w:hAnsi="Times New Roman" w:eastAsia="仿宋_GB2312"/>
          <w:color w:val="auto"/>
          <w:sz w:val="32"/>
          <w:szCs w:val="32"/>
        </w:rPr>
        <w:t>（项）。</w:t>
      </w:r>
    </w:p>
    <w:p w14:paraId="4847FAC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22.11</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22.11</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7FE3C68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统计监测与信息服务</w:t>
      </w:r>
      <w:r>
        <w:rPr>
          <w:rFonts w:hint="eastAsia" w:ascii="Times New Roman" w:hAnsi="Times New Roman" w:eastAsia="仿宋_GB2312"/>
          <w:color w:val="auto"/>
          <w:sz w:val="32"/>
          <w:szCs w:val="32"/>
        </w:rPr>
        <w:t>（项）。</w:t>
      </w:r>
    </w:p>
    <w:p w14:paraId="3550F6E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7.25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7.25</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2E12E57F">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稳定农民收入补贴</w:t>
      </w:r>
      <w:r>
        <w:rPr>
          <w:rFonts w:hint="eastAsia" w:ascii="Times New Roman" w:hAnsi="Times New Roman" w:eastAsia="仿宋_GB2312"/>
          <w:color w:val="auto"/>
          <w:sz w:val="32"/>
          <w:szCs w:val="32"/>
        </w:rPr>
        <w:t>（项）。</w:t>
      </w:r>
    </w:p>
    <w:p w14:paraId="2E6B0B9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5,841.71</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5,841.71</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0528E1E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农业结构调整补贴</w:t>
      </w:r>
      <w:r>
        <w:rPr>
          <w:rFonts w:hint="eastAsia" w:ascii="Times New Roman" w:hAnsi="Times New Roman" w:eastAsia="仿宋_GB2312"/>
          <w:color w:val="auto"/>
          <w:sz w:val="32"/>
          <w:szCs w:val="32"/>
        </w:rPr>
        <w:t>（项）。</w:t>
      </w:r>
    </w:p>
    <w:p w14:paraId="08EC242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184.42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184.42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0151DDE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农业生产发展</w:t>
      </w:r>
      <w:r>
        <w:rPr>
          <w:rFonts w:hint="eastAsia" w:ascii="Times New Roman" w:hAnsi="Times New Roman" w:eastAsia="仿宋_GB2312"/>
          <w:color w:val="auto"/>
          <w:sz w:val="32"/>
          <w:szCs w:val="32"/>
        </w:rPr>
        <w:t>（项）。</w:t>
      </w:r>
    </w:p>
    <w:p w14:paraId="55484F17">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136.62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136.62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7068C14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农村社会事务</w:t>
      </w:r>
      <w:r>
        <w:rPr>
          <w:rFonts w:hint="eastAsia" w:ascii="Times New Roman" w:hAnsi="Times New Roman" w:eastAsia="仿宋_GB2312"/>
          <w:color w:val="auto"/>
          <w:sz w:val="32"/>
          <w:szCs w:val="32"/>
        </w:rPr>
        <w:t>（项）。</w:t>
      </w:r>
    </w:p>
    <w:p w14:paraId="2CBFFE8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93.76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93.76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B8AF02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农业生态资源保护</w:t>
      </w:r>
      <w:r>
        <w:rPr>
          <w:rFonts w:hint="eastAsia" w:ascii="Times New Roman" w:hAnsi="Times New Roman" w:eastAsia="仿宋_GB2312"/>
          <w:color w:val="auto"/>
          <w:sz w:val="32"/>
          <w:szCs w:val="32"/>
        </w:rPr>
        <w:t>（项）。</w:t>
      </w:r>
    </w:p>
    <w:p w14:paraId="6AE626D5">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518.66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518.66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75113CC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耕地建设与利用</w:t>
      </w:r>
      <w:r>
        <w:rPr>
          <w:rFonts w:hint="eastAsia" w:ascii="Times New Roman" w:hAnsi="Times New Roman" w:eastAsia="仿宋_GB2312"/>
          <w:color w:val="auto"/>
          <w:sz w:val="32"/>
          <w:szCs w:val="32"/>
        </w:rPr>
        <w:t>（项）。</w:t>
      </w:r>
    </w:p>
    <w:p w14:paraId="14C318EE">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2,040.96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2,040.96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B843ECC">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农业农村</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其他农业农村支出</w:t>
      </w:r>
      <w:r>
        <w:rPr>
          <w:rFonts w:hint="eastAsia" w:ascii="Times New Roman" w:hAnsi="Times New Roman" w:eastAsia="仿宋_GB2312"/>
          <w:color w:val="auto"/>
          <w:sz w:val="32"/>
          <w:szCs w:val="32"/>
        </w:rPr>
        <w:t>（项）。</w:t>
      </w:r>
    </w:p>
    <w:p w14:paraId="46389A8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975.06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975.06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707F8A7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16</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行政运行</w:t>
      </w:r>
      <w:r>
        <w:rPr>
          <w:rFonts w:hint="eastAsia" w:ascii="Times New Roman" w:hAnsi="Times New Roman" w:eastAsia="仿宋_GB2312"/>
          <w:color w:val="auto"/>
          <w:sz w:val="32"/>
          <w:szCs w:val="32"/>
        </w:rPr>
        <w:t>（项）。</w:t>
      </w:r>
    </w:p>
    <w:p w14:paraId="09341C4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192.28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192.28</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6E900B97">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农村基础设施建设</w:t>
      </w:r>
      <w:r>
        <w:rPr>
          <w:rFonts w:hint="eastAsia" w:ascii="Times New Roman" w:hAnsi="Times New Roman" w:eastAsia="仿宋_GB2312"/>
          <w:color w:val="auto"/>
          <w:sz w:val="32"/>
          <w:szCs w:val="32"/>
        </w:rPr>
        <w:t>（项）。</w:t>
      </w:r>
    </w:p>
    <w:p w14:paraId="29152F75">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153.17</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153.17</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3700DA37">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18</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生产发展</w:t>
      </w:r>
      <w:r>
        <w:rPr>
          <w:rFonts w:hint="eastAsia" w:ascii="Times New Roman" w:hAnsi="Times New Roman" w:eastAsia="仿宋_GB2312"/>
          <w:color w:val="auto"/>
          <w:sz w:val="32"/>
          <w:szCs w:val="32"/>
        </w:rPr>
        <w:t>（项）。</w:t>
      </w:r>
    </w:p>
    <w:p w14:paraId="6D8AB93F">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2,499.44</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2,499.44</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68F7643D">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19</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贷款奖补和贴息</w:t>
      </w:r>
      <w:r>
        <w:rPr>
          <w:rFonts w:hint="eastAsia" w:ascii="Times New Roman" w:hAnsi="Times New Roman" w:eastAsia="仿宋_GB2312"/>
          <w:color w:val="auto"/>
          <w:sz w:val="32"/>
          <w:szCs w:val="32"/>
        </w:rPr>
        <w:t>（项）。</w:t>
      </w:r>
    </w:p>
    <w:p w14:paraId="2B899A8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165.86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165.86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0FFCFFF9">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eastAsia="zh-CN"/>
        </w:rPr>
        <w:t>巩固拓展脱贫攻坚成果衔接乡村振兴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其他巩固拓展脱贫攻坚成果衔接乡村振兴支出</w:t>
      </w:r>
      <w:r>
        <w:rPr>
          <w:rFonts w:hint="eastAsia" w:ascii="Times New Roman" w:hAnsi="Times New Roman" w:eastAsia="仿宋_GB2312"/>
          <w:color w:val="auto"/>
          <w:sz w:val="32"/>
          <w:szCs w:val="32"/>
        </w:rPr>
        <w:t>（项）。</w:t>
      </w:r>
    </w:p>
    <w:p w14:paraId="6DC28995">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9,930.21</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9,930.21</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0949A9B7">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农林水</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val="en-US" w:eastAsia="zh-CN"/>
        </w:rPr>
        <w:t>目标价格补贴</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其他目标价格补贴</w:t>
      </w:r>
      <w:r>
        <w:rPr>
          <w:rFonts w:hint="eastAsia" w:ascii="Times New Roman" w:hAnsi="Times New Roman" w:eastAsia="仿宋_GB2312"/>
          <w:color w:val="auto"/>
          <w:sz w:val="32"/>
          <w:szCs w:val="32"/>
        </w:rPr>
        <w:t>（项）。</w:t>
      </w:r>
    </w:p>
    <w:p w14:paraId="5DBEF4B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1,436.11</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1,436.11</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B1DBB57">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商业服务支出等支出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商业流通事务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其他商业流通事务支出</w:t>
      </w:r>
      <w:r>
        <w:rPr>
          <w:rFonts w:hint="eastAsia" w:ascii="Times New Roman" w:hAnsi="Times New Roman" w:eastAsia="仿宋_GB2312"/>
          <w:color w:val="auto"/>
          <w:sz w:val="32"/>
          <w:szCs w:val="32"/>
        </w:rPr>
        <w:t>（项）。</w:t>
      </w:r>
    </w:p>
    <w:p w14:paraId="747B189C">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0DCE84B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23</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金融支出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金融发展支出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其他金融发展支出</w:t>
      </w:r>
      <w:r>
        <w:rPr>
          <w:rFonts w:hint="eastAsia" w:ascii="Times New Roman" w:hAnsi="Times New Roman" w:eastAsia="仿宋_GB2312"/>
          <w:color w:val="auto"/>
          <w:sz w:val="32"/>
          <w:szCs w:val="32"/>
        </w:rPr>
        <w:t>（项）。</w:t>
      </w:r>
    </w:p>
    <w:p w14:paraId="610D3E28">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12</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1DEF108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24、</w:t>
      </w:r>
      <w:r>
        <w:rPr>
          <w:rFonts w:hint="eastAsia" w:ascii="Times New Roman" w:hAnsi="Times New Roman" w:eastAsia="仿宋_GB2312"/>
          <w:color w:val="auto"/>
          <w:sz w:val="32"/>
          <w:szCs w:val="32"/>
          <w:lang w:eastAsia="zh-CN"/>
        </w:rPr>
        <w:t>住房保障支出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住房改革支出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住房公积金（</w:t>
      </w:r>
      <w:r>
        <w:rPr>
          <w:rFonts w:hint="eastAsia" w:ascii="Times New Roman" w:hAnsi="Times New Roman" w:eastAsia="仿宋_GB2312"/>
          <w:color w:val="auto"/>
          <w:sz w:val="32"/>
          <w:szCs w:val="32"/>
        </w:rPr>
        <w:t>项）。</w:t>
      </w:r>
    </w:p>
    <w:p w14:paraId="249EB61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76.36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76.36</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07264226">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粮油物资储备支出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粮油物资事务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其他粮油物资事务支出</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项）。</w:t>
      </w:r>
    </w:p>
    <w:p w14:paraId="51BAA12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1,040.9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1,040.9</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2C0902C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26、</w:t>
      </w:r>
      <w:r>
        <w:rPr>
          <w:rFonts w:hint="eastAsia" w:ascii="Times New Roman" w:hAnsi="Times New Roman" w:eastAsia="仿宋_GB2312"/>
          <w:color w:val="auto"/>
          <w:sz w:val="32"/>
          <w:szCs w:val="32"/>
          <w:lang w:eastAsia="zh-CN"/>
        </w:rPr>
        <w:t>社会保障和就业</w:t>
      </w:r>
      <w:r>
        <w:rPr>
          <w:rFonts w:hint="eastAsia" w:ascii="Times New Roman" w:hAnsi="Times New Roman" w:eastAsia="仿宋_GB2312"/>
          <w:color w:val="auto"/>
          <w:sz w:val="32"/>
          <w:szCs w:val="32"/>
        </w:rPr>
        <w:t>支出（类）行政事业</w:t>
      </w:r>
      <w:r>
        <w:rPr>
          <w:rFonts w:hint="eastAsia" w:ascii="Times New Roman" w:hAnsi="Times New Roman" w:eastAsia="仿宋_GB2312"/>
          <w:color w:val="auto"/>
          <w:sz w:val="32"/>
          <w:szCs w:val="32"/>
          <w:lang w:eastAsia="zh-CN"/>
        </w:rPr>
        <w:t>单位养老支出</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机关事业单位基本养老保险缴费支出</w:t>
      </w:r>
      <w:r>
        <w:rPr>
          <w:rFonts w:hint="eastAsia" w:ascii="Times New Roman" w:hAnsi="Times New Roman" w:eastAsia="仿宋_GB2312"/>
          <w:color w:val="auto"/>
          <w:sz w:val="32"/>
          <w:szCs w:val="32"/>
        </w:rPr>
        <w:t>（项）。</w:t>
      </w:r>
    </w:p>
    <w:p w14:paraId="6209827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180.23</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180.23</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634557D5">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27、</w:t>
      </w:r>
      <w:r>
        <w:rPr>
          <w:rFonts w:hint="eastAsia" w:ascii="Times New Roman" w:hAnsi="Times New Roman" w:eastAsia="仿宋_GB2312"/>
          <w:color w:val="auto"/>
          <w:sz w:val="32"/>
          <w:szCs w:val="32"/>
          <w:lang w:eastAsia="zh-CN"/>
        </w:rPr>
        <w:t>社会保障和就业</w:t>
      </w:r>
      <w:r>
        <w:rPr>
          <w:rFonts w:hint="eastAsia" w:ascii="Times New Roman" w:hAnsi="Times New Roman" w:eastAsia="仿宋_GB2312"/>
          <w:color w:val="auto"/>
          <w:sz w:val="32"/>
          <w:szCs w:val="32"/>
        </w:rPr>
        <w:t>支出（类）</w:t>
      </w:r>
      <w:r>
        <w:rPr>
          <w:rFonts w:hint="eastAsia" w:ascii="Times New Roman" w:hAnsi="Times New Roman" w:eastAsia="仿宋_GB2312"/>
          <w:color w:val="auto"/>
          <w:sz w:val="32"/>
          <w:szCs w:val="32"/>
          <w:lang w:val="en-US" w:eastAsia="zh-CN"/>
        </w:rPr>
        <w:t>就业补助</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公益性岗位补贴</w:t>
      </w:r>
      <w:r>
        <w:rPr>
          <w:rFonts w:hint="eastAsia" w:ascii="Times New Roman" w:hAnsi="Times New Roman" w:eastAsia="仿宋_GB2312"/>
          <w:color w:val="auto"/>
          <w:sz w:val="32"/>
          <w:szCs w:val="32"/>
        </w:rPr>
        <w:t>（项）。</w:t>
      </w:r>
    </w:p>
    <w:p w14:paraId="4CAB9F6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default"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726.25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726.25</w:t>
      </w:r>
      <w:r>
        <w:rPr>
          <w:rFonts w:hint="eastAsia" w:ascii="Times New Roman" w:hAnsi="Times New Roman" w:eastAsia="仿宋_GB2312"/>
          <w:color w:val="auto"/>
          <w:sz w:val="32"/>
          <w:szCs w:val="32"/>
        </w:rPr>
        <w:t>万元，完成年初预算的100%，</w:t>
      </w:r>
      <w:r>
        <w:rPr>
          <w:rFonts w:hint="eastAsia" w:ascii="Times New Roman" w:hAnsi="Times New Roman" w:eastAsia="仿宋_GB2312"/>
          <w:color w:val="auto"/>
          <w:sz w:val="32"/>
          <w:szCs w:val="32"/>
          <w:lang w:eastAsia="zh-CN"/>
        </w:rPr>
        <w:t>决算数等于年初预算数。</w:t>
      </w:r>
    </w:p>
    <w:p w14:paraId="2B8551C9">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28</w:t>
      </w:r>
      <w:r>
        <w:rPr>
          <w:rFonts w:hint="eastAsia" w:ascii="Times New Roman" w:hAnsi="Times New Roman" w:eastAsia="仿宋_GB2312"/>
          <w:color w:val="auto"/>
          <w:sz w:val="32"/>
          <w:szCs w:val="32"/>
        </w:rPr>
        <w:t>、社会保障和就业支出（类）抚恤（款）死亡抚恤（项）。</w:t>
      </w:r>
    </w:p>
    <w:p w14:paraId="2D06EFF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52.08</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52.08</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7FC88C0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w:t>
      </w:r>
      <w:r>
        <w:rPr>
          <w:rFonts w:hint="eastAsia" w:ascii="Times New Roman" w:hAnsi="Times New Roman" w:eastAsia="仿宋_GB2312"/>
          <w:color w:val="auto"/>
          <w:sz w:val="32"/>
          <w:szCs w:val="32"/>
          <w:lang w:val="en-US" w:eastAsia="zh-CN"/>
        </w:rPr>
        <w:t>9</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节能环保支出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自然生态保护</w:t>
      </w:r>
      <w:r>
        <w:rPr>
          <w:rFonts w:hint="eastAsia" w:ascii="Times New Roman" w:hAnsi="Times New Roman" w:eastAsia="仿宋_GB2312"/>
          <w:color w:val="auto"/>
          <w:sz w:val="32"/>
          <w:szCs w:val="32"/>
        </w:rPr>
        <w:t>（款）农</w:t>
      </w:r>
      <w:r>
        <w:rPr>
          <w:rFonts w:hint="eastAsia" w:ascii="Times New Roman" w:hAnsi="Times New Roman" w:eastAsia="仿宋_GB2312"/>
          <w:color w:val="auto"/>
          <w:sz w:val="32"/>
          <w:szCs w:val="32"/>
          <w:lang w:eastAsia="zh-CN"/>
        </w:rPr>
        <w:t>村环境保护</w:t>
      </w:r>
      <w:r>
        <w:rPr>
          <w:rFonts w:hint="eastAsia" w:ascii="Times New Roman" w:hAnsi="Times New Roman" w:eastAsia="仿宋_GB2312"/>
          <w:color w:val="auto"/>
          <w:sz w:val="32"/>
          <w:szCs w:val="32"/>
        </w:rPr>
        <w:t>（项）。</w:t>
      </w:r>
    </w:p>
    <w:p w14:paraId="6D67842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6.06</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6.06万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21F7C79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一般公共服务支出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eastAsia="zh-CN"/>
        </w:rPr>
        <w:t>发展与改革事务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其他发展与改革事务支出</w:t>
      </w:r>
      <w:r>
        <w:rPr>
          <w:rFonts w:hint="eastAsia" w:ascii="Times New Roman" w:hAnsi="Times New Roman" w:eastAsia="仿宋_GB2312"/>
          <w:color w:val="auto"/>
          <w:sz w:val="32"/>
          <w:szCs w:val="32"/>
        </w:rPr>
        <w:t>（项）。</w:t>
      </w:r>
    </w:p>
    <w:p w14:paraId="22C36F2F">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57.5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57.5万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13B69D8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31</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一般公共服务支出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纪检监察事务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val="en-US" w:eastAsia="zh-CN"/>
        </w:rPr>
        <w:t>一般行政管理事务</w:t>
      </w:r>
      <w:r>
        <w:rPr>
          <w:rFonts w:hint="eastAsia" w:ascii="Times New Roman" w:hAnsi="Times New Roman" w:eastAsia="仿宋_GB2312"/>
          <w:color w:val="auto"/>
          <w:sz w:val="32"/>
          <w:szCs w:val="32"/>
        </w:rPr>
        <w:t>（项）。</w:t>
      </w:r>
    </w:p>
    <w:p w14:paraId="321DE6FA">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3.2</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3.2万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71BBA721">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lang w:val="en-US" w:eastAsia="zh-CN"/>
        </w:rPr>
        <w:t>32</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一般公共服务支出</w:t>
      </w:r>
      <w:r>
        <w:rPr>
          <w:rFonts w:hint="eastAsia" w:ascii="Times New Roman" w:hAnsi="Times New Roman" w:eastAsia="仿宋_GB2312"/>
          <w:color w:val="auto"/>
          <w:sz w:val="32"/>
          <w:szCs w:val="32"/>
        </w:rPr>
        <w:t>（类）</w:t>
      </w:r>
      <w:r>
        <w:rPr>
          <w:rFonts w:hint="eastAsia" w:ascii="Times New Roman" w:hAnsi="Times New Roman" w:eastAsia="仿宋_GB2312"/>
          <w:color w:val="auto"/>
          <w:sz w:val="32"/>
          <w:szCs w:val="32"/>
          <w:lang w:val="en-US" w:eastAsia="zh-CN"/>
        </w:rPr>
        <w:t>统战事务</w:t>
      </w:r>
      <w:r>
        <w:rPr>
          <w:rFonts w:hint="eastAsia" w:ascii="Times New Roman" w:hAnsi="Times New Roman" w:eastAsia="仿宋_GB2312"/>
          <w:color w:val="auto"/>
          <w:sz w:val="32"/>
          <w:szCs w:val="32"/>
        </w:rPr>
        <w:t>（款）</w:t>
      </w:r>
      <w:r>
        <w:rPr>
          <w:rFonts w:hint="eastAsia" w:ascii="Times New Roman" w:hAnsi="Times New Roman" w:eastAsia="仿宋_GB2312"/>
          <w:color w:val="auto"/>
          <w:sz w:val="32"/>
          <w:szCs w:val="32"/>
          <w:lang w:eastAsia="zh-CN"/>
        </w:rPr>
        <w:t>其他</w:t>
      </w:r>
      <w:r>
        <w:rPr>
          <w:rFonts w:hint="eastAsia" w:ascii="Times New Roman" w:hAnsi="Times New Roman" w:eastAsia="仿宋_GB2312"/>
          <w:color w:val="auto"/>
          <w:sz w:val="32"/>
          <w:szCs w:val="32"/>
          <w:lang w:val="en-US" w:eastAsia="zh-CN"/>
        </w:rPr>
        <w:t>统战</w:t>
      </w:r>
      <w:r>
        <w:rPr>
          <w:rFonts w:hint="eastAsia" w:ascii="Times New Roman" w:hAnsi="Times New Roman" w:eastAsia="仿宋_GB2312"/>
          <w:color w:val="auto"/>
          <w:sz w:val="32"/>
          <w:szCs w:val="32"/>
          <w:lang w:eastAsia="zh-CN"/>
        </w:rPr>
        <w:t>事务支出</w:t>
      </w:r>
      <w:r>
        <w:rPr>
          <w:rFonts w:hint="eastAsia" w:ascii="Times New Roman" w:hAnsi="Times New Roman" w:eastAsia="仿宋_GB2312"/>
          <w:color w:val="auto"/>
          <w:sz w:val="32"/>
          <w:szCs w:val="32"/>
        </w:rPr>
        <w:t>（项）。</w:t>
      </w:r>
    </w:p>
    <w:p w14:paraId="2411B2EC">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0.55</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0.55万</w:t>
      </w:r>
      <w:r>
        <w:rPr>
          <w:rFonts w:hint="eastAsia" w:ascii="Times New Roman" w:hAnsi="Times New Roman" w:eastAsia="仿宋_GB2312"/>
          <w:color w:val="auto"/>
          <w:sz w:val="32"/>
          <w:szCs w:val="32"/>
        </w:rPr>
        <w:t>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决算数等于年初预算数。</w:t>
      </w:r>
    </w:p>
    <w:p w14:paraId="7542C40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六、一般公共预算财政拨款基本支出决算情况说明</w:t>
      </w:r>
    </w:p>
    <w:p w14:paraId="4C2EFEC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年度财政拨款基本支出</w:t>
      </w:r>
      <w:r>
        <w:rPr>
          <w:rFonts w:hint="eastAsia" w:ascii="Times New Roman" w:hAnsi="Times New Roman" w:eastAsia="仿宋_GB2312"/>
          <w:color w:val="auto"/>
          <w:sz w:val="32"/>
          <w:szCs w:val="32"/>
          <w:lang w:val="en-US" w:eastAsia="zh-CN"/>
        </w:rPr>
        <w:t>2,191.57</w:t>
      </w:r>
      <w:r>
        <w:rPr>
          <w:rFonts w:hint="eastAsia" w:ascii="Times New Roman" w:hAnsi="Times New Roman" w:eastAsia="仿宋_GB2312"/>
          <w:color w:val="auto"/>
          <w:sz w:val="32"/>
          <w:szCs w:val="32"/>
        </w:rPr>
        <w:t>万元，其中：</w:t>
      </w:r>
    </w:p>
    <w:p w14:paraId="6591C466">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b/>
          <w:bCs/>
          <w:color w:val="auto"/>
          <w:sz w:val="32"/>
          <w:szCs w:val="32"/>
          <w:lang w:val="en-US" w:eastAsia="zh-CN"/>
        </w:rPr>
        <w:t>1,797.02</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82.0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主要包括基本工资</w:t>
      </w:r>
      <w:r>
        <w:rPr>
          <w:rFonts w:hint="eastAsia" w:ascii="Times New Roman" w:hAnsi="Times New Roman" w:eastAsia="仿宋_GB2312"/>
          <w:color w:val="auto"/>
          <w:sz w:val="32"/>
          <w:szCs w:val="32"/>
          <w:lang w:val="en-US" w:eastAsia="zh-CN"/>
        </w:rPr>
        <w:t>881.55万元</w:t>
      </w:r>
      <w:r>
        <w:rPr>
          <w:rFonts w:hint="eastAsia" w:ascii="Times New Roman" w:hAnsi="Times New Roman" w:eastAsia="仿宋_GB2312"/>
          <w:color w:val="auto"/>
          <w:sz w:val="32"/>
          <w:szCs w:val="32"/>
        </w:rPr>
        <w:t>、津贴补贴</w:t>
      </w:r>
      <w:r>
        <w:rPr>
          <w:rFonts w:hint="eastAsia" w:ascii="Times New Roman" w:hAnsi="Times New Roman" w:eastAsia="仿宋_GB2312"/>
          <w:color w:val="auto"/>
          <w:sz w:val="32"/>
          <w:szCs w:val="32"/>
          <w:lang w:val="en-US" w:eastAsia="zh-CN"/>
        </w:rPr>
        <w:t>329.8万元</w:t>
      </w:r>
      <w:r>
        <w:rPr>
          <w:rFonts w:hint="eastAsia" w:ascii="Times New Roman" w:hAnsi="Times New Roman" w:eastAsia="仿宋_GB2312"/>
          <w:color w:val="auto"/>
          <w:sz w:val="32"/>
          <w:szCs w:val="32"/>
        </w:rPr>
        <w:t>、奖金1</w:t>
      </w:r>
      <w:r>
        <w:rPr>
          <w:rFonts w:hint="eastAsia" w:ascii="Times New Roman" w:hAnsi="Times New Roman" w:eastAsia="仿宋_GB2312"/>
          <w:color w:val="auto"/>
          <w:sz w:val="32"/>
          <w:szCs w:val="32"/>
          <w:lang w:val="en-US" w:eastAsia="zh-CN"/>
        </w:rPr>
        <w:t>05.24万元</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val="en-US" w:eastAsia="zh-CN"/>
        </w:rPr>
        <w:t>绩效工资1.2万元、</w:t>
      </w:r>
      <w:r>
        <w:rPr>
          <w:rFonts w:hint="eastAsia" w:ascii="Times New Roman" w:hAnsi="Times New Roman" w:eastAsia="仿宋_GB2312"/>
          <w:color w:val="auto"/>
          <w:sz w:val="32"/>
          <w:szCs w:val="32"/>
        </w:rPr>
        <w:t>伙食补助费</w:t>
      </w:r>
      <w:r>
        <w:rPr>
          <w:rFonts w:hint="eastAsia" w:ascii="Times New Roman" w:hAnsi="Times New Roman" w:eastAsia="仿宋_GB2312"/>
          <w:color w:val="auto"/>
          <w:sz w:val="32"/>
          <w:szCs w:val="32"/>
          <w:lang w:val="en-US" w:eastAsia="zh-CN"/>
        </w:rPr>
        <w:t>36</w:t>
      </w:r>
      <w:r>
        <w:rPr>
          <w:rFonts w:hint="eastAsia" w:ascii="Times New Roman" w:hAnsi="Times New Roman" w:eastAsia="仿宋_GB2312"/>
          <w:color w:val="auto"/>
          <w:sz w:val="32"/>
          <w:szCs w:val="32"/>
        </w:rPr>
        <w:t>.01</w:t>
      </w:r>
      <w:r>
        <w:rPr>
          <w:rFonts w:hint="eastAsia" w:ascii="Times New Roman" w:hAnsi="Times New Roman" w:eastAsia="仿宋_GB2312"/>
          <w:color w:val="auto"/>
          <w:sz w:val="32"/>
          <w:szCs w:val="32"/>
          <w:lang w:val="en-US" w:eastAsia="zh-CN"/>
        </w:rPr>
        <w:t>万元、机关事业单位基本养老保险缴费180.23万元、职工基本医疗保险缴费80.7万元、其他社会保障缴费19.7万元、住房公积金86.4万元、其他工资福利支出11.72万元，生活补助52.08万元、其他对个人和家庭的补助12.38万元。</w:t>
      </w:r>
    </w:p>
    <w:p w14:paraId="17692450">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Times New Roman" w:hAnsi="Times New Roman" w:eastAsia="仿宋_GB2312"/>
          <w:b/>
          <w:color w:val="auto"/>
          <w:sz w:val="32"/>
          <w:szCs w:val="32"/>
        </w:rPr>
      </w:pPr>
      <w:r>
        <w:rPr>
          <w:rFonts w:hint="eastAsia" w:ascii="Times New Roman" w:hAnsi="Times New Roman" w:eastAsia="仿宋_GB2312"/>
          <w:b/>
          <w:bCs/>
          <w:color w:val="auto"/>
          <w:sz w:val="32"/>
          <w:szCs w:val="32"/>
        </w:rPr>
        <w:t>公用经费</w:t>
      </w:r>
      <w:r>
        <w:rPr>
          <w:rFonts w:hint="eastAsia" w:ascii="Times New Roman" w:hAnsi="Times New Roman" w:eastAsia="仿宋_GB2312"/>
          <w:b/>
          <w:bCs/>
          <w:color w:val="auto"/>
          <w:sz w:val="32"/>
          <w:szCs w:val="32"/>
          <w:lang w:val="en-US" w:eastAsia="zh-CN"/>
        </w:rPr>
        <w:t>394.55</w:t>
      </w:r>
      <w:r>
        <w:rPr>
          <w:rFonts w:hint="eastAsia" w:ascii="Times New Roman" w:hAnsi="Times New Roman" w:eastAsia="仿宋_GB2312"/>
          <w:color w:val="auto"/>
          <w:sz w:val="32"/>
          <w:szCs w:val="32"/>
        </w:rPr>
        <w:t>万元，占基本支出的</w:t>
      </w:r>
      <w:r>
        <w:rPr>
          <w:rFonts w:hint="eastAsia" w:ascii="Times New Roman" w:hAnsi="Times New Roman" w:eastAsia="仿宋_GB2312"/>
          <w:color w:val="auto"/>
          <w:sz w:val="32"/>
          <w:szCs w:val="32"/>
          <w:lang w:val="en-US" w:eastAsia="zh-CN"/>
        </w:rPr>
        <w:t>18.0</w:t>
      </w:r>
      <w:r>
        <w:rPr>
          <w:rFonts w:hint="eastAsia" w:ascii="Times New Roman" w:hAnsi="Times New Roman" w:eastAsia="仿宋_GB2312"/>
          <w:color w:val="auto"/>
          <w:sz w:val="32"/>
          <w:szCs w:val="32"/>
        </w:rPr>
        <w:t>%，主要包括办公费</w:t>
      </w:r>
      <w:r>
        <w:rPr>
          <w:rFonts w:hint="eastAsia" w:ascii="Times New Roman" w:hAnsi="Times New Roman" w:eastAsia="仿宋_GB2312"/>
          <w:color w:val="auto"/>
          <w:sz w:val="32"/>
          <w:szCs w:val="32"/>
          <w:lang w:val="en-US" w:eastAsia="zh-CN"/>
        </w:rPr>
        <w:t>57.12万元</w:t>
      </w:r>
      <w:r>
        <w:rPr>
          <w:rFonts w:hint="eastAsia" w:ascii="Times New Roman" w:hAnsi="Times New Roman" w:eastAsia="仿宋_GB2312"/>
          <w:color w:val="auto"/>
          <w:sz w:val="32"/>
          <w:szCs w:val="32"/>
        </w:rPr>
        <w:t>、印刷费</w:t>
      </w:r>
      <w:r>
        <w:rPr>
          <w:rFonts w:hint="eastAsia" w:ascii="Times New Roman" w:hAnsi="Times New Roman" w:eastAsia="仿宋_GB2312"/>
          <w:color w:val="auto"/>
          <w:sz w:val="32"/>
          <w:szCs w:val="32"/>
          <w:lang w:val="en-US" w:eastAsia="zh-CN"/>
        </w:rPr>
        <w:t>75.08万元</w:t>
      </w:r>
      <w:r>
        <w:rPr>
          <w:rFonts w:hint="eastAsia" w:ascii="Times New Roman" w:hAnsi="Times New Roman" w:eastAsia="仿宋_GB2312"/>
          <w:color w:val="auto"/>
          <w:sz w:val="32"/>
          <w:szCs w:val="32"/>
        </w:rPr>
        <w:t>、水费</w:t>
      </w:r>
      <w:r>
        <w:rPr>
          <w:rFonts w:hint="eastAsia" w:ascii="Times New Roman" w:hAnsi="Times New Roman" w:eastAsia="仿宋_GB2312"/>
          <w:color w:val="auto"/>
          <w:sz w:val="32"/>
          <w:szCs w:val="32"/>
          <w:lang w:val="en-US" w:eastAsia="zh-CN"/>
        </w:rPr>
        <w:t>3.02万元、电费10.63万元、邮电费3.29万元、差旅费101.9万元、维修（护）费1.61万元、租赁费2.19万元、会议费2.4万元、公务接待费7.59万元、劳务费19.29万元、工会经费10万元、公务用车运行维护费6.3万元、其他交通费用50.31万元、其他商品和服务支出29.92万元。</w:t>
      </w:r>
    </w:p>
    <w:p w14:paraId="0006CB3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七、财政拨款三公经费支出决算情况说明</w:t>
      </w:r>
    </w:p>
    <w:p w14:paraId="067FBB65">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（一）“三公”经费财政拨款支出决算总体情况说明</w:t>
      </w:r>
    </w:p>
    <w:p w14:paraId="09B49A78">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“三公”经费财政拨款支出预算为1</w:t>
      </w:r>
      <w:r>
        <w:rPr>
          <w:rFonts w:hint="eastAsia" w:ascii="Times New Roman" w:hAnsi="Times New Roman" w:eastAsia="仿宋_GB2312"/>
          <w:color w:val="auto"/>
          <w:sz w:val="32"/>
          <w:szCs w:val="32"/>
          <w:lang w:val="en-US" w:eastAsia="zh-CN"/>
        </w:rPr>
        <w:t>3.89</w:t>
      </w:r>
      <w:r>
        <w:rPr>
          <w:rFonts w:hint="eastAsia" w:ascii="Times New Roman" w:hAnsi="Times New Roman" w:eastAsia="仿宋_GB2312"/>
          <w:color w:val="auto"/>
          <w:sz w:val="32"/>
          <w:szCs w:val="32"/>
        </w:rPr>
        <w:t>万元，支出决算为1</w:t>
      </w:r>
      <w:r>
        <w:rPr>
          <w:rFonts w:hint="eastAsia" w:ascii="Times New Roman" w:hAnsi="Times New Roman" w:eastAsia="仿宋_GB2312"/>
          <w:color w:val="auto"/>
          <w:sz w:val="32"/>
          <w:szCs w:val="32"/>
          <w:lang w:val="en-US" w:eastAsia="zh-CN"/>
        </w:rPr>
        <w:t>3.89</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等于</w:t>
      </w:r>
      <w:r>
        <w:rPr>
          <w:rFonts w:hint="eastAsia" w:ascii="Times New Roman" w:hAnsi="Times New Roman" w:eastAsia="仿宋_GB2312"/>
          <w:color w:val="auto"/>
          <w:sz w:val="32"/>
          <w:szCs w:val="32"/>
        </w:rPr>
        <w:t>预算数</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与上年相比</w:t>
      </w:r>
      <w:r>
        <w:rPr>
          <w:rFonts w:hint="eastAsia" w:ascii="Times New Roman" w:hAnsi="Times New Roman" w:eastAsia="仿宋_GB2312"/>
          <w:color w:val="auto"/>
          <w:sz w:val="32"/>
          <w:szCs w:val="32"/>
          <w:lang w:eastAsia="zh-CN"/>
        </w:rPr>
        <w:t>一致。</w:t>
      </w:r>
      <w:r>
        <w:rPr>
          <w:rFonts w:hint="eastAsia" w:ascii="Times New Roman" w:hAnsi="Times New Roman" w:eastAsia="仿宋_GB2312"/>
          <w:color w:val="auto"/>
          <w:sz w:val="32"/>
          <w:szCs w:val="32"/>
        </w:rPr>
        <w:t>其中：</w:t>
      </w:r>
    </w:p>
    <w:p w14:paraId="3724D862">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bookmarkStart w:id="2" w:name="OLE_LINK78"/>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bookmarkEnd w:id="2"/>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w:t>
      </w:r>
      <w:r>
        <w:rPr>
          <w:rFonts w:hint="eastAsia" w:ascii="Times New Roman" w:hAnsi="Times New Roman" w:eastAsia="仿宋_GB2312"/>
          <w:color w:val="auto"/>
          <w:sz w:val="32"/>
          <w:szCs w:val="32"/>
          <w:lang w:val="en-US" w:eastAsia="zh-CN"/>
        </w:rPr>
        <w:t>与上年持平</w:t>
      </w:r>
      <w:r>
        <w:rPr>
          <w:rFonts w:hint="eastAsia" w:ascii="Times New Roman" w:hAnsi="Times New Roman" w:eastAsia="仿宋_GB2312"/>
          <w:color w:val="auto"/>
          <w:sz w:val="32"/>
          <w:szCs w:val="32"/>
        </w:rPr>
        <w:t>。</w:t>
      </w:r>
    </w:p>
    <w:p w14:paraId="24DFB98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rPr>
        <w:t>公务接待费支出预算为</w:t>
      </w:r>
      <w:r>
        <w:rPr>
          <w:rFonts w:hint="eastAsia" w:ascii="Times New Roman" w:hAnsi="Times New Roman" w:eastAsia="仿宋_GB2312"/>
          <w:color w:val="auto"/>
          <w:sz w:val="32"/>
          <w:szCs w:val="32"/>
          <w:lang w:val="en-US" w:eastAsia="zh-CN"/>
        </w:rPr>
        <w:t>7.59</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7.59</w:t>
      </w:r>
      <w:r>
        <w:rPr>
          <w:rFonts w:hint="eastAsia" w:ascii="Times New Roman" w:hAnsi="Times New Roman" w:eastAsia="仿宋_GB2312"/>
          <w:color w:val="auto"/>
          <w:sz w:val="32"/>
          <w:szCs w:val="32"/>
        </w:rPr>
        <w:t>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%，决算数等于预算数，与上年相比</w:t>
      </w:r>
      <w:r>
        <w:rPr>
          <w:rFonts w:hint="eastAsia" w:ascii="Times New Roman" w:hAnsi="Times New Roman" w:eastAsia="仿宋_GB2312"/>
          <w:color w:val="auto"/>
          <w:sz w:val="32"/>
          <w:szCs w:val="32"/>
          <w:lang w:eastAsia="zh-CN"/>
        </w:rPr>
        <w:t>持平。</w:t>
      </w:r>
    </w:p>
    <w:p w14:paraId="138C6E05">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公务用车购置费支出预算为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由于预算数为</w:t>
      </w:r>
      <w:r>
        <w:rPr>
          <w:rFonts w:hint="eastAsia" w:ascii="Times New Roman" w:hAnsi="Times New Roman" w:eastAsia="仿宋_GB2312"/>
          <w:color w:val="auto"/>
          <w:sz w:val="32"/>
          <w:szCs w:val="32"/>
          <w:lang w:val="en-US" w:eastAsia="zh-CN"/>
        </w:rPr>
        <w:t>0，无法计算百分比</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w:t>
      </w:r>
      <w:r>
        <w:rPr>
          <w:rFonts w:hint="eastAsia" w:ascii="Times New Roman" w:hAnsi="Times New Roman" w:eastAsia="仿宋_GB2312"/>
          <w:color w:val="auto"/>
          <w:sz w:val="32"/>
          <w:szCs w:val="32"/>
          <w:lang w:val="en-US" w:eastAsia="zh-CN"/>
        </w:rPr>
        <w:t>与上年持平</w:t>
      </w:r>
      <w:r>
        <w:rPr>
          <w:rFonts w:hint="eastAsia" w:ascii="Times New Roman" w:hAnsi="Times New Roman" w:eastAsia="仿宋_GB2312"/>
          <w:color w:val="auto"/>
          <w:sz w:val="32"/>
          <w:szCs w:val="32"/>
        </w:rPr>
        <w:t>。</w:t>
      </w:r>
    </w:p>
    <w:p w14:paraId="07671F1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公务用车运行维护费支出预算为6.3万元，支出决算为6.3万元，完成预算的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决算数等于预算数，</w:t>
      </w:r>
      <w:r>
        <w:rPr>
          <w:rFonts w:hint="eastAsia" w:ascii="Times New Roman" w:hAnsi="Times New Roman" w:eastAsia="仿宋_GB2312"/>
          <w:color w:val="auto"/>
          <w:sz w:val="32"/>
          <w:szCs w:val="32"/>
          <w:lang w:val="en-US" w:eastAsia="zh-CN"/>
        </w:rPr>
        <w:t>与上年持平</w:t>
      </w:r>
      <w:r>
        <w:rPr>
          <w:rFonts w:hint="eastAsia" w:ascii="Times New Roman" w:hAnsi="Times New Roman" w:eastAsia="仿宋_GB2312"/>
          <w:color w:val="auto"/>
          <w:sz w:val="32"/>
          <w:szCs w:val="32"/>
        </w:rPr>
        <w:t>。</w:t>
      </w:r>
    </w:p>
    <w:p w14:paraId="7753F7EE">
      <w:pPr>
        <w:pStyle w:val="16"/>
        <w:keepNext w:val="0"/>
        <w:keepLines w:val="0"/>
        <w:pageBreakBefore w:val="0"/>
        <w:widowControl w:val="0"/>
        <w:kinsoku/>
        <w:wordWrap/>
        <w:overflowPunct/>
        <w:topLinePunct w:val="0"/>
        <w:bidi w:val="0"/>
        <w:snapToGrid/>
        <w:spacing w:line="560" w:lineRule="exact"/>
        <w:ind w:firstLine="643" w:firstLineChars="200"/>
        <w:jc w:val="both"/>
        <w:textAlignment w:val="auto"/>
        <w:rPr>
          <w:rFonts w:hint="eastAsia" w:ascii="楷体" w:hAnsi="楷体" w:eastAsia="楷体" w:cs="楷体"/>
          <w:b/>
          <w:bCs w:val="0"/>
          <w:color w:val="auto"/>
          <w:sz w:val="32"/>
          <w:szCs w:val="32"/>
        </w:rPr>
      </w:pPr>
      <w:r>
        <w:rPr>
          <w:rFonts w:hint="eastAsia" w:ascii="楷体" w:hAnsi="楷体" w:eastAsia="楷体" w:cs="楷体"/>
          <w:b/>
          <w:bCs w:val="0"/>
          <w:color w:val="auto"/>
          <w:sz w:val="32"/>
          <w:szCs w:val="32"/>
        </w:rPr>
        <w:t>（二）“三公”经费财政拨款支出决算具体情况说明</w:t>
      </w:r>
    </w:p>
    <w:p w14:paraId="6DBE783F">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年度“三公”经费财政拨款支出决算中，公务接待费支出决算</w:t>
      </w:r>
      <w:r>
        <w:rPr>
          <w:rFonts w:hint="eastAsia" w:ascii="Times New Roman" w:hAnsi="Times New Roman" w:eastAsia="仿宋_GB2312"/>
          <w:color w:val="auto"/>
          <w:sz w:val="32"/>
          <w:szCs w:val="32"/>
          <w:lang w:val="en-US" w:eastAsia="zh-CN"/>
        </w:rPr>
        <w:t>7.59</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54.64</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因公出国（境）费支出决算</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公务用车购置费及运行维护费支出决算</w:t>
      </w:r>
      <w:r>
        <w:rPr>
          <w:rFonts w:hint="eastAsia" w:ascii="Times New Roman" w:hAnsi="Times New Roman" w:eastAsia="仿宋_GB2312"/>
          <w:color w:val="auto"/>
          <w:sz w:val="32"/>
          <w:szCs w:val="32"/>
          <w:lang w:val="en-US" w:eastAsia="zh-CN"/>
        </w:rPr>
        <w:t>6.3</w:t>
      </w:r>
      <w:r>
        <w:rPr>
          <w:rFonts w:hint="eastAsia" w:ascii="Times New Roman" w:hAnsi="Times New Roman" w:eastAsia="仿宋_GB2312"/>
          <w:color w:val="auto"/>
          <w:sz w:val="32"/>
          <w:szCs w:val="32"/>
        </w:rPr>
        <w:t>万元，占</w:t>
      </w:r>
      <w:r>
        <w:rPr>
          <w:rFonts w:hint="eastAsia" w:ascii="Times New Roman" w:hAnsi="Times New Roman" w:eastAsia="仿宋_GB2312"/>
          <w:color w:val="auto"/>
          <w:sz w:val="32"/>
          <w:szCs w:val="32"/>
          <w:lang w:val="en-US" w:eastAsia="zh-CN"/>
        </w:rPr>
        <w:t>45.36</w:t>
      </w:r>
      <w:r>
        <w:rPr>
          <w:rFonts w:hint="eastAsia" w:ascii="Times New Roman" w:hAnsi="Times New Roman" w:eastAsia="仿宋_GB2312"/>
          <w:color w:val="auto"/>
          <w:sz w:val="32"/>
          <w:szCs w:val="32"/>
        </w:rPr>
        <w:t>%。其中：</w:t>
      </w:r>
    </w:p>
    <w:p w14:paraId="0B76BB63">
      <w:pPr>
        <w:pStyle w:val="16"/>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rPr>
          <w:rFonts w:hint="eastAsia" w:ascii="Times New Roman" w:hAnsi="Times New Roman" w:eastAsia="楷体"/>
          <w:b/>
          <w:color w:val="auto"/>
          <w:sz w:val="32"/>
          <w:szCs w:val="32"/>
          <w:lang w:eastAsia="zh-CN"/>
        </w:rPr>
      </w:pP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因公出国（境）费支出决算为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万元，全年安排因公出国（境）团组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个，累计</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人次</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lang w:val="en-US" w:eastAsia="zh-CN"/>
        </w:rPr>
        <w:t>无此项开支</w:t>
      </w:r>
      <w:r>
        <w:rPr>
          <w:rFonts w:hint="eastAsia" w:ascii="Times New Roman" w:hAnsi="Times New Roman" w:eastAsia="仿宋_GB2312"/>
          <w:color w:val="auto"/>
          <w:sz w:val="32"/>
          <w:szCs w:val="32"/>
          <w:lang w:eastAsia="zh-CN"/>
        </w:rPr>
        <w:t>。</w:t>
      </w:r>
    </w:p>
    <w:p w14:paraId="4BF600F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2、公务接待费支出决算为</w:t>
      </w:r>
      <w:r>
        <w:rPr>
          <w:rFonts w:hint="eastAsia" w:ascii="Times New Roman" w:hAnsi="Times New Roman" w:eastAsia="仿宋_GB2312"/>
          <w:color w:val="auto"/>
          <w:sz w:val="32"/>
          <w:szCs w:val="32"/>
          <w:lang w:val="en-US" w:eastAsia="zh-CN"/>
        </w:rPr>
        <w:t>7.59</w:t>
      </w:r>
      <w:r>
        <w:rPr>
          <w:rFonts w:hint="eastAsia" w:ascii="Times New Roman" w:hAnsi="Times New Roman" w:eastAsia="仿宋_GB2312"/>
          <w:color w:val="auto"/>
          <w:sz w:val="32"/>
          <w:szCs w:val="32"/>
        </w:rPr>
        <w:t>万元，全年共接待来访团组</w:t>
      </w:r>
      <w:r>
        <w:rPr>
          <w:rFonts w:hint="eastAsia" w:ascii="Times New Roman" w:hAnsi="Times New Roman" w:eastAsia="仿宋_GB2312"/>
          <w:color w:val="auto"/>
          <w:sz w:val="32"/>
          <w:szCs w:val="32"/>
          <w:lang w:val="en-US" w:eastAsia="zh-CN"/>
        </w:rPr>
        <w:t>51</w:t>
      </w:r>
      <w:r>
        <w:rPr>
          <w:rFonts w:hint="eastAsia" w:ascii="Times New Roman" w:hAnsi="Times New Roman" w:eastAsia="仿宋_GB2312"/>
          <w:color w:val="auto"/>
          <w:sz w:val="32"/>
          <w:szCs w:val="32"/>
        </w:rPr>
        <w:t>个、来宾</w:t>
      </w:r>
      <w:r>
        <w:rPr>
          <w:rFonts w:hint="eastAsia" w:ascii="Times New Roman" w:hAnsi="Times New Roman" w:eastAsia="仿宋_GB2312"/>
          <w:color w:val="auto"/>
          <w:sz w:val="32"/>
          <w:szCs w:val="32"/>
          <w:lang w:val="en-US" w:eastAsia="zh-CN"/>
        </w:rPr>
        <w:t>934</w:t>
      </w:r>
      <w:r>
        <w:rPr>
          <w:rFonts w:hint="eastAsia" w:ascii="Times New Roman" w:hAnsi="Times New Roman" w:eastAsia="仿宋_GB2312"/>
          <w:color w:val="auto"/>
          <w:sz w:val="32"/>
          <w:szCs w:val="32"/>
        </w:rPr>
        <w:t>人次，主要是农业农村局单位上级部门检查等发生的接待支出。</w:t>
      </w:r>
    </w:p>
    <w:p w14:paraId="2C23890D">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s="楷体"/>
          <w:b/>
          <w:bCs/>
          <w:i/>
          <w:color w:val="auto"/>
          <w:kern w:val="0"/>
          <w:sz w:val="32"/>
          <w:szCs w:val="32"/>
          <w:lang w:val="en-US" w:eastAsia="zh-CN" w:bidi="ar-SA"/>
        </w:rPr>
      </w:pPr>
      <w:r>
        <w:rPr>
          <w:rFonts w:hint="eastAsia" w:ascii="Times New Roman" w:hAnsi="Times New Roman" w:eastAsia="仿宋_GB2312"/>
          <w:color w:val="auto"/>
          <w:sz w:val="32"/>
          <w:szCs w:val="32"/>
        </w:rPr>
        <w:t>3、公务用车购置费及运行维护费支出决算为6.3万元，其中：公务用车购置费0万元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更新公务用车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辆。公务用车运行维护费6.3万元，主要是油料费、维修费、过路过桥费等支出，</w:t>
      </w:r>
      <w:r>
        <w:rPr>
          <w:rFonts w:hint="eastAsia" w:ascii="Times New Roman" w:hAnsi="Times New Roman" w:eastAsia="仿宋_GB2312"/>
          <w:color w:val="auto"/>
          <w:sz w:val="32"/>
          <w:szCs w:val="32"/>
          <w:lang w:eastAsia="zh-CN"/>
        </w:rPr>
        <w:t>截至</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年12月31日，我单位开支财政拨款的公务用车保有量为1辆。</w:t>
      </w:r>
    </w:p>
    <w:p w14:paraId="1560B7D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八、政府性基金预算收入支出决算情况</w:t>
      </w:r>
    </w:p>
    <w:p w14:paraId="30EF2BA0">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年度政府性基金预算财政拨款收入</w:t>
      </w:r>
      <w:r>
        <w:rPr>
          <w:rFonts w:hint="eastAsia" w:ascii="Times New Roman" w:hAnsi="Times New Roman" w:eastAsia="仿宋_GB2312"/>
          <w:color w:val="auto"/>
          <w:sz w:val="32"/>
          <w:szCs w:val="32"/>
          <w:lang w:val="en-US" w:eastAsia="zh-CN"/>
        </w:rPr>
        <w:t>3,142.51</w:t>
      </w:r>
      <w:r>
        <w:rPr>
          <w:rFonts w:hint="eastAsia" w:ascii="Times New Roman" w:hAnsi="Times New Roman" w:eastAsia="仿宋_GB2312"/>
          <w:color w:val="auto"/>
          <w:sz w:val="32"/>
          <w:szCs w:val="32"/>
        </w:rPr>
        <w:t>万元；年初结转和结余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万元；支出</w:t>
      </w:r>
      <w:r>
        <w:rPr>
          <w:rFonts w:hint="eastAsia" w:ascii="Times New Roman" w:hAnsi="Times New Roman" w:eastAsia="仿宋_GB2312"/>
          <w:color w:val="auto"/>
          <w:sz w:val="32"/>
          <w:szCs w:val="32"/>
          <w:lang w:val="en-US" w:eastAsia="zh-CN"/>
        </w:rPr>
        <w:t>3,142.51</w:t>
      </w:r>
      <w:r>
        <w:rPr>
          <w:rFonts w:hint="eastAsia" w:ascii="Times New Roman" w:hAnsi="Times New Roman" w:eastAsia="仿宋_GB2312"/>
          <w:color w:val="auto"/>
          <w:sz w:val="32"/>
          <w:szCs w:val="32"/>
        </w:rPr>
        <w:t>万元，其中基本支出</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万元，项目支</w:t>
      </w:r>
      <w:r>
        <w:rPr>
          <w:rFonts w:hint="eastAsia" w:ascii="Times New Roman" w:hAnsi="Times New Roman" w:eastAsia="仿宋_GB2312"/>
          <w:color w:val="auto"/>
          <w:sz w:val="32"/>
          <w:szCs w:val="32"/>
          <w:lang w:val="en-US" w:eastAsia="zh-CN"/>
        </w:rPr>
        <w:t>出3,142.51</w:t>
      </w:r>
      <w:r>
        <w:rPr>
          <w:rFonts w:hint="eastAsia" w:ascii="Times New Roman" w:hAnsi="Times New Roman" w:eastAsia="仿宋_GB2312"/>
          <w:color w:val="auto"/>
          <w:sz w:val="32"/>
          <w:szCs w:val="32"/>
        </w:rPr>
        <w:t>万元；年末结转和结余</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万元。具体情况如下：</w:t>
      </w:r>
    </w:p>
    <w:p w14:paraId="60F3DE9A">
      <w:pPr>
        <w:pStyle w:val="16"/>
        <w:keepNext w:val="0"/>
        <w:keepLines w:val="0"/>
        <w:pageBreakBefore w:val="0"/>
        <w:widowControl w:val="0"/>
        <w:numPr>
          <w:ilvl w:val="0"/>
          <w:numId w:val="1"/>
        </w:numPr>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其他支出（类）其他政府性基金及对应专项债务收入安排的支出（款） 其他地方自行试点项目收益专项债券收入安排的支出（项）。</w:t>
      </w:r>
    </w:p>
    <w:p w14:paraId="745D0E1F">
      <w:pPr>
        <w:pStyle w:val="16"/>
        <w:keepNext w:val="0"/>
        <w:keepLines w:val="0"/>
        <w:pageBreakBefore w:val="0"/>
        <w:widowControl w:val="0"/>
        <w:numPr>
          <w:ilvl w:val="0"/>
          <w:numId w:val="0"/>
        </w:numPr>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年初预算为</w:t>
      </w:r>
      <w:r>
        <w:rPr>
          <w:rFonts w:hint="eastAsia" w:ascii="Times New Roman" w:hAnsi="Times New Roman" w:eastAsia="仿宋_GB2312"/>
          <w:color w:val="auto"/>
          <w:sz w:val="32"/>
          <w:szCs w:val="32"/>
          <w:lang w:val="en-US" w:eastAsia="zh-CN"/>
        </w:rPr>
        <w:t>3,142.51</w:t>
      </w:r>
      <w:r>
        <w:rPr>
          <w:rFonts w:hint="eastAsia" w:ascii="Times New Roman" w:hAnsi="Times New Roman" w:eastAsia="仿宋_GB2312"/>
          <w:color w:val="auto"/>
          <w:sz w:val="32"/>
          <w:szCs w:val="32"/>
        </w:rPr>
        <w:t>万元，支出决算为</w:t>
      </w:r>
      <w:r>
        <w:rPr>
          <w:rFonts w:hint="eastAsia" w:ascii="Times New Roman" w:hAnsi="Times New Roman" w:eastAsia="仿宋_GB2312"/>
          <w:color w:val="auto"/>
          <w:sz w:val="32"/>
          <w:szCs w:val="32"/>
          <w:lang w:val="en-US" w:eastAsia="zh-CN"/>
        </w:rPr>
        <w:t>3,142.51</w:t>
      </w:r>
      <w:r>
        <w:rPr>
          <w:rFonts w:hint="eastAsia" w:ascii="Times New Roman" w:hAnsi="Times New Roman" w:eastAsia="仿宋_GB2312"/>
          <w:color w:val="auto"/>
          <w:sz w:val="32"/>
          <w:szCs w:val="32"/>
        </w:rPr>
        <w:t>万元，完成年初预算的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%，决算数</w:t>
      </w:r>
      <w:r>
        <w:rPr>
          <w:rFonts w:hint="eastAsia" w:ascii="Times New Roman" w:hAnsi="Times New Roman" w:eastAsia="仿宋_GB2312"/>
          <w:color w:val="auto"/>
          <w:sz w:val="32"/>
          <w:szCs w:val="32"/>
          <w:lang w:eastAsia="zh-CN"/>
        </w:rPr>
        <w:t>等于</w:t>
      </w:r>
      <w:r>
        <w:rPr>
          <w:rFonts w:hint="eastAsia" w:ascii="Times New Roman" w:hAnsi="Times New Roman" w:eastAsia="仿宋_GB2312"/>
          <w:color w:val="auto"/>
          <w:sz w:val="32"/>
          <w:szCs w:val="32"/>
        </w:rPr>
        <w:t>年初预算数</w:t>
      </w:r>
      <w:r>
        <w:rPr>
          <w:rFonts w:hint="eastAsia" w:ascii="Times New Roman" w:hAnsi="Times New Roman" w:eastAsia="仿宋_GB2312"/>
          <w:color w:val="auto"/>
          <w:sz w:val="32"/>
          <w:szCs w:val="32"/>
          <w:lang w:eastAsia="zh-CN"/>
        </w:rPr>
        <w:t>。</w:t>
      </w:r>
    </w:p>
    <w:p w14:paraId="2AB2D313">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九、关于机关运行经费支出说明</w:t>
      </w:r>
    </w:p>
    <w:p w14:paraId="41F2A5CC">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年度机关运行经费支出</w:t>
      </w:r>
      <w:r>
        <w:rPr>
          <w:rFonts w:hint="eastAsia" w:ascii="Times New Roman" w:hAnsi="Times New Roman" w:eastAsia="仿宋_GB2312"/>
          <w:color w:val="auto"/>
          <w:sz w:val="32"/>
          <w:szCs w:val="32"/>
          <w:lang w:val="en-US" w:eastAsia="zh-CN"/>
        </w:rPr>
        <w:t>394.55</w:t>
      </w:r>
      <w:r>
        <w:rPr>
          <w:rFonts w:hint="eastAsia" w:ascii="Times New Roman" w:hAnsi="Times New Roman" w:eastAsia="仿宋_GB2312"/>
          <w:color w:val="auto"/>
          <w:sz w:val="32"/>
          <w:szCs w:val="32"/>
        </w:rPr>
        <w:t>万元，比年初</w:t>
      </w:r>
      <w:r>
        <w:rPr>
          <w:rFonts w:hint="eastAsia" w:ascii="Times New Roman" w:hAnsi="Times New Roman" w:eastAsia="仿宋_GB2312"/>
          <w:color w:val="auto"/>
          <w:sz w:val="32"/>
          <w:szCs w:val="32"/>
          <w:lang w:val="en-US" w:eastAsia="zh-CN"/>
        </w:rPr>
        <w:t>上年决算数增加42.43</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增加</w:t>
      </w:r>
      <w:r>
        <w:rPr>
          <w:rFonts w:hint="eastAsia" w:ascii="Times New Roman" w:hAnsi="Times New Roman" w:eastAsia="仿宋_GB2312"/>
          <w:color w:val="auto"/>
          <w:sz w:val="32"/>
          <w:szCs w:val="32"/>
          <w:lang w:val="en-US" w:eastAsia="zh-CN"/>
        </w:rPr>
        <w:t>4.14</w:t>
      </w:r>
      <w:r>
        <w:rPr>
          <w:rFonts w:hint="eastAsia" w:ascii="Times New Roman" w:hAnsi="Times New Roman" w:eastAsia="仿宋_GB2312"/>
          <w:color w:val="auto"/>
          <w:sz w:val="32"/>
          <w:szCs w:val="32"/>
        </w:rPr>
        <w:t>%。主要原因是：</w:t>
      </w:r>
      <w:r>
        <w:rPr>
          <w:rFonts w:hint="eastAsia" w:ascii="Times New Roman" w:hAnsi="Times New Roman" w:eastAsia="仿宋_GB2312"/>
          <w:color w:val="auto"/>
          <w:sz w:val="32"/>
          <w:szCs w:val="32"/>
          <w:lang w:eastAsia="zh-CN"/>
        </w:rPr>
        <w:t>单位职能增加，机关运行成本有所增加</w:t>
      </w:r>
      <w:r>
        <w:rPr>
          <w:rFonts w:hint="eastAsia" w:ascii="Times New Roman" w:hAnsi="Times New Roman" w:eastAsia="仿宋_GB2312"/>
          <w:color w:val="auto"/>
          <w:sz w:val="32"/>
          <w:szCs w:val="32"/>
        </w:rPr>
        <w:t>。</w:t>
      </w:r>
    </w:p>
    <w:p w14:paraId="0F395A99">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十、一般性支出情况说明</w:t>
      </w:r>
    </w:p>
    <w:p w14:paraId="015BF95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年本部门开支会议费</w:t>
      </w:r>
      <w:r>
        <w:rPr>
          <w:rFonts w:hint="eastAsia" w:ascii="Times New Roman" w:hAnsi="Times New Roman" w:eastAsia="仿宋_GB2312"/>
          <w:color w:val="auto"/>
          <w:sz w:val="32"/>
          <w:szCs w:val="32"/>
          <w:highlight w:val="none"/>
          <w:lang w:val="en-US" w:eastAsia="zh-CN"/>
        </w:rPr>
        <w:t>2.4</w:t>
      </w:r>
      <w:r>
        <w:rPr>
          <w:rFonts w:hint="eastAsia" w:ascii="Times New Roman" w:hAnsi="Times New Roman" w:eastAsia="仿宋_GB2312"/>
          <w:color w:val="auto"/>
          <w:sz w:val="32"/>
          <w:szCs w:val="32"/>
        </w:rPr>
        <w:t>万元，用于召开本单位业务会议，人数</w:t>
      </w:r>
      <w:r>
        <w:rPr>
          <w:rFonts w:hint="eastAsia" w:ascii="Times New Roman" w:hAnsi="Times New Roman" w:eastAsia="仿宋_GB2312"/>
          <w:color w:val="auto"/>
          <w:sz w:val="32"/>
          <w:szCs w:val="32"/>
          <w:lang w:val="en-US" w:eastAsia="zh-CN"/>
        </w:rPr>
        <w:t>140</w:t>
      </w:r>
      <w:r>
        <w:rPr>
          <w:rFonts w:hint="eastAsia" w:ascii="Times New Roman" w:hAnsi="Times New Roman" w:eastAsia="仿宋_GB2312"/>
          <w:color w:val="auto"/>
          <w:sz w:val="32"/>
          <w:szCs w:val="32"/>
        </w:rPr>
        <w:t>人，内容为农业农村局日常工作业务会议；开支培训费</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人数</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人；举办</w:t>
      </w:r>
      <w:r>
        <w:rPr>
          <w:rFonts w:hint="eastAsia" w:ascii="Times New Roman" w:hAnsi="Times New Roman" w:eastAsia="仿宋_GB2312"/>
          <w:color w:val="auto"/>
          <w:sz w:val="32"/>
          <w:szCs w:val="32"/>
          <w:lang w:val="en-US" w:eastAsia="zh-CN"/>
        </w:rPr>
        <w:t>0次</w:t>
      </w:r>
      <w:r>
        <w:rPr>
          <w:rFonts w:hint="eastAsia" w:ascii="Times New Roman" w:hAnsi="Times New Roman" w:eastAsia="仿宋_GB2312"/>
          <w:color w:val="auto"/>
          <w:sz w:val="32"/>
          <w:szCs w:val="32"/>
        </w:rPr>
        <w:t>节庆、晚会、论坛、赛事活动，开支</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万元</w:t>
      </w:r>
      <w:r>
        <w:rPr>
          <w:rFonts w:hint="eastAsia" w:ascii="Times New Roman" w:hAnsi="Times New Roman" w:eastAsia="仿宋_GB2312"/>
          <w:color w:val="auto"/>
          <w:sz w:val="32"/>
          <w:szCs w:val="32"/>
          <w:lang w:eastAsia="zh-CN"/>
        </w:rPr>
        <w:t>。</w:t>
      </w:r>
    </w:p>
    <w:p w14:paraId="478F2BED">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十一、关于政府采购支出说明</w:t>
      </w:r>
    </w:p>
    <w:p w14:paraId="02795510">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本部门202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年度政府采购支出总额</w:t>
      </w:r>
      <w:r>
        <w:rPr>
          <w:rFonts w:hint="eastAsia" w:ascii="Times New Roman" w:hAnsi="Times New Roman" w:eastAsia="仿宋_GB2312"/>
          <w:color w:val="auto"/>
          <w:sz w:val="32"/>
          <w:szCs w:val="32"/>
          <w:lang w:val="en-US" w:eastAsia="zh-CN"/>
        </w:rPr>
        <w:t>1,557.79</w:t>
      </w:r>
      <w:r>
        <w:rPr>
          <w:rFonts w:hint="eastAsia" w:ascii="Times New Roman" w:hAnsi="Times New Roman" w:eastAsia="仿宋_GB2312"/>
          <w:color w:val="auto"/>
          <w:sz w:val="32"/>
          <w:szCs w:val="32"/>
        </w:rPr>
        <w:t>万元，其中：政府采购货物支出</w:t>
      </w:r>
      <w:r>
        <w:rPr>
          <w:rFonts w:hint="eastAsia" w:ascii="Times New Roman" w:hAnsi="Times New Roman" w:eastAsia="仿宋_GB2312"/>
          <w:color w:val="auto"/>
          <w:sz w:val="32"/>
          <w:szCs w:val="32"/>
          <w:lang w:val="en-US" w:eastAsia="zh-CN"/>
        </w:rPr>
        <w:t>922.35</w:t>
      </w:r>
      <w:r>
        <w:rPr>
          <w:rFonts w:hint="eastAsia" w:ascii="Times New Roman" w:hAnsi="Times New Roman" w:eastAsia="仿宋_GB2312"/>
          <w:color w:val="auto"/>
          <w:sz w:val="32"/>
          <w:szCs w:val="32"/>
        </w:rPr>
        <w:t>万元、政府采购工程支出</w:t>
      </w:r>
      <w:r>
        <w:rPr>
          <w:rFonts w:hint="eastAsia" w:ascii="Times New Roman" w:hAnsi="Times New Roman" w:eastAsia="仿宋_GB2312"/>
          <w:color w:val="auto"/>
          <w:sz w:val="32"/>
          <w:szCs w:val="32"/>
          <w:lang w:val="en-US" w:eastAsia="zh-CN"/>
        </w:rPr>
        <w:t>136</w:t>
      </w:r>
      <w:r>
        <w:rPr>
          <w:rFonts w:hint="eastAsia" w:ascii="Times New Roman" w:hAnsi="Times New Roman" w:eastAsia="仿宋_GB2312"/>
          <w:color w:val="auto"/>
          <w:sz w:val="32"/>
          <w:szCs w:val="32"/>
        </w:rPr>
        <w:t>万元、政府采购服务支出</w:t>
      </w:r>
      <w:r>
        <w:rPr>
          <w:rFonts w:hint="eastAsia" w:ascii="Times New Roman" w:hAnsi="Times New Roman" w:eastAsia="仿宋_GB2312"/>
          <w:color w:val="auto"/>
          <w:sz w:val="32"/>
          <w:szCs w:val="32"/>
          <w:lang w:val="en-US" w:eastAsia="zh-CN"/>
        </w:rPr>
        <w:t>499.44</w:t>
      </w:r>
      <w:r>
        <w:rPr>
          <w:rFonts w:hint="eastAsia" w:ascii="Times New Roman" w:hAnsi="Times New Roman" w:eastAsia="仿宋_GB2312"/>
          <w:color w:val="auto"/>
          <w:sz w:val="32"/>
          <w:szCs w:val="32"/>
        </w:rPr>
        <w:t>万元。授予中小企业合同金额</w:t>
      </w:r>
      <w:r>
        <w:rPr>
          <w:rFonts w:hint="eastAsia" w:ascii="Times New Roman" w:hAnsi="Times New Roman" w:eastAsia="仿宋_GB2312"/>
          <w:color w:val="auto"/>
          <w:sz w:val="32"/>
          <w:szCs w:val="32"/>
          <w:lang w:val="en-US" w:eastAsia="zh-CN"/>
        </w:rPr>
        <w:t>1,557.79</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%，其中：授予小微企业合同金额</w:t>
      </w:r>
      <w:r>
        <w:rPr>
          <w:rFonts w:hint="eastAsia" w:ascii="Times New Roman" w:hAnsi="Times New Roman" w:eastAsia="仿宋_GB2312"/>
          <w:color w:val="auto"/>
          <w:sz w:val="32"/>
          <w:szCs w:val="32"/>
          <w:lang w:val="en-US" w:eastAsia="zh-CN"/>
        </w:rPr>
        <w:t>1,557.79</w:t>
      </w:r>
      <w:r>
        <w:rPr>
          <w:rFonts w:hint="eastAsia" w:ascii="Times New Roman" w:hAnsi="Times New Roman" w:eastAsia="仿宋_GB2312"/>
          <w:color w:val="auto"/>
          <w:sz w:val="32"/>
          <w:szCs w:val="32"/>
        </w:rPr>
        <w:t>万元，占政府采购支出总额的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lang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w:t>
      </w:r>
    </w:p>
    <w:p w14:paraId="72F0B6E4">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14:paraId="0125E92B">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rPr>
        <w:t>年12月31日，部门（单位）共有车辆1辆，其中，主要领导干部用车0辆，机要通信用车0辆、应急保障用车0辆、执法执勤用车0辆、特种专业技术用车0辆、其他用车1辆，其他用车</w:t>
      </w:r>
      <w:r>
        <w:rPr>
          <w:rFonts w:hint="eastAsia" w:ascii="Times New Roman" w:hAnsi="Times New Roman" w:eastAsia="仿宋_GB2312"/>
          <w:color w:val="auto"/>
          <w:sz w:val="32"/>
          <w:szCs w:val="32"/>
          <w:lang w:eastAsia="zh-CN"/>
        </w:rPr>
        <w:t>是农业科技下乡直通车</w:t>
      </w:r>
      <w:r>
        <w:rPr>
          <w:rFonts w:hint="eastAsia" w:ascii="Times New Roman" w:hAnsi="Times New Roman" w:eastAsia="仿宋_GB2312"/>
          <w:color w:val="auto"/>
          <w:sz w:val="32"/>
          <w:szCs w:val="32"/>
        </w:rPr>
        <w:t>；单位价值50万元以上通用设备0台（套）；单位价值100万元以上专用设备0台（套）。</w:t>
      </w:r>
    </w:p>
    <w:p w14:paraId="75AC2CD9">
      <w:pPr>
        <w:pStyle w:val="16"/>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年度预算绩效情况的说明</w:t>
      </w:r>
    </w:p>
    <w:p w14:paraId="18658074">
      <w:pPr>
        <w:pStyle w:val="16"/>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 w:hAnsi="楷体" w:eastAsia="楷体" w:cs="楷体"/>
          <w:b/>
          <w:bCs/>
          <w:sz w:val="32"/>
          <w:szCs w:val="32"/>
          <w:lang w:eastAsia="zh-CN"/>
        </w:rPr>
      </w:pPr>
      <w:bookmarkStart w:id="3" w:name="OLE_LINK13"/>
      <w:bookmarkStart w:id="4" w:name="OLE_LINK50"/>
      <w:bookmarkStart w:id="5" w:name="OLE_LINK102"/>
      <w:bookmarkStart w:id="6" w:name="OLE_LINK45"/>
      <w:bookmarkStart w:id="7" w:name="OLE_LINK108"/>
      <w:r>
        <w:rPr>
          <w:rFonts w:hint="eastAsia" w:ascii="楷体" w:hAnsi="楷体" w:eastAsia="楷体" w:cs="楷体"/>
          <w:b/>
          <w:bCs/>
          <w:sz w:val="32"/>
          <w:szCs w:val="32"/>
          <w:lang w:eastAsia="zh-CN"/>
        </w:rPr>
        <w:t>（一）</w:t>
      </w:r>
      <w:bookmarkStart w:id="8" w:name="OLE_LINK5"/>
      <w:r>
        <w:rPr>
          <w:rFonts w:hint="eastAsia" w:ascii="楷体" w:hAnsi="楷体" w:eastAsia="楷体" w:cs="楷体"/>
          <w:b/>
          <w:bCs/>
          <w:sz w:val="32"/>
          <w:szCs w:val="32"/>
          <w:lang w:eastAsia="zh-CN"/>
        </w:rPr>
        <w:t>绩效管理工作开展情况</w:t>
      </w:r>
      <w:bookmarkEnd w:id="3"/>
      <w:bookmarkEnd w:id="8"/>
    </w:p>
    <w:p w14:paraId="5439BD49">
      <w:pPr>
        <w:pStyle w:val="16"/>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jc w:val="both"/>
        <w:textAlignment w:val="auto"/>
        <w:rPr>
          <w:rFonts w:hint="eastAsia" w:ascii="Times New Roman" w:hAnsi="Times New Roman" w:eastAsia="仿宋_GB2312"/>
          <w:color w:val="auto"/>
          <w:sz w:val="32"/>
          <w:szCs w:val="32"/>
          <w:lang w:eastAsia="zh-CN"/>
        </w:rPr>
      </w:pPr>
      <w:bookmarkStart w:id="9" w:name="OLE_LINK55"/>
      <w:bookmarkStart w:id="10" w:name="OLE_LINK40"/>
      <w:r>
        <w:rPr>
          <w:rFonts w:hint="eastAsia" w:ascii="Times New Roman" w:hAnsi="Times New Roman" w:eastAsia="仿宋_GB2312"/>
          <w:color w:val="auto"/>
          <w:sz w:val="32"/>
          <w:szCs w:val="32"/>
          <w:lang w:eastAsia="zh-CN"/>
        </w:rPr>
        <w:t>202</w:t>
      </w:r>
      <w:r>
        <w:rPr>
          <w:rFonts w:hint="eastAsia" w:ascii="Times New Roman" w:hAnsi="Times New Roman" w:eastAsia="仿宋_GB2312"/>
          <w:color w:val="auto"/>
          <w:sz w:val="32"/>
          <w:szCs w:val="32"/>
          <w:lang w:val="en-US" w:eastAsia="zh-CN"/>
        </w:rPr>
        <w:t>4</w:t>
      </w:r>
      <w:r>
        <w:rPr>
          <w:rFonts w:hint="eastAsia" w:ascii="Times New Roman" w:hAnsi="Times New Roman" w:eastAsia="仿宋_GB2312"/>
          <w:color w:val="auto"/>
          <w:sz w:val="32"/>
          <w:szCs w:val="32"/>
          <w:lang w:eastAsia="zh-CN"/>
        </w:rPr>
        <w:t>年，编制预算时，我单位预算资金全部纳入绩效目标管理，预算执行时，为深化绩效监控，促进绩效目标实现，采取单位自控和财政审核相结合的方式，对绩效运行全过程进行跟踪监督，对偏离绩效目标、计划进度滞后、预算执行缓慢的项目及时督促整改。着力确保项目绩效目标顺利实现。项目完成后，采取“三位一体”绩效评价方式，即通过部门自评、财政再评价、第三方评价，对项目绩效情况出具绩效评价报告，及时向社会公开，并将绩效评价结果作为下年度预算编制的重要依据</w:t>
      </w:r>
      <w:bookmarkEnd w:id="4"/>
      <w:bookmarkEnd w:id="9"/>
      <w:r>
        <w:rPr>
          <w:rFonts w:hint="eastAsia" w:ascii="Times New Roman" w:hAnsi="Times New Roman" w:eastAsia="仿宋_GB2312"/>
          <w:color w:val="auto"/>
          <w:sz w:val="32"/>
          <w:szCs w:val="32"/>
          <w:lang w:eastAsia="zh-CN"/>
        </w:rPr>
        <w:t>。</w:t>
      </w:r>
      <w:bookmarkEnd w:id="5"/>
      <w:bookmarkEnd w:id="10"/>
    </w:p>
    <w:bookmarkEnd w:id="6"/>
    <w:p w14:paraId="30059CE5">
      <w:pPr>
        <w:pStyle w:val="16"/>
        <w:keepNext w:val="0"/>
        <w:keepLines w:val="0"/>
        <w:pageBreakBefore w:val="0"/>
        <w:widowControl w:val="0"/>
        <w:kinsoku/>
        <w:wordWrap/>
        <w:overflowPunct/>
        <w:topLinePunct w:val="0"/>
        <w:autoSpaceDE w:val="0"/>
        <w:autoSpaceDN w:val="0"/>
        <w:bidi w:val="0"/>
        <w:adjustRightInd w:val="0"/>
        <w:snapToGrid/>
        <w:spacing w:line="560" w:lineRule="exact"/>
        <w:ind w:firstLine="643" w:firstLineChars="200"/>
        <w:jc w:val="both"/>
        <w:textAlignment w:val="auto"/>
        <w:rPr>
          <w:rFonts w:hint="eastAsia" w:ascii="楷体" w:hAnsi="楷体" w:eastAsia="楷体" w:cs="楷体"/>
          <w:b/>
          <w:bCs/>
          <w:sz w:val="32"/>
          <w:szCs w:val="32"/>
        </w:rPr>
      </w:pPr>
      <w:bookmarkStart w:id="11" w:name="OLE_LINK46"/>
      <w:r>
        <w:rPr>
          <w:rFonts w:hint="eastAsia" w:ascii="楷体" w:hAnsi="楷体" w:eastAsia="楷体" w:cs="楷体"/>
          <w:b/>
          <w:bCs/>
          <w:sz w:val="32"/>
          <w:szCs w:val="32"/>
          <w:lang w:eastAsia="zh-CN"/>
        </w:rPr>
        <w:t>（二）</w:t>
      </w:r>
      <w:bookmarkStart w:id="12" w:name="OLE_LINK6"/>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bookmarkEnd w:id="12"/>
    </w:p>
    <w:bookmarkEnd w:id="7"/>
    <w:bookmarkEnd w:id="11"/>
    <w:p w14:paraId="7BF225CE">
      <w:pPr>
        <w:pStyle w:val="10"/>
        <w:keepNext w:val="0"/>
        <w:keepLines w:val="0"/>
        <w:pageBreakBefore w:val="0"/>
        <w:widowControl w:val="0"/>
        <w:kinsoku/>
        <w:wordWrap/>
        <w:overflowPunct/>
        <w:topLinePunct w:val="0"/>
        <w:bidi w:val="0"/>
        <w:snapToGrid/>
        <w:spacing w:before="0" w:beforeAutospacing="0" w:after="0" w:afterAutospacing="0" w:line="560" w:lineRule="exact"/>
        <w:ind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执行预算控制，厉行节约，实现预算收支平衡。坚持财务收支两条线的科学化管理方法，所有收入全部纳入部门预算，单位财务统一核算。所有支出遵循先有预算、后有支出的原则，有效杜绝了超预算或无预算安排支出。从经济性分析来看，</w:t>
      </w:r>
      <w:bookmarkStart w:id="13" w:name="_Hlk103959929"/>
      <w:r>
        <w:rPr>
          <w:rFonts w:hint="eastAsia" w:ascii="Times New Roman" w:hAnsi="Times New Roman" w:eastAsia="仿宋_GB2312" w:cs="黑体"/>
          <w:color w:val="auto"/>
          <w:kern w:val="0"/>
          <w:sz w:val="32"/>
          <w:szCs w:val="32"/>
          <w:lang w:val="en-US" w:eastAsia="zh-CN" w:bidi="ar-SA"/>
        </w:rPr>
        <w:t>2024年基本支出2,191.57万元，相对于2023年支出6,318.75万元，减少支出4,127.18万元，主要是对个人和家庭补助支出减少，主要原因是计算口径的变更，对个人和家庭补助属项目经费从基本支出中剔除。</w:t>
      </w:r>
      <w:bookmarkEnd w:id="13"/>
    </w:p>
    <w:p w14:paraId="57DE967E">
      <w:pPr>
        <w:keepNext w:val="0"/>
        <w:keepLines w:val="0"/>
        <w:pageBreakBefore w:val="0"/>
        <w:widowControl w:val="0"/>
        <w:kinsoku/>
        <w:wordWrap/>
        <w:overflowPunct/>
        <w:topLinePunct w:val="0"/>
        <w:bidi w:val="0"/>
        <w:snapToGrid/>
        <w:spacing w:line="560" w:lineRule="exact"/>
        <w:ind w:firstLine="640" w:firstLineChars="200"/>
        <w:jc w:val="both"/>
        <w:textAlignment w:val="auto"/>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w:t>
      </w:r>
      <w:r>
        <w:rPr>
          <w:rFonts w:ascii="Times New Roman" w:hAnsi="Times New Roman" w:eastAsia="仿宋_GB2312" w:cs="Times New Roman"/>
          <w:color w:val="000000"/>
          <w:kern w:val="0"/>
          <w:sz w:val="32"/>
          <w:szCs w:val="32"/>
        </w:rPr>
        <w:t>绩效评价结果。</w:t>
      </w:r>
    </w:p>
    <w:p w14:paraId="1D8DAE1A">
      <w:pPr>
        <w:keepNext w:val="0"/>
        <w:keepLines w:val="0"/>
        <w:pageBreakBefore w:val="0"/>
        <w:widowControl w:val="0"/>
        <w:numPr>
          <w:ilvl w:val="0"/>
          <w:numId w:val="0"/>
        </w:numPr>
        <w:kinsoku/>
        <w:wordWrap/>
        <w:overflowPunct/>
        <w:topLinePunct w:val="0"/>
        <w:bidi w:val="0"/>
        <w:snapToGrid/>
        <w:spacing w:line="560" w:lineRule="exact"/>
        <w:ind w:firstLine="643" w:firstLineChars="200"/>
        <w:jc w:val="both"/>
        <w:textAlignment w:val="auto"/>
        <w:rPr>
          <w:rFonts w:hint="eastAsia" w:ascii="楷体" w:hAnsi="楷体" w:eastAsia="楷体" w:cs="黑体"/>
          <w:b/>
          <w:bCs/>
          <w:kern w:val="2"/>
          <w:sz w:val="32"/>
          <w:szCs w:val="32"/>
          <w:lang w:val="en-US" w:eastAsia="zh-CN" w:bidi="ar-SA"/>
        </w:rPr>
      </w:pPr>
      <w:r>
        <w:rPr>
          <w:rFonts w:hint="eastAsia" w:ascii="楷体" w:hAnsi="楷体" w:eastAsia="楷体" w:cs="黑体"/>
          <w:b/>
          <w:bCs/>
          <w:kern w:val="2"/>
          <w:sz w:val="32"/>
          <w:szCs w:val="32"/>
          <w:lang w:val="en-US" w:eastAsia="zh-CN" w:bidi="ar-SA"/>
        </w:rPr>
        <w:t>1.守牢粮食安全底线。</w:t>
      </w:r>
    </w:p>
    <w:p w14:paraId="174F1EA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（1）粮食生产情况。</w:t>
      </w:r>
      <w:r>
        <w:rPr>
          <w:rFonts w:hint="eastAsia" w:ascii="仿宋_GB2312" w:hAnsi="宋体" w:eastAsia="仿宋_GB2312" w:cs="Times New Roman"/>
          <w:kern w:val="2"/>
          <w:sz w:val="32"/>
          <w:szCs w:val="32"/>
          <w:lang w:val="en-US" w:eastAsia="zh-CN" w:bidi="ar-SA"/>
        </w:rPr>
        <w:t>2024年，市下达我县粮食播种面积任务81万亩，其中水稻47.64万亩（早稻0.1万亩，晚稻0.12万亩，中稻47.48万亩），再生稻0.3万亩，大豆2.6万亩，玉米20.9万亩。实际完成粮食播种面积81.31万亩，超出目标任务0.31万亩。我县粮食产量目标任务36.25万吨，通过落实关键稳产增产措施，预计全县实际粮食总产量36.93万吨，超出目标任务0.68万吨，比2023年粮食总产量（36.17万吨）增加了0.76万吨。此外，我县大豆玉米带状复合种植任务面积为2.2万亩，实际种植面积为2.285万亩，已完成本年度大豆玉米带状复合种植任务面积。</w:t>
      </w:r>
    </w:p>
    <w:p w14:paraId="59B523E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（2）抓好示范样板。</w:t>
      </w:r>
      <w:r>
        <w:rPr>
          <w:rFonts w:hint="eastAsia" w:ascii="仿宋_GB2312" w:hAnsi="宋体" w:eastAsia="仿宋_GB2312" w:cs="Times New Roman"/>
          <w:kern w:val="2"/>
          <w:sz w:val="32"/>
          <w:szCs w:val="32"/>
          <w:lang w:val="en-US" w:eastAsia="zh-CN" w:bidi="ar-SA"/>
        </w:rPr>
        <w:t>全县创建市级粮食生产千亩综合示范片2个，总面积2100亩（核心示范区分别位于观音阁镇文家冲村和北斗溪镇坪溪村），县、乡两级共创办水稻、大豆玉米带状复合种植模式、高粱、红薯等粮食作物千、百亩示范片50个。</w:t>
      </w:r>
    </w:p>
    <w:p w14:paraId="7EA0473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（3）促进单产提升。</w:t>
      </w:r>
      <w:r>
        <w:rPr>
          <w:rFonts w:hint="eastAsia" w:ascii="仿宋_GB2312" w:hAnsi="宋体" w:eastAsia="仿宋_GB2312" w:cs="Times New Roman"/>
          <w:kern w:val="2"/>
          <w:sz w:val="32"/>
          <w:szCs w:val="32"/>
          <w:lang w:val="en-US" w:eastAsia="zh-CN" w:bidi="ar-SA"/>
        </w:rPr>
        <w:t>执行全省技术方案，水稻、玉米、大豆、油菜等大宗农作物单产持平或提升。2024年粮食平均单产为454.14 kg/亩，比上年每亩增加了5.72 kg。</w:t>
      </w:r>
    </w:p>
    <w:p w14:paraId="5FE24F9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（4）耕地撂荒、“非粮化”治理方面。</w:t>
      </w:r>
      <w:r>
        <w:rPr>
          <w:rFonts w:hint="eastAsia" w:ascii="仿宋_GB2312" w:hAnsi="宋体" w:eastAsia="仿宋_GB2312" w:cs="Times New Roman"/>
          <w:kern w:val="2"/>
          <w:sz w:val="32"/>
          <w:szCs w:val="32"/>
          <w:lang w:val="en-US" w:eastAsia="zh-CN" w:bidi="ar-SA"/>
        </w:rPr>
        <w:t>截至目前，省田长办向我县下发的非粮化图斑中，涉及我县“非粮化”问题整改图斑总共208个，已完成整治销号204个，未完成4个，整治销号完成率98.08%。</w:t>
      </w:r>
    </w:p>
    <w:p w14:paraId="239C4B04">
      <w:pPr>
        <w:keepNext w:val="0"/>
        <w:keepLines w:val="0"/>
        <w:pageBreakBefore w:val="0"/>
        <w:widowControl w:val="0"/>
        <w:numPr>
          <w:ilvl w:val="0"/>
          <w:numId w:val="0"/>
        </w:numPr>
        <w:kinsoku/>
        <w:wordWrap/>
        <w:overflowPunct/>
        <w:topLinePunct w:val="0"/>
        <w:bidi w:val="0"/>
        <w:snapToGrid/>
        <w:spacing w:line="560" w:lineRule="exact"/>
        <w:ind w:firstLine="643" w:firstLineChars="200"/>
        <w:jc w:val="both"/>
        <w:textAlignment w:val="auto"/>
        <w:rPr>
          <w:rFonts w:hint="eastAsia" w:ascii="楷体" w:hAnsi="楷体" w:eastAsia="楷体" w:cs="黑体"/>
          <w:kern w:val="2"/>
          <w:sz w:val="32"/>
          <w:szCs w:val="32"/>
          <w:lang w:val="en-US" w:eastAsia="zh-CN" w:bidi="ar-SA"/>
        </w:rPr>
      </w:pPr>
      <w:r>
        <w:rPr>
          <w:rFonts w:hint="eastAsia" w:ascii="楷体" w:hAnsi="楷体" w:eastAsia="楷体" w:cs="黑体"/>
          <w:b/>
          <w:bCs/>
          <w:kern w:val="2"/>
          <w:sz w:val="32"/>
          <w:szCs w:val="32"/>
          <w:lang w:val="en-US" w:eastAsia="zh-CN" w:bidi="ar-SA"/>
        </w:rPr>
        <w:t>2.守牢巩固脱贫成果底线</w:t>
      </w:r>
      <w:r>
        <w:rPr>
          <w:rFonts w:hint="eastAsia" w:ascii="楷体" w:hAnsi="楷体" w:eastAsia="楷体" w:cs="黑体"/>
          <w:kern w:val="2"/>
          <w:sz w:val="32"/>
          <w:szCs w:val="32"/>
          <w:lang w:val="en-US" w:eastAsia="zh-CN" w:bidi="ar-SA"/>
        </w:rPr>
        <w:t>。</w:t>
      </w:r>
    </w:p>
    <w:p w14:paraId="51BEF2C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截至</w:t>
      </w:r>
      <w:r>
        <w:rPr>
          <w:rFonts w:hint="default" w:ascii="仿宋_GB2312" w:hAnsi="宋体" w:eastAsia="仿宋_GB2312" w:cs="Times New Roman"/>
          <w:kern w:val="2"/>
          <w:sz w:val="32"/>
          <w:szCs w:val="32"/>
          <w:lang w:val="en-US" w:eastAsia="zh-CN" w:bidi="ar-SA"/>
        </w:rPr>
        <w:t>目前，</w:t>
      </w:r>
      <w:r>
        <w:rPr>
          <w:rFonts w:hint="eastAsia" w:ascii="仿宋_GB2312" w:hAnsi="宋体" w:eastAsia="仿宋_GB2312" w:cs="Times New Roman"/>
          <w:kern w:val="2"/>
          <w:sz w:val="32"/>
          <w:szCs w:val="32"/>
          <w:lang w:val="en-US" w:eastAsia="zh-CN" w:bidi="ar-SA"/>
        </w:rPr>
        <w:t>全县共有</w:t>
      </w:r>
      <w:r>
        <w:rPr>
          <w:rFonts w:hint="default" w:ascii="仿宋_GB2312" w:hAnsi="宋体" w:eastAsia="仿宋_GB2312" w:cs="Times New Roman"/>
          <w:kern w:val="2"/>
          <w:sz w:val="32"/>
          <w:szCs w:val="32"/>
          <w:lang w:val="en-US" w:eastAsia="zh-CN" w:bidi="ar-SA"/>
        </w:rPr>
        <w:t>脱贫户37691户129043人，监测对象4303户11605人。已消除风险2159户6101人，未消除风险2145户5507人。新识别228户674人，风险消除121户332人。</w:t>
      </w:r>
    </w:p>
    <w:p w14:paraId="004B105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（1）</w:t>
      </w:r>
      <w:r>
        <w:rPr>
          <w:rFonts w:hint="default" w:ascii="仿宋_GB2312" w:hAnsi="宋体" w:eastAsia="仿宋_GB2312" w:cs="Times New Roman"/>
          <w:b/>
          <w:bCs/>
          <w:kern w:val="2"/>
          <w:sz w:val="32"/>
          <w:szCs w:val="32"/>
          <w:lang w:val="en-US" w:eastAsia="zh-CN" w:bidi="ar-SA"/>
        </w:rPr>
        <w:t>防返贫监测帮扶情况。</w:t>
      </w:r>
      <w:r>
        <w:rPr>
          <w:rFonts w:hint="default" w:ascii="仿宋_GB2312" w:hAnsi="宋体" w:eastAsia="仿宋_GB2312" w:cs="Times New Roman"/>
          <w:kern w:val="2"/>
          <w:sz w:val="32"/>
          <w:szCs w:val="32"/>
          <w:lang w:val="en-US" w:eastAsia="zh-CN" w:bidi="ar-SA"/>
        </w:rPr>
        <w:t>应纳尽纳方面，完成了全县防止返贫动态监测帮扶集中排查，共排查247453户，其中排查因安全住房、因病等原因新纳入监测对象31户87人。实行残联、民政、医保等风险排查预警数据共享，定期数据比对，对风险预警数据逐个核查，新纳入监测对象228户674人。应帮尽帮方面，根据监测户返贫致贫风险类型，逐户制定针对性的具体帮扶措施，现已落实产业帮扶措施1969户，就业帮扶措施1876户，金融帮扶措施134户，公益性岗位帮扶125户，危房改造帮扶469户，健康扶贫措施3335户，义务教育扶贫措施654户，教育帮扶措施492户，综合保障性措施3386户等，户均享受帮扶措施4.88个。风险消除情况，严格履行风险消除程序，今年已风险消除121户332人。强化政策宣传，印制防止返贫监测帮扶“明白纸”5.2万余份，将监测对象申报政策“明白纸”发放至所有农户，帮扶政策“明白纸”发放至所有监测对象。</w:t>
      </w:r>
    </w:p>
    <w:p w14:paraId="4C610EDC">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（2）</w:t>
      </w:r>
      <w:r>
        <w:rPr>
          <w:rFonts w:hint="default" w:ascii="仿宋_GB2312" w:hAnsi="宋体" w:eastAsia="仿宋_GB2312" w:cs="Times New Roman"/>
          <w:b/>
          <w:bCs/>
          <w:kern w:val="2"/>
          <w:sz w:val="32"/>
          <w:szCs w:val="32"/>
          <w:lang w:val="en-US" w:eastAsia="zh-CN" w:bidi="ar-SA"/>
        </w:rPr>
        <w:t>稳岗就业情况。</w:t>
      </w:r>
      <w:r>
        <w:rPr>
          <w:rFonts w:hint="default" w:ascii="仿宋_GB2312" w:hAnsi="宋体" w:eastAsia="仿宋_GB2312" w:cs="Times New Roman"/>
          <w:kern w:val="2"/>
          <w:sz w:val="32"/>
          <w:szCs w:val="32"/>
          <w:lang w:val="en-US" w:eastAsia="zh-CN" w:bidi="ar-SA"/>
        </w:rPr>
        <w:t>实施稳岗就业，全县实施乡村公益性岗位的脱贫户、监测对象共1495人，四个季度共发放工资1495万元。促进务工就业，现有就业帮扶车间86个，保障871名脱贫人口实现在家门口就业。全县脱贫劳动力外出务工总人数5.84万人，对县外务工人员发放一次性交通补贴，符合发放标准的34824人，发放补贴1284.17万元。</w:t>
      </w:r>
    </w:p>
    <w:p w14:paraId="388B9F1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（3）</w:t>
      </w:r>
      <w:r>
        <w:rPr>
          <w:rFonts w:hint="default" w:ascii="仿宋_GB2312" w:hAnsi="宋体" w:eastAsia="仿宋_GB2312" w:cs="Times New Roman"/>
          <w:b/>
          <w:bCs/>
          <w:kern w:val="2"/>
          <w:sz w:val="32"/>
          <w:szCs w:val="32"/>
          <w:lang w:val="en-US" w:eastAsia="zh-CN" w:bidi="ar-SA"/>
        </w:rPr>
        <w:t>雨露计划。</w:t>
      </w:r>
      <w:r>
        <w:rPr>
          <w:rFonts w:hint="default" w:ascii="仿宋_GB2312" w:hAnsi="宋体" w:eastAsia="仿宋_GB2312" w:cs="Times New Roman"/>
          <w:kern w:val="2"/>
          <w:sz w:val="32"/>
          <w:szCs w:val="32"/>
          <w:lang w:val="en-US" w:eastAsia="zh-CN" w:bidi="ar-SA"/>
        </w:rPr>
        <w:t>春季雨露计划补助4678人，发放补助701.7万元。秋季雨露计划补助4767人，发放补助715.05万元。</w:t>
      </w:r>
    </w:p>
    <w:p w14:paraId="7C938DE4">
      <w:pPr>
        <w:keepNext w:val="0"/>
        <w:keepLines w:val="0"/>
        <w:pageBreakBefore w:val="0"/>
        <w:widowControl w:val="0"/>
        <w:numPr>
          <w:ilvl w:val="0"/>
          <w:numId w:val="0"/>
        </w:numPr>
        <w:kinsoku/>
        <w:wordWrap/>
        <w:overflowPunct/>
        <w:topLinePunct w:val="0"/>
        <w:bidi w:val="0"/>
        <w:snapToGrid/>
        <w:spacing w:line="560" w:lineRule="exact"/>
        <w:ind w:firstLine="643" w:firstLineChars="200"/>
        <w:jc w:val="both"/>
        <w:textAlignment w:val="auto"/>
        <w:rPr>
          <w:rFonts w:hint="default" w:ascii="楷体" w:hAnsi="楷体" w:eastAsia="楷体" w:cs="黑体"/>
          <w:b/>
          <w:bCs/>
          <w:kern w:val="2"/>
          <w:sz w:val="32"/>
          <w:szCs w:val="32"/>
          <w:lang w:val="en-US" w:eastAsia="zh-CN" w:bidi="ar-SA"/>
        </w:rPr>
      </w:pPr>
      <w:r>
        <w:rPr>
          <w:rFonts w:hint="eastAsia" w:ascii="楷体" w:hAnsi="楷体" w:eastAsia="楷体" w:cs="黑体"/>
          <w:b/>
          <w:bCs/>
          <w:kern w:val="2"/>
          <w:sz w:val="32"/>
          <w:szCs w:val="32"/>
          <w:lang w:val="en-US" w:eastAsia="zh-CN" w:bidi="ar-SA"/>
        </w:rPr>
        <w:t>3.因地制宜发展特色产业。</w:t>
      </w:r>
    </w:p>
    <w:p w14:paraId="156191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（1）中医药产业发展情况。</w:t>
      </w:r>
      <w:r>
        <w:rPr>
          <w:rFonts w:hint="eastAsia" w:ascii="仿宋_GB2312" w:hAnsi="宋体" w:eastAsia="仿宋_GB2312" w:cs="Times New Roman"/>
          <w:kern w:val="2"/>
          <w:sz w:val="32"/>
          <w:szCs w:val="32"/>
          <w:lang w:val="en-US" w:eastAsia="zh-CN" w:bidi="ar-SA"/>
        </w:rPr>
        <w:t>落实中药材计划种植面积20230亩，已完成新增种植面积14140亩，超额完成市考核指标1万亩任务。10月，我县山银花在全国特色产业首批数据产品集中上市。葛竹坪镇天星村标准化山银花加工厂、龙潭镇山银花集散交易市场及冷链仓储，2个重点项目年内计划投资0.5 亿元，目前已完成投资0.16亿元，为年度任务的32%。创建GAP示范基地。与湖南正清制药有限公司达成实质性合作，在我县龙潭镇红岩、红岭两个村建设GAP山银花种植基地，由正清公司按照国家GAP相关条款，共同进行基地管理，包括栽培、加工及溯源信息建立、系统数据录入等。</w:t>
      </w:r>
    </w:p>
    <w:p w14:paraId="136D142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（2）柑橘产业发展情况。</w:t>
      </w:r>
      <w:r>
        <w:rPr>
          <w:rFonts w:hint="eastAsia" w:ascii="仿宋_GB2312" w:hAnsi="宋体" w:eastAsia="仿宋_GB2312" w:cs="Times New Roman"/>
          <w:kern w:val="2"/>
          <w:sz w:val="32"/>
          <w:szCs w:val="32"/>
          <w:lang w:val="en-US" w:eastAsia="zh-CN" w:bidi="ar-SA"/>
        </w:rPr>
        <w:t>一是推进柑橘品改。大力鼓励和引导群众对低产园实施品种改良，今年已完成柑橘品改15500亩，其中高接换种2691亩，老园改造5129亩，完成低产园改造7680亩。二是严密防控病害。把柑橘黄龙病防控作为重点，县财政安排专项资金，采购了一批防控药品用于支持木虱防控。三是开展标准化创建。开展大力开展标准化示范园创建，完善果园基础设施、推广节水灌溉、配方施肥、有机肥替代化肥、生草栽培、病虫害绿色防控、完熟栽培、采后商品化处理等综合配套技术，全县共创建县级优质柑橘产业示范园7个。四是完善产业链条。柑橘加工企业发展到38家，建成初加工商品化处理线32条，深加工生产线3条，年加工片片橘能力达3万吨以上，其中省级龙头企业雪峰食品公司加工能力2万吨以上。</w:t>
      </w:r>
    </w:p>
    <w:p w14:paraId="2242E548">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（3）茶叶产业发展情况。</w:t>
      </w:r>
      <w:r>
        <w:rPr>
          <w:rFonts w:hint="eastAsia" w:ascii="仿宋_GB2312" w:hAnsi="宋体" w:eastAsia="仿宋_GB2312" w:cs="Times New Roman"/>
          <w:kern w:val="2"/>
          <w:sz w:val="32"/>
          <w:szCs w:val="32"/>
          <w:lang w:val="en-US" w:eastAsia="zh-CN" w:bidi="ar-SA"/>
        </w:rPr>
        <w:t>全县茶叶种植面积2.6万亩，干毛茶产量880吨左右、春茶产值4220万元。集中连片100亩—500亩的规模基地18个，500亩以上的专业村2个（北斗溪镇宝山村、中都乡中都村）。茶叶加工厂发展到18家、茶叶专业合作社9家、茶叶企业7家，其中市级农业产业化龙头企业3家。</w:t>
      </w:r>
    </w:p>
    <w:p w14:paraId="366FD203">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（4）畜牧业发展情况。</w:t>
      </w:r>
      <w:r>
        <w:rPr>
          <w:rFonts w:hint="eastAsia" w:ascii="仿宋_GB2312" w:hAnsi="宋体" w:eastAsia="仿宋_GB2312" w:cs="Times New Roman"/>
          <w:kern w:val="2"/>
          <w:sz w:val="32"/>
          <w:szCs w:val="32"/>
          <w:lang w:val="en-US" w:eastAsia="zh-CN" w:bidi="ar-SA"/>
        </w:rPr>
        <w:t>前三季度，全县生猪饲养量达130.98万头，其中生猪存栏54.79万头，出栏76.18万头,能繁母猪4.97万头，存栏同比增2.8%；家禽饲养量679.99万羽，其中存笼317.69万羽，出笼362.30万羽，存笼同比增3.6%。溆浦鹅饲养量118万羽，其中存笼54万羽，出笼62万羽。渔业水产品总量11597吨。畜牧水产业总产值24.5亿元。引导天天柴火鱼公司到安徽、浙江等地考察学习新式菜品，鹅肥肝餐饮新菜品—“红酒鹅肝”试制成功，受到市场追捧，促进老百姓新的消费驱动，推动溆浦鹅深加工发展。</w:t>
      </w:r>
    </w:p>
    <w:p w14:paraId="3CF5D41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（5）种业发展情况。</w:t>
      </w:r>
      <w:r>
        <w:rPr>
          <w:rFonts w:hint="eastAsia" w:ascii="仿宋_GB2312" w:hAnsi="宋体" w:eastAsia="仿宋_GB2312" w:cs="Times New Roman"/>
          <w:kern w:val="2"/>
          <w:sz w:val="32"/>
          <w:szCs w:val="32"/>
          <w:lang w:val="en-US" w:eastAsia="zh-CN" w:bidi="ar-SA"/>
        </w:rPr>
        <w:t>完成杂交水稻制种面积3.33万亩，完成父母本精量粘种育秧技术推广0.95万亩，母本机插秧技术推广1.06万亩，无人机喷施技术推广1.68万亩，无人机授粉技术推广0.15万亩。充分利用制种大县中央财政奖励资金，加大基地建设力度。在水东镇完成了现代种业产业中心工程项目设计，目前已开始招投标，即将启动建设工作。同时，我们还完善了仓储、烘干等设施建设，在板栗坪村完成了集烘干、精选等功能于一体的种子区域服务站的建设任务。还完成了卢峰镇新坪村、双井镇堰塘湾村种子区域服务站设计工作。</w:t>
      </w:r>
    </w:p>
    <w:p w14:paraId="30F6A133">
      <w:pPr>
        <w:keepNext w:val="0"/>
        <w:keepLines w:val="0"/>
        <w:pageBreakBefore w:val="0"/>
        <w:widowControl w:val="0"/>
        <w:numPr>
          <w:ilvl w:val="0"/>
          <w:numId w:val="0"/>
        </w:numPr>
        <w:kinsoku/>
        <w:wordWrap/>
        <w:overflowPunct/>
        <w:topLinePunct w:val="0"/>
        <w:bidi w:val="0"/>
        <w:snapToGrid/>
        <w:spacing w:line="560" w:lineRule="exact"/>
        <w:ind w:firstLine="643" w:firstLineChars="200"/>
        <w:jc w:val="both"/>
        <w:textAlignment w:val="auto"/>
        <w:rPr>
          <w:rFonts w:hint="eastAsia" w:ascii="楷体" w:hAnsi="楷体" w:eastAsia="楷体" w:cs="黑体"/>
          <w:kern w:val="2"/>
          <w:sz w:val="32"/>
          <w:szCs w:val="32"/>
          <w:lang w:val="en-US" w:eastAsia="zh-CN" w:bidi="ar-SA"/>
        </w:rPr>
      </w:pPr>
      <w:r>
        <w:rPr>
          <w:rFonts w:hint="eastAsia" w:ascii="楷体" w:hAnsi="楷体" w:eastAsia="楷体" w:cs="黑体"/>
          <w:b/>
          <w:bCs/>
          <w:kern w:val="2"/>
          <w:sz w:val="32"/>
          <w:szCs w:val="32"/>
          <w:lang w:val="en-US" w:eastAsia="zh-CN" w:bidi="ar-SA"/>
        </w:rPr>
        <w:t>4.大力推进乡村建设。</w:t>
      </w:r>
    </w:p>
    <w:p w14:paraId="0E11BD8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（1）高标准农田建设情况。</w:t>
      </w:r>
      <w:r>
        <w:rPr>
          <w:rFonts w:hint="eastAsia" w:ascii="仿宋_GB2312" w:hAnsi="宋体" w:eastAsia="仿宋_GB2312" w:cs="Times New Roman"/>
          <w:kern w:val="2"/>
          <w:sz w:val="32"/>
          <w:szCs w:val="32"/>
          <w:lang w:val="en-US" w:eastAsia="zh-CN" w:bidi="ar-SA"/>
        </w:rPr>
        <w:t>完成2023年高标准农田建设5.63万亩。完成2024年高标准农田建设（国债）项目建设高标准农田0.6万亩，目前田间工程已全部完成。2024年高标准农田建设（常规）项目建设任务1.68万亩，已全面开工建设。</w:t>
      </w:r>
    </w:p>
    <w:p w14:paraId="487BEA2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（2）农村改厕和人居环境整治。</w:t>
      </w:r>
      <w:r>
        <w:rPr>
          <w:rFonts w:hint="eastAsia" w:ascii="仿宋_GB2312" w:hAnsi="宋体" w:eastAsia="仿宋_GB2312" w:cs="Times New Roman"/>
          <w:kern w:val="2"/>
          <w:sz w:val="32"/>
          <w:szCs w:val="32"/>
          <w:lang w:val="en-US" w:eastAsia="zh-CN" w:bidi="ar-SA"/>
        </w:rPr>
        <w:t>按照“五共五美”模式，以“一拆二改三清四化”为总抓手，大力开展农村人居环境整治提升行动，全市第一季度农村人居环境整治打擂台现场会在溆浦县召开。实施2000座农村户厕改（新）建和新建11座农村公厕，2000座农村户厕在11月底全面完成，11座农村公厕已完成9座，还有2座因村里用地的问题，计划2025年2月份完成。创建市级和美乡镇1个、和美村庄14个、和美团寨100个、和美庭院1000户，各项工作任务已落实完成。</w:t>
      </w:r>
    </w:p>
    <w:p w14:paraId="22AEFEDB">
      <w:pPr>
        <w:keepNext w:val="0"/>
        <w:keepLines w:val="0"/>
        <w:pageBreakBefore w:val="0"/>
        <w:widowControl w:val="0"/>
        <w:numPr>
          <w:ilvl w:val="0"/>
          <w:numId w:val="0"/>
        </w:numPr>
        <w:kinsoku/>
        <w:wordWrap/>
        <w:overflowPunct/>
        <w:topLinePunct w:val="0"/>
        <w:bidi w:val="0"/>
        <w:snapToGrid/>
        <w:spacing w:line="560" w:lineRule="exact"/>
        <w:ind w:firstLine="643" w:firstLineChars="200"/>
        <w:jc w:val="both"/>
        <w:textAlignment w:val="auto"/>
        <w:rPr>
          <w:rFonts w:hint="eastAsia" w:ascii="楷体" w:hAnsi="楷体" w:eastAsia="楷体" w:cs="黑体"/>
          <w:b/>
          <w:bCs/>
          <w:kern w:val="2"/>
          <w:sz w:val="32"/>
          <w:szCs w:val="32"/>
          <w:lang w:val="en-US" w:eastAsia="zh-CN" w:bidi="ar-SA"/>
        </w:rPr>
      </w:pPr>
      <w:r>
        <w:rPr>
          <w:rFonts w:hint="eastAsia" w:ascii="楷体" w:hAnsi="楷体" w:eastAsia="楷体" w:cs="黑体"/>
          <w:b/>
          <w:bCs/>
          <w:kern w:val="2"/>
          <w:sz w:val="32"/>
          <w:szCs w:val="32"/>
          <w:lang w:val="en-US" w:eastAsia="zh-CN" w:bidi="ar-SA"/>
        </w:rPr>
        <w:t>5.不断优化完善乡村治理。</w:t>
      </w:r>
    </w:p>
    <w:p w14:paraId="3A2B81E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（1）农村科教和农技推广情况。</w:t>
      </w:r>
      <w:r>
        <w:rPr>
          <w:rFonts w:hint="eastAsia" w:ascii="仿宋_GB2312" w:hAnsi="宋体" w:eastAsia="仿宋_GB2312" w:cs="Times New Roman"/>
          <w:kern w:val="2"/>
          <w:sz w:val="32"/>
          <w:szCs w:val="32"/>
          <w:lang w:val="en-US" w:eastAsia="zh-CN" w:bidi="ar-SA"/>
        </w:rPr>
        <w:t>2024年乡村产业振兴带头人培育“头雁”7人，推选土专家7人参与全市“田秀才”“土专家”选拔，组织中、高级专业技术人员开展农业科技送下乡活动，完成2024年高素质农民培训250人任务。</w:t>
      </w:r>
    </w:p>
    <w:p w14:paraId="24F1F5C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kern w:val="2"/>
          <w:sz w:val="32"/>
          <w:szCs w:val="32"/>
          <w:lang w:val="en-US" w:eastAsia="zh-CN" w:bidi="ar-SA"/>
        </w:rPr>
        <w:t>按照省厅文件精神2024年向9个乡镇分配农技特岗生9名上岗，2024年招生10名农技特岗生开展定向委培。完成2024年基层农技推广体系建设项目实施工作任务，脱产培训基层农技人员53人，培育农业科技示范主体56人，创建2个农业科技试验示范基地。发布粮食生产主导品种10个和主推技术8项，使主导品种和主推技术覆盖全县25个乡镇，到位率95%以上。</w:t>
      </w:r>
    </w:p>
    <w:p w14:paraId="4C79111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（2）农产品质量安全监管工作。</w:t>
      </w:r>
      <w:r>
        <w:rPr>
          <w:rFonts w:hint="eastAsia" w:ascii="仿宋_GB2312" w:hAnsi="宋体" w:eastAsia="仿宋_GB2312" w:cs="Times New Roman"/>
          <w:kern w:val="2"/>
          <w:sz w:val="32"/>
          <w:szCs w:val="32"/>
          <w:lang w:val="en-US" w:eastAsia="zh-CN" w:bidi="ar-SA"/>
        </w:rPr>
        <w:t>在农作物生产关键时期和重大节假日，组织农业执法大队、经作、检测中心等站室重点对蔬菜、时鲜水果、粮食等生产基地开展农产品质量安全生产巡查，特别是对祥福、绿之然等供学校的营养餐农产品基地重点巡查，严格监督管理。到现在为止共巡查农产品生产基地110个，发放农产品质量安全生产手册、农产品生产企业主体责任宣传手册等宣传资料1100份。今年县农产品质量安全检验检测站在学校直供农产品企业祥福等生产基地共开展速测蔬菜、水果样品544批次、定量检测61批次，合格率100%。</w:t>
      </w:r>
    </w:p>
    <w:p w14:paraId="088D863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（3）农业资源保护与利用。</w:t>
      </w:r>
      <w:r>
        <w:rPr>
          <w:rFonts w:hint="eastAsia" w:ascii="仿宋_GB2312" w:hAnsi="宋体" w:eastAsia="仿宋_GB2312" w:cs="Times New Roman"/>
          <w:kern w:val="2"/>
          <w:sz w:val="32"/>
          <w:szCs w:val="32"/>
          <w:lang w:val="en-US" w:eastAsia="zh-CN" w:bidi="ar-SA"/>
        </w:rPr>
        <w:t>污染耕地安全利用。2024年全县0.95万亩重度污染耕地全部落实退出食用水稻生产，9.64万亩轻中度污染耕地落实安全利用措施，全县受污染耕地安全利用率水平达到93%以上。农膜回收。全县25个乡镇都建立了1个废旧农膜回收点，农膜回收量在370吨以上，回收率在83%以上，残留废旧农膜面源污染得到有效控制。秸秆综合利用。建立秸秆收储运平台2个，秸秆还田示范合作社5个，示范面积2000亩，扶植利用秸秆生产有机肥示范企业1家、营养土培植企业1家，秸秆基料化示范企业1家。全县可收集农作物秸秆资源总量在45.42万吨，秸秆综合利用率达到了90%以上，带动县域秸秆综合利用率的整体提升。限区域限时段管控秸秆焚烧。</w:t>
      </w:r>
    </w:p>
    <w:p w14:paraId="6FD505A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宋体" w:eastAsia="仿宋_GB2312" w:cs="Times New Roman"/>
          <w:kern w:val="2"/>
          <w:sz w:val="32"/>
          <w:szCs w:val="32"/>
          <w:lang w:val="en-US" w:eastAsia="zh-CN" w:bidi="ar-SA"/>
        </w:rPr>
      </w:pPr>
      <w:r>
        <w:rPr>
          <w:rFonts w:hint="eastAsia" w:ascii="仿宋_GB2312" w:hAnsi="宋体" w:eastAsia="仿宋_GB2312" w:cs="Times New Roman"/>
          <w:b/>
          <w:bCs/>
          <w:kern w:val="2"/>
          <w:sz w:val="32"/>
          <w:szCs w:val="32"/>
          <w:lang w:val="en-US" w:eastAsia="zh-CN" w:bidi="ar-SA"/>
        </w:rPr>
        <w:t>（4）加大农业综合执法力度。</w:t>
      </w:r>
      <w:r>
        <w:rPr>
          <w:rFonts w:hint="eastAsia" w:ascii="仿宋_GB2312" w:hAnsi="宋体" w:eastAsia="仿宋_GB2312" w:cs="Times New Roman"/>
          <w:kern w:val="2"/>
          <w:sz w:val="32"/>
          <w:szCs w:val="32"/>
          <w:lang w:val="en-US" w:eastAsia="zh-CN" w:bidi="ar-SA"/>
        </w:rPr>
        <w:t>累计出动执法人员 120人次，检查农资市场 15个、农资经营门店 150余家，实现了农资打假执法检查全覆盖，立案查处违法经营劣质农药等农业投入品一般案件共18起，简易程序案件1起。全面开展重点水域禁捕工作和农机安全整治工作。累计出动执法人员320余人次，车辆80余台次，执法船只10余艘次，共办理非法捕捞行政处罚案件19起，缴获背包式电鱼机2台，没收、拆毁非法捕捞船只三艘，销毁各类非法网具18张，没收渔获物20余公斤。共出动执法人员80人次，开展行动20余次，检查拖拉机50台，查处无证驾驶6人，逾期未年检5台。共查处农机安全案件11起，报废拆解拖拉机5台。</w:t>
      </w:r>
    </w:p>
    <w:p w14:paraId="53FFA5FA">
      <w:pPr>
        <w:overflowPunct w:val="0"/>
        <w:spacing w:line="60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（三）评价结果应用情况。</w:t>
      </w:r>
    </w:p>
    <w:p w14:paraId="67DD115E">
      <w:pPr>
        <w:pStyle w:val="2"/>
      </w:pPr>
    </w:p>
    <w:p w14:paraId="099C7738">
      <w:pPr>
        <w:pStyle w:val="16"/>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1.</w:t>
      </w:r>
      <w:r>
        <w:rPr>
          <w:rFonts w:hint="eastAsia" w:ascii="Times New Roman" w:hAnsi="Times New Roman" w:eastAsia="仿宋_GB2312" w:cs="Times New Roman"/>
          <w:color w:val="auto"/>
          <w:kern w:val="2"/>
          <w:sz w:val="32"/>
          <w:szCs w:val="32"/>
        </w:rPr>
        <w:t>部门预算方面：加强新《预算法》、《行政单位会计制度》等学习培训，在上级主管部门领导下做好</w:t>
      </w:r>
      <w:r>
        <w:rPr>
          <w:rFonts w:ascii="Times New Roman" w:hAnsi="Times New Roman" w:eastAsia="仿宋_GB2312" w:cs="Times New Roman"/>
          <w:color w:val="auto"/>
          <w:kern w:val="2"/>
          <w:sz w:val="32"/>
          <w:szCs w:val="32"/>
        </w:rPr>
        <w:t>2025</w:t>
      </w:r>
      <w:r>
        <w:rPr>
          <w:rFonts w:hint="eastAsia" w:ascii="Times New Roman" w:hAnsi="Times New Roman" w:eastAsia="仿宋_GB2312" w:cs="Times New Roman"/>
          <w:color w:val="auto"/>
          <w:kern w:val="2"/>
          <w:sz w:val="32"/>
          <w:szCs w:val="32"/>
        </w:rPr>
        <w:t>年度年初预算，依照下达预算指标严格执行预算支出。</w:t>
      </w:r>
    </w:p>
    <w:p w14:paraId="40587D2B">
      <w:pPr>
        <w:pStyle w:val="16"/>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2.</w:t>
      </w:r>
      <w:r>
        <w:rPr>
          <w:rFonts w:hint="eastAsia" w:ascii="Times New Roman" w:hAnsi="Times New Roman" w:eastAsia="仿宋_GB2312" w:cs="Times New Roman"/>
          <w:color w:val="auto"/>
          <w:kern w:val="2"/>
          <w:sz w:val="32"/>
          <w:szCs w:val="32"/>
        </w:rPr>
        <w:t>内部控制管理方面：完善内部控制管理制度并按制度严格执行，实行权责分配，做好内部审计，及时预估风险，针对风险采取控制措施，发现问题及时改进。</w:t>
      </w:r>
    </w:p>
    <w:p w14:paraId="445E4D53">
      <w:pPr>
        <w:pStyle w:val="16"/>
        <w:ind w:firstLine="640" w:firstLineChars="200"/>
        <w:jc w:val="both"/>
        <w:rPr>
          <w:rFonts w:ascii="Times New Roman" w:hAnsi="Times New Roman" w:eastAsia="仿宋_GB2312" w:cs="Times New Roman"/>
          <w:color w:val="auto"/>
          <w:kern w:val="2"/>
          <w:sz w:val="32"/>
          <w:szCs w:val="32"/>
        </w:rPr>
      </w:pPr>
      <w:r>
        <w:rPr>
          <w:rFonts w:ascii="Times New Roman" w:hAnsi="Times New Roman" w:eastAsia="仿宋_GB2312" w:cs="Times New Roman"/>
          <w:color w:val="auto"/>
          <w:kern w:val="2"/>
          <w:sz w:val="32"/>
          <w:szCs w:val="32"/>
        </w:rPr>
        <w:t>3.</w:t>
      </w:r>
      <w:r>
        <w:rPr>
          <w:rFonts w:hint="eastAsia" w:ascii="Times New Roman" w:hAnsi="Times New Roman" w:eastAsia="仿宋_GB2312" w:cs="Times New Roman"/>
          <w:color w:val="auto"/>
          <w:kern w:val="2"/>
          <w:sz w:val="32"/>
          <w:szCs w:val="32"/>
        </w:rPr>
        <w:t>资金管理方面：严格执行国库集中支付、政府采购等规定，确保资金支付安全规范，依托财政一体化系统和内部管理台账，确保各项资金专款专用，杜绝发生截留、挤占或挪用资金的情况。</w:t>
      </w:r>
    </w:p>
    <w:p w14:paraId="6922AB48">
      <w:pPr>
        <w:pStyle w:val="16"/>
        <w:overflowPunct w:val="0"/>
        <w:autoSpaceDE/>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仿宋_GB2312" w:cs="Times New Roman"/>
          <w:color w:val="auto"/>
          <w:kern w:val="2"/>
          <w:sz w:val="32"/>
          <w:szCs w:val="32"/>
        </w:rPr>
        <w:t>4.</w:t>
      </w:r>
      <w:r>
        <w:rPr>
          <w:rFonts w:hint="eastAsia" w:ascii="Times New Roman" w:hAnsi="Times New Roman" w:eastAsia="仿宋_GB2312" w:cs="Times New Roman"/>
          <w:color w:val="auto"/>
          <w:kern w:val="2"/>
          <w:sz w:val="32"/>
          <w:szCs w:val="32"/>
        </w:rPr>
        <w:t>资产管理方面：专人负责，资产购入、保管、使用、报废按照资产管理制度流程处理，杜绝资产浪费与流失的可能性，做好资产的年度清理与报表工作。</w:t>
      </w:r>
    </w:p>
    <w:p w14:paraId="719FD6C2">
      <w:pPr>
        <w:pStyle w:val="16"/>
        <w:jc w:val="both"/>
        <w:rPr>
          <w:color w:val="auto"/>
          <w:sz w:val="72"/>
          <w:szCs w:val="72"/>
        </w:rPr>
      </w:pPr>
    </w:p>
    <w:p w14:paraId="7ED7B9E6">
      <w:pP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br w:type="page"/>
      </w:r>
    </w:p>
    <w:p w14:paraId="32F857A3">
      <w:pPr>
        <w:pStyle w:val="16"/>
        <w:jc w:val="center"/>
        <w:rPr>
          <w:rFonts w:hint="eastAsia" w:ascii="方正小标宋_GBK" w:hAnsi="方正小标宋_GBK" w:eastAsia="方正小标宋_GBK" w:cs="方正小标宋_GBK"/>
          <w:color w:val="auto"/>
          <w:sz w:val="72"/>
          <w:szCs w:val="72"/>
        </w:rPr>
      </w:pPr>
      <w:r>
        <w:rPr>
          <w:rFonts w:hint="eastAsia" w:ascii="方正小标宋_GBK" w:hAnsi="方正小标宋_GBK" w:eastAsia="方正小标宋_GBK" w:cs="方正小标宋_GBK"/>
          <w:color w:val="auto"/>
          <w:sz w:val="72"/>
          <w:szCs w:val="72"/>
        </w:rPr>
        <w:t>第四部分</w:t>
      </w:r>
    </w:p>
    <w:p w14:paraId="223E861A">
      <w:pPr>
        <w:jc w:val="center"/>
        <w:rPr>
          <w:rFonts w:hint="eastAsia" w:ascii="方正小标宋_GBK" w:hAnsi="方正小标宋_GBK" w:eastAsia="方正小标宋_GBK" w:cs="方正小标宋_GBK"/>
          <w:color w:val="auto"/>
          <w:kern w:val="0"/>
          <w:sz w:val="70"/>
          <w:szCs w:val="70"/>
        </w:rPr>
      </w:pPr>
      <w:r>
        <w:rPr>
          <w:rFonts w:hint="eastAsia" w:ascii="方正小标宋_GBK" w:hAnsi="方正小标宋_GBK" w:eastAsia="方正小标宋_GBK" w:cs="方正小标宋_GBK"/>
          <w:color w:val="auto"/>
          <w:kern w:val="0"/>
          <w:sz w:val="70"/>
          <w:szCs w:val="70"/>
        </w:rPr>
        <w:t>名词解释</w:t>
      </w:r>
    </w:p>
    <w:p w14:paraId="0D00144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p>
    <w:p w14:paraId="5681CBC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（一）财政拨款收入：本年度从本级财政部门取得的财政拨款，包括一般公共预算财政拨款和政府性基金预算财政拨款。</w:t>
      </w:r>
    </w:p>
    <w:p w14:paraId="4C84B61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（二）事业收入：指事业单位开展专业业务活动及辅助活动所取得的收入。</w:t>
      </w:r>
    </w:p>
    <w:p w14:paraId="5AA58D75">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（三）其他收入：指除上述“财政拨款收入”、“事业收入”、“经营收入”等以外的收入。</w:t>
      </w:r>
    </w:p>
    <w:p w14:paraId="08854CF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（四）年初结转和结余：指以前年度尚未完成、结转到本年仍按原规定用途继续使用的资金，或项目已完成等产生的结余资金。</w:t>
      </w:r>
    </w:p>
    <w:p w14:paraId="758B325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（五）年末结转和结余：指单位按有关规定结转到下年或以后年度继续使用的资金，或项目已完成等产生的结余资金。</w:t>
      </w:r>
    </w:p>
    <w:p w14:paraId="34F37E2B">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（六）基本支出：为保障机构正常运转、完成日常工作任务而发生的各项支出。</w:t>
      </w:r>
    </w:p>
    <w:p w14:paraId="0448E9E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（七）项目支出：为完成特定的行政工作任务或事业发展目标，在基本支出之外发生的各项支出</w:t>
      </w:r>
    </w:p>
    <w:p w14:paraId="3D826AD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八）“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50EF9A74">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（九）其他交通费用：包括公务员交通补贴和租车费。</w:t>
      </w:r>
    </w:p>
    <w:p w14:paraId="49737A49">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color w:val="auto"/>
          <w:sz w:val="32"/>
          <w:szCs w:val="32"/>
        </w:rPr>
        <w:t>（十）机关运行经费：指为保障行政单位运行用于购 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7D53FBF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r>
        <w:rPr>
          <w:rFonts w:hint="eastAsia" w:ascii="Times New Roman" w:hAnsi="Times New Roman" w:eastAsia="仿宋_GB2312"/>
          <w:color w:val="auto"/>
          <w:sz w:val="32"/>
          <w:szCs w:val="32"/>
          <w:lang w:val="en-US" w:eastAsia="zh-CN"/>
        </w:rPr>
        <w:t>（十一）农林水支出：反映政府农林水事务支出。</w:t>
      </w:r>
    </w:p>
    <w:p w14:paraId="5C9A648C">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6BD6B93F">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1885E777">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lang w:val="en-US" w:eastAsia="zh-CN"/>
        </w:rPr>
      </w:pPr>
    </w:p>
    <w:p w14:paraId="40D53B11">
      <w:pPr>
        <w:pStyle w:val="16"/>
        <w:jc w:val="center"/>
        <w:rPr>
          <w:rFonts w:hint="eastAsia" w:ascii="方正小标宋_GBK" w:hAnsi="方正小标宋_GBK" w:eastAsia="方正小标宋_GBK" w:cs="方正小标宋_GBK"/>
          <w:sz w:val="72"/>
          <w:szCs w:val="72"/>
        </w:rPr>
      </w:pPr>
      <w:bookmarkStart w:id="14" w:name="OLE_LINK33"/>
      <w:bookmarkStart w:id="15" w:name="OLE_LINK15"/>
      <w:bookmarkStart w:id="16" w:name="OLE_LINK30"/>
    </w:p>
    <w:p w14:paraId="02650DAE">
      <w:pPr>
        <w:pStyle w:val="16"/>
        <w:jc w:val="center"/>
        <w:rPr>
          <w:rFonts w:hint="eastAsia" w:ascii="方正小标宋_GBK" w:hAnsi="方正小标宋_GBK" w:eastAsia="方正小标宋_GBK" w:cs="方正小标宋_GBK"/>
          <w:sz w:val="72"/>
          <w:szCs w:val="72"/>
        </w:rPr>
      </w:pPr>
    </w:p>
    <w:p w14:paraId="4ED89E14">
      <w:pPr>
        <w:pStyle w:val="16"/>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6E017A94">
      <w:pPr>
        <w:pStyle w:val="16"/>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bookmarkEnd w:id="14"/>
    </w:p>
    <w:bookmarkEnd w:id="15"/>
    <w:bookmarkEnd w:id="16"/>
    <w:p w14:paraId="09176DF2">
      <w:pPr>
        <w:rPr>
          <w:rFonts w:hint="eastAsia" w:ascii="Times New Roman" w:hAnsi="Times New Roman" w:eastAsia="仿宋_GB2312"/>
          <w:color w:val="auto"/>
          <w:sz w:val="32"/>
          <w:szCs w:val="32"/>
          <w:lang w:val="en-US" w:eastAsia="zh-CN"/>
        </w:rPr>
      </w:pPr>
      <w:bookmarkStart w:id="17" w:name="OLE_LINK68"/>
      <w:bookmarkStart w:id="18" w:name="OLE_LINK58"/>
      <w:bookmarkStart w:id="19" w:name="OLE_LINK34"/>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2024年度部门(单位)整体支出绩效自评报告</w:t>
      </w:r>
      <w:bookmarkEnd w:id="17"/>
      <w:r>
        <w:rPr>
          <w:rFonts w:hint="eastAsia" w:ascii="Times New Roman" w:hAnsi="Times New Roman" w:eastAsia="仿宋_GB2312"/>
          <w:sz w:val="32"/>
          <w:szCs w:val="32"/>
          <w:lang w:val="en-US" w:eastAsia="zh-CN"/>
        </w:rPr>
        <w:t>。</w:t>
      </w:r>
      <w:bookmarkEnd w:id="18"/>
      <w:bookmarkEnd w:id="19"/>
    </w:p>
    <w:p w14:paraId="511209D7">
      <w:pPr>
        <w:jc w:val="left"/>
        <w:rPr>
          <w:rFonts w:hint="eastAsia" w:ascii="Times New Roman" w:hAnsi="Times New Roman" w:eastAsia="仿宋_GB2312" w:cs="黑体"/>
          <w:color w:val="auto"/>
          <w:kern w:val="0"/>
          <w:sz w:val="32"/>
          <w:szCs w:val="32"/>
          <w:lang w:val="en-US" w:eastAsia="zh-CN" w:bidi="ar-SA"/>
        </w:rPr>
      </w:pPr>
      <w:r>
        <w:rPr>
          <w:rFonts w:hint="eastAsia" w:cs="黑体" w:asciiTheme="minorEastAsia" w:hAnsiTheme="minorEastAsia"/>
          <w:color w:val="auto"/>
          <w:kern w:val="0"/>
          <w:sz w:val="32"/>
          <w:szCs w:val="32"/>
          <w:lang w:val="en-US" w:eastAsia="zh-CN"/>
        </w:rPr>
        <w:t xml:space="preserve">   </w:t>
      </w:r>
      <w:r>
        <w:rPr>
          <w:rFonts w:hint="eastAsia" w:ascii="Times New Roman" w:hAnsi="Times New Roman" w:eastAsia="仿宋_GB2312" w:cs="黑体"/>
          <w:color w:val="auto"/>
          <w:kern w:val="0"/>
          <w:sz w:val="32"/>
          <w:szCs w:val="32"/>
          <w:lang w:val="en-US" w:eastAsia="zh-CN" w:bidi="ar-SA"/>
        </w:rPr>
        <w:t xml:space="preserve"> 为了加强财政预算资金管理，进一步规范财政预算资金使用，提高财政预算资金使用效益，根据《溆浦县财政局关于开展2024年度部门整体支出绩效评价工作的通知》要求，（溆财绩函【2025】16号）对2024年度本单位整体支出进行了绩效自评，现将具体绩效评价情况报告如下：     </w:t>
      </w:r>
    </w:p>
    <w:p w14:paraId="60E3E3A1">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 xml:space="preserve"> 一、部门基本情况</w:t>
      </w:r>
    </w:p>
    <w:p w14:paraId="7C78A1DD">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（一）机构设置情况</w:t>
      </w:r>
    </w:p>
    <w:p w14:paraId="6D75DBC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本单位属财政全额拨款行政单位，内设机构10个，分别是办公室、安全生产监督股、人事股、财务股、乡村产业发展股、农村社会事业促进股、农产品质量安全监管股、种植业管理股、养殖业管理股、农田建设和农业机械化管理股。下属全额拨款正科级事业单位1个，副科级事业单位1个，股级事业单位6个。</w:t>
      </w:r>
    </w:p>
    <w:p w14:paraId="04498200">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（二）人员编制情况</w:t>
      </w:r>
    </w:p>
    <w:p w14:paraId="6BB8B56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核定全额拨款行政事业编制151名，实有在编在岗人员132人，其中行政在职人员38人，事业在职人员94人。离退休人员111人。二级预算单位4个，分别是：溆浦县农业综合服务中心、溆浦县畜牧水产事务中心、溆浦县农机事务中心、溆浦县农村经营服务站。其中，溆浦县农业综合服务中心核定编制13人，实有人数6人；溆浦县畜牧水产事务中心核定编制</w:t>
      </w:r>
      <w:bookmarkStart w:id="20" w:name="_GoBack"/>
      <w:bookmarkEnd w:id="20"/>
      <w:r>
        <w:rPr>
          <w:rFonts w:hint="eastAsia" w:ascii="Times New Roman" w:hAnsi="Times New Roman" w:eastAsia="仿宋_GB2312" w:cs="黑体"/>
          <w:color w:val="auto"/>
          <w:kern w:val="0"/>
          <w:sz w:val="32"/>
          <w:szCs w:val="32"/>
          <w:lang w:val="en-US" w:eastAsia="zh-CN" w:bidi="ar-SA"/>
        </w:rPr>
        <w:t>46人，实有人数38人，溆浦县农机事务中心全额拨款事业编制33名,实有人数25人；溆浦县农村经营服务站核定事业编制18人,实有在职人员13人。</w:t>
      </w:r>
    </w:p>
    <w:p w14:paraId="183112E3">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（三）主要职能职责</w:t>
      </w:r>
    </w:p>
    <w:p w14:paraId="0A50163F">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贯彻落实党中央关于“三农”工作的方针政策和决策部署，全面落实省委、市委、县委关于“三农”工作的部署要求，在履行职责过程中坚持和加强党对“三农”工作的集中统一领导。统筹推动发展农村社会事业、农村公共服务、农村文化、农村基础设施和乡村治理。牵头实施改善农村人居环境。指导农村精神文明和优秀农耕文化建设。指导农业行业安全生产工作。指导、监督减轻农民负担和村民筹资筹劳管理工作，负责农民承包地、农村宅基地改革和管理有关工作。负责农村集体产权制度改革，指导农村集体经济组织发展和集体资产管理工作。指导农民合作经济组织、农业社会化服务体系、新型农业经营主体建设与发展指导乡村特色产业、农产品加工业、休闲农业发展工作。负责种植业、畜牧业、渔业、农业机械化等农业各产业的监督管理。负责农产品质量安全监督管理。指导农用地、渔业水域以及农业生物物种资源的保护与管理，负责有关农业生产资料和农业投入品的监督管理。负责农业防灾减灾、农作物重大病虫害防控和动植物重大疫病防治工作。负责农业投资管理，负责农业转基因生物安全监督管理和农业植物新品种保护。承担农业综合开发项目、农田整治项目、农田水利建设项目管理工作。完成县委、县政府和县委农村工作领导小组交办的其他任务。</w:t>
      </w:r>
    </w:p>
    <w:p w14:paraId="7F36BA29">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（四）绩效目标设定情况</w:t>
      </w:r>
    </w:p>
    <w:p w14:paraId="644F04B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 xml:space="preserve"> 2024年，在收支预算内，确保完成以下整体目标：坚持以问题为导向，以绿色循环高效为目标，推动农业农村工作高质量发展。1.扛稳粮油生产责任大旗。确保粮食播种面积牢牢控制在81万亩以上、总产36.5万吨以上，争创全省粮食生产标兵县；2.发展壮大农业特色产业。大力实施柑桔品改，实施10万亩低产园标准化改造，柑橘品改2万亩以上；中药材面积发展到15万亩，新建（低改）优质茶园5000亩以上。3.不断完善基础设施建设。完善农产品冷链仓储设施，继续完成2023年5.63万亩高标准农田建设项目，完善农田基础设施建设，提升耕地质量等级，保障粮食安全生产。推进现代农业产业园建设。4.强化农产品产销对接。推进农业生产“三品一标”提升，开展绿色食品、国家地理标志农产品认证。5.持续开展人居环境整治。持续开展农村人居环境整治提升“打擂台”行动。6.发展壮大村级集体经济。打造8-10个示范样板村，聚点成线，引导集体经济高质量发展。7.统筹抓好“三农”重点工作。统筹推进乡村振兴，发展县域经济，深化农村改革。</w:t>
      </w:r>
    </w:p>
    <w:p w14:paraId="7208E927">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二、部门整体支出管理及使用情况</w:t>
      </w:r>
    </w:p>
    <w:p w14:paraId="3DACC211">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（一）预算执行、使用、管理总体情况</w:t>
      </w:r>
    </w:p>
    <w:p w14:paraId="7C5CBC03">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2024年县农业农村局预算执行总支出31,141.96万元，主要为基本支出2,191.5万元，项目支出28,950.38万元。主要使用包括：工资福利支出、对个人和家庭的补助、商品和服务支出、资本性支出及项目支出。</w:t>
      </w:r>
    </w:p>
    <w:p w14:paraId="038C76CC">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（二）部门预算执行情况</w:t>
      </w:r>
    </w:p>
    <w:p w14:paraId="76C573D1">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1.基本支出情况</w:t>
      </w:r>
    </w:p>
    <w:p w14:paraId="763CD067">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基本支出总额2,191.5万元。其中：工资福利支出1,732.55万元,对个人和家庭的补助支出64.45万元,商品和服务支出387.63万元，资本性支出6.92万元。</w:t>
      </w:r>
    </w:p>
    <w:p w14:paraId="1AAA207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2.项目支出情况</w:t>
      </w:r>
    </w:p>
    <w:p w14:paraId="19BD1E8C">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县财政按照工作实施进度和工作开展的实际情况，2024年项目支出28,950.38万元，主要用于农业生产、高标准农田、农业执法等工作。按支出经济分类：商品和服务支出1,232.96万元，对个人和家庭的支出12,917.91万元，资本性支出11,852万元，对企业的补助2,947.51万元。</w:t>
      </w:r>
    </w:p>
    <w:p w14:paraId="24E1629C">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（三）“三公”经费使用和管理情况</w:t>
      </w:r>
    </w:p>
    <w:p w14:paraId="707B74AA">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“三公”经费支出13.89万元，严格落实中央八项规定，因公出国出境费用本年未发生经费支出；公务用车运行维护费支出为6.3万元；公务接待费7.59万元支出在规定标准内，较去年有所下降。</w:t>
      </w:r>
    </w:p>
    <w:p w14:paraId="7E8BA12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三、政府性基金预算支出情况</w:t>
      </w:r>
    </w:p>
    <w:p w14:paraId="40AEDBC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本单位2024年政府性基金预算支出3,142.5万元，所有支出均为项目支出。</w:t>
      </w:r>
    </w:p>
    <w:p w14:paraId="637BBE50">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四、国有资本经营预算支出情况</w:t>
      </w:r>
    </w:p>
    <w:p w14:paraId="52261698">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本单位无国有资本经营预算支出。</w:t>
      </w:r>
    </w:p>
    <w:p w14:paraId="77E88582">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五、社会保险基金预算支出情况</w:t>
      </w:r>
    </w:p>
    <w:p w14:paraId="32C0359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本单位无社会保险基金预算支出。</w:t>
      </w:r>
    </w:p>
    <w:p w14:paraId="5AD27201">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六、部门整体支出绩效情况</w:t>
      </w:r>
    </w:p>
    <w:p w14:paraId="507372E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（一）综合评价结论</w:t>
      </w:r>
    </w:p>
    <w:p w14:paraId="4E15D5B8">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在省市县各级财政部门共同努力下，2024年度溆浦县农业农村局工作基本完成。资金使用符合相关财务规定。通过各项资金的实施，全力推进全县农业农村工作，各项工作取得了明显成效。2024年度本单位整体资金绩效评价指标评分为95分。</w:t>
      </w:r>
    </w:p>
    <w:p w14:paraId="3A50F9D9">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（二）评价指标分析（或综合评价情况）</w:t>
      </w:r>
    </w:p>
    <w:p w14:paraId="10ECC31B">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我单位整体支出主要用于基本性支出和项目支出，在整体资金使用上，严格执行预算管理和财政制度，严格按照规定的范围、用途和标准使用财政资金，资金拨付有完整的审批程序和手续，按照财经制度的有关要求，做到专款专用，专人保管,资金使用无截留、挤占、挪用、虚列支出等情况，相关发票由财务室审核后，由分管财务的领导签字同意，报局长审核后到财务室结算报账。确保财政资金依法依规使用、管理。厉行节约见成效，对照年初工作要点，圆满完成了各项工作。主要绩效如下：</w:t>
      </w:r>
    </w:p>
    <w:p w14:paraId="33ADA16C">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1.守牢粮食安全底线。</w:t>
      </w:r>
    </w:p>
    <w:p w14:paraId="148D7BCA">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粮食生产情况。2024年，市下达我县粮食播种面积任务81万亩，其中水稻47.64万亩（早稻0.1万亩，晚稻0.12万亩，中稻47.48万亩），再生稻0.3万亩，大豆2.6万亩，玉米20.9万亩。实际完成粮食播种面积81.31万亩，超出目标任务0.31万亩。我县粮食产量目标任务36.25万吨，通过落实关键稳产增产措施，预计全县实际粮食总产量36.93万吨，超出目标任务0.68万吨，比2023年粮食总产量（36.17万吨）增加了0.76万吨。此外，我县大豆玉米带状复合种植任务面积为2.2万亩，实际种植面积为2.285万亩，已完成本年度大豆玉米带状复合种植任务面积。</w:t>
      </w:r>
    </w:p>
    <w:p w14:paraId="4603BE06">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抓好示范样板。全县创建市级粮食生产千亩综合示范片2个，总面积2100亩（核心示范区分别位于观音阁镇文家冲村和北斗溪镇坪溪村），县、乡两级共创办水稻、大豆玉米带状复合种植模式、高粱、红薯等粮食作物千、百亩示范片50个。</w:t>
      </w:r>
    </w:p>
    <w:p w14:paraId="52B0B8E1">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（3）促进单产提升。执行全省技术方案，水稻、玉米、大豆、油菜等大宗农作物单产持平或提升。2024年粮食平均单产为454.14 kg/亩，比上年每亩增加了5.72 kg。</w:t>
      </w:r>
    </w:p>
    <w:p w14:paraId="111088F0">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（4）耕地撂荒、“非粮化”治理方面。截至目前，省田长办向我县下发的非粮化图斑中，涉及我县“非粮化”问题整改图斑总共208个，已完成整治销号204个，未完成4个，整治销号完成率98.08%。</w:t>
      </w:r>
    </w:p>
    <w:p w14:paraId="6B7D84A8">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2.守牢巩固脱贫成果底线。</w:t>
      </w:r>
    </w:p>
    <w:p w14:paraId="0CE961C1">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截至目前，全县共有脱贫户37691户129043人，监测对象4303户11605人。已消除风险2159户6101人，未消除风险2145户5507人。新识别228户674人，风险消除121户332人。</w:t>
      </w:r>
    </w:p>
    <w:p w14:paraId="4DBBF3F4">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防返贫监测帮扶情况。应纳尽纳方面，完成了全县防止返贫动态监测帮扶集中排查，共排查247453户，其中排查因安全住房、因病等原因新纳入监测对象31户87人。实行残联、民政、医保等风险排查预警数据共享，定期数据比对，对风险预警数据逐个核查，新纳入监测对象228户674人。应帮尽帮方面，根据监测户返贫致贫风险类型，逐户制定针对性的具体帮扶措施，现已落实产业帮扶措施1969户，就业帮扶措施1876户，金融帮扶措施134户，公益性岗位帮扶125户，危房改造帮扶469户，健康扶贫措施3335户，义务教育扶贫措施654户，教育帮扶措施492户，综合保障性措施3386户等，户均享受帮扶措施4.88个。风险消除情况，严格履行风险消除程序，今年已风险消除121户332人。强化政策宣传，印制防止返贫监测帮扶“明白纸”5.2万余份，将监测对象申报政策“明白纸”发放至所有农户，帮扶政策“明白纸”发放至所有监测对象。</w:t>
      </w:r>
    </w:p>
    <w:p w14:paraId="48EE5928">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稳岗就业情况。实施稳岗就业，全县实施乡村公益性岗位的脱贫户、监测对象共1495人，四个季度共发放工资1495万元。促进务工就业，现有就业帮扶车间86个，保障871名脱贫人口实现在家门口就业。全县脱贫劳动力外出务工总人数5.84万人，对县外务工人员发放一次性交通补贴，符合发放标准的34824人，发放补贴1284.17万元。</w:t>
      </w:r>
    </w:p>
    <w:p w14:paraId="1DE75F5C">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（3）雨露计划。春季雨露计划补助4678人，发放补助701.7万元。秋季雨露计划补助4767人，发放补助715.05万元。</w:t>
      </w:r>
    </w:p>
    <w:p w14:paraId="1DB68AEB">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3.因地制宜发展特色产业。</w:t>
      </w:r>
    </w:p>
    <w:p w14:paraId="58594E04">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中医药产业发展情况。落实中药材计划种植面积20230亩，已完成新增种植面积14140亩，超额完成市考核指标1万亩任务。10月，我县山银花在全国特色产业首批数据产品集中上市。葛竹坪镇天星村标准化山银花加工厂、龙潭镇山银花集散交易市场及冷链仓储，2个重点项目年内计划投资0.5 亿元，目前已完成投资0.16亿元，为年度任务的32%。创建GAP示范基地。与湖南正清制药有限公司达成实质性合作，在我县龙潭镇红岩、红岭两个村建设GAP山银花种植基地，由正清公司按照国家GAP相关条款，共同进行基地管理，包括栽培、加工及溯源信息建立、系统数据录入等。</w:t>
      </w:r>
    </w:p>
    <w:p w14:paraId="59663B17">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柑橘产业发展情况。一是推进柑橘品改。大力鼓励和引导群众对低产园实施品种改良，今年已完成柑橘品改15500亩，其中高接换种2691亩，老园改造5129亩，完成低产园改造7680亩。二是严密防控病害。把柑橘黄龙病防控作为重点，县财政安排专项资金，采购了一批防控药品用于支持木虱防控。三是开展标准化创建。开展大力开展标准化示范园创建，完善果园基础设施、推广节水灌溉、配方施肥、有机肥替代化肥、生草栽培、病虫害绿色防控、完熟栽培、采后商品化处理等综合配套技术，全县共创建县级优质柑橘产业示范园7个。四是完善产业链条。柑橘加工企业发展到38家，建成初加工商品化处理线32条，深加工生产线3条，年加工片片橘能力达3万吨以上，其中省级龙头企业雪峰食品公司加工能力2万吨以上。</w:t>
      </w:r>
    </w:p>
    <w:p w14:paraId="6FC11374">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茶叶产业发展情况。全县茶叶种植面积2.6万亩，干毛茶产量880吨左右、春茶产值4220万元。集中连片100亩—500亩的规模基地18个，500亩以上的专业村2个（北斗溪镇宝山村、中都乡中都村）。茶叶加工厂发展到18家、茶叶专业合作社9家、茶叶企业7家，其中市级农业产业化龙头企业3家。</w:t>
      </w:r>
    </w:p>
    <w:p w14:paraId="3761E625">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4）畜牧业发展情况。前三季度，全县生猪饲养量达130.98万头，其中生猪存栏54.79万头，出栏76.18万头,能繁母猪4.97万头，存栏同比增2.8%；家禽饲养量679.99万羽，其中存笼317.69万羽，出笼362.30万羽，存笼同比增3.6%。溆浦鹅饲养量118万羽，其中存笼54万羽，出笼62万羽。渔业水产品总量11597吨。畜牧水产业总产值24.5亿元。引导天天柴火鱼公司到安徽、浙江等地考察学习新式菜品，鹅肥肝餐饮新菜品—“红酒鹅肝”试制成功，受到市场追捧，促进老百姓新的消费驱动，推动溆浦鹅深加工发展。</w:t>
      </w:r>
    </w:p>
    <w:p w14:paraId="4687FA2B">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5）种业发展情况。完成杂交水稻制种面积3.33万亩，完成父母本精量粘种育秧技术推广0.95万亩，母本机插秧技术推广1.06万亩，无人机喷施技术推广1.68万亩，无人机授粉技术推广0.15万亩。充分利用制种大县中央财政奖励资金，加大基地建设力度。在水东镇完成了现代种业产业中心工程项目设计，目前已开始招投标，即将启动建设工作。同时，我们还完善了仓储、烘干等设施建设，在板栗坪村完成了集烘干、精选等功能于一体的种子区域服务站的建设任务。还完成了卢峰镇新坪村、双井镇堰塘湾村种子区域服务站设计工作。</w:t>
      </w:r>
    </w:p>
    <w:p w14:paraId="0F40F022">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4.大力推进乡村建设。</w:t>
      </w:r>
    </w:p>
    <w:p w14:paraId="7B1405ED">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高标准农田建设情况。完成2023年高标准农田建设5.63万亩。完成2024年高标准农田建设（国债）项目建设高标准农田0.6万亩，目前田间工程已全部完成。2024年高标准农田建设（常规）项目建设任务1.68万亩，已全面开工建设。</w:t>
      </w:r>
    </w:p>
    <w:p w14:paraId="6AF3A19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农村改厕和人居环境整治。按照“五共五美”模式，以“一拆二改三清四化”为总抓手，大力开展农村人居环境整治提升行动，全市第一季度农村人居环境整治打擂台现场会在溆浦县召开。实施2000座农村户厕改（新）建和新建11座农村公厕，2000座农村户厕在11月底全面完成，11座农村公厕已完成9座，还有2座因村里用地的问题，计划2025年2月份完成。创建市级和美乡镇1个、和美村庄14个、和美团寨100个、和美庭院1000户，各项工作任务已落实完成。</w:t>
      </w:r>
    </w:p>
    <w:p w14:paraId="19D57E75">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5.不断优化完善乡村治理。</w:t>
      </w:r>
    </w:p>
    <w:p w14:paraId="490D6AF9">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农村科教和农技推广情况。2024年乡村产业振兴带头人培育“头雁”7人，推选土专家7人参与全市“田秀才”“土专家”选拔，组织中、高级专业技术人员开展农业科技送下乡活动，完成2024年高素质农民培训250人任务。</w:t>
      </w:r>
    </w:p>
    <w:p w14:paraId="1741FCEA">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按照省厅文件精神2024年向9个乡镇分配农技特岗生9名上岗，2024年招生10名农技特岗生开展定向委培。完成2024年基层农技推广体系建设项目实施工作任务，脱产培训基层农技人员53人，培育农业科技示范主体56人，创建2个农业科技试验示范基地。发布粮食生产主导品种10个和主推技术8项，使主导品种和主推技术覆盖全县25个乡镇，到位率95%以上。</w:t>
      </w:r>
    </w:p>
    <w:p w14:paraId="53F6FA9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农产品质量安全监管工作。在农作物生产关键时期和重大节假日，组织农业执法大队、经作、检测中心等站室重点对蔬菜、时鲜水果、粮食等生产基地开展农产品质量安全生产巡查，特别是对祥福、绿之然等供学校的营养餐农产品基地重点巡查，严格监督管理。到现在为止共巡查农产品生产基地110个，发放农产品质量安全生产手册、农产品生产企业主体责任宣传手册等宣传资料1100份。今年县农产品质量安全检验检测站在学校直供农产品企业祥福等生产基地共开展速测蔬菜、水果样品544批次、定量检测61批次，合格率100%。</w:t>
      </w:r>
    </w:p>
    <w:p w14:paraId="74510D52">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农业资源保护与利用。污染耕地安全利用。2024年全县0.95万亩重度污染耕地全部落实退出食用水稻生产，9.64万亩轻中度污染耕地落实安全利用措施，全县受污染耕地安全利用率水平达到93%以上。农膜回收。全县25个乡镇都建立了1个废旧农膜回收点，农膜回收量在370吨以上，回收率在83%以上，残留废旧农膜面源污染得到有效控制。秸秆综合利用。建立秸秆收储运平台2个，秸秆还田示范合作社5个，示范面积2000亩，扶植利用秸秆生产有机肥示范企业1家、营养土培植企业1家，秸秆基料化示范企业1家。全县可收集农作物秸秆资源总量在45.42万吨，秸秆综合利用率达到了90%以上，带动县域秸秆综合利用率的整体提升。限区域限时段管控秸秆焚烧。</w:t>
      </w:r>
    </w:p>
    <w:p w14:paraId="6B092094">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（4）加大农业综合执法力度。累计出动执法人员 120人次，检查农资市场 15个、农资经营门店 150余家，实现了农资打假执法检查全覆盖，立案查处违法经营劣质农药等农业投入品一般案件共18起，简易程序案件1起。全面开展重点水域禁捕工作和农机安全整治工作。累计出动执法人员320余人次，车辆80余台次，执法船只10余艘次，共办理非法捕捞行政处罚案件19起，缴获背包式电鱼机2台，没收、拆毁非法捕捞船只三艘，销毁各类非法网具18张，没收渔获物20余公斤。共出动执法人员80人次，开展行动20余次，检查拖拉机50台，查处无证驾驶6人，逾期未年检5台。共查处农机安全案件11起，报废拆解拖拉机5台。</w:t>
      </w:r>
    </w:p>
    <w:p w14:paraId="5B8F86FB">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二、存在的问题</w:t>
      </w:r>
    </w:p>
    <w:p w14:paraId="5CBD1D35">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责任压实上还有欠缺。一是工作调度上。部分行业部门和乡镇思想上有所滑坡，在布置工作任务时“打折扣”，甚至要县委、县政府督查室督促时才完成好。二是帮联干部和驻村帮扶上。部分帮联干部没有按照省市要求进行走访和帮扶监测户、脱贫户。</w:t>
      </w:r>
    </w:p>
    <w:p w14:paraId="042E7248">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2.乡村振兴资金投入短缺。今年不再实行资金整合政策，上级下达我县的财政衔接资金逐年减少，巩固成果和乡村建设示范创建所需资金缺口较大。</w:t>
      </w:r>
    </w:p>
    <w:p w14:paraId="421C8FA5">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3.项目资金支出进度缓慢。由于受天气影响及乡镇、相关行业部门工作推进较慢等原因，目前财政衔接资金项目支付进度较慢。</w:t>
      </w:r>
    </w:p>
    <w:p w14:paraId="4FC6FF7F">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4.基础设施不全，防灾减灾能力不足。受近年自然灾害影响，全县农田水利设施受损严重。全县除南部龙潭片区、东部林区乡镇气候条件较好，中部、西部、北部的卢峰、大江口、思蒙、水东、桥江、统溪河、油洋、观音阁、均坪、舒溶溪、双井、祖师殿、深子湖等乡镇均出现“涝旱急转”，受灾区域水稻缺水田块多，部分田块出现开叉裂口现象。</w:t>
      </w:r>
    </w:p>
    <w:p w14:paraId="62E45F5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5.政策调整变化，大户种粮动力下降。根据中央耕地地力保护补贴政策，省政府办公厅印发了《湖南省耕地地力保护补贴实施方案》（湘政办发〔2022〕69 号），启动实施新一轮农业支持保护补贴政策，不再实施粮食适度规模经营补贴，降低了大户稳面增收预期，部分大户产生缩面压产思想。</w:t>
      </w:r>
    </w:p>
    <w:p w14:paraId="728B8325">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七、存在的主要问题及原因分析</w:t>
      </w:r>
    </w:p>
    <w:p w14:paraId="3ACF490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一、当年的财务不能真实的反映单位的财务状况:（1）是单位收入少，支出大，不能及时支付当年的费用；（2）是财务结算日期的差别，财务以公历年结算上报，而实际工作中以农历年结算；</w:t>
      </w:r>
    </w:p>
    <w:p w14:paraId="488234D0">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二、固定资产管理难度大，因单位人员多，固定资产分散在各股室里，并且使用频繁，容易损坏。</w:t>
      </w:r>
    </w:p>
    <w:p w14:paraId="2428D4BC">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八、下一步改进措施</w:t>
      </w:r>
    </w:p>
    <w:p w14:paraId="10DC8900">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1、科学合理编制预算，严格执行预算。要按照《预算法》及其实施条例的相关规定，参考上一年的预算执行情况和年度的收支预测科学编制预算，避免年中大幅追加以及超预算。同时严格预算执行，提高资金使用效率。</w:t>
      </w:r>
    </w:p>
    <w:p w14:paraId="321090E2">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2、规范账务处理，提高财务信息质量。严格按照《会计法》、《行政单位会计制度》、《行政单位财务规则》等规定，结合实际情况，科学设置支出科目，规范财务核算，完整披露相关信息。</w:t>
      </w:r>
    </w:p>
    <w:p w14:paraId="53A28875">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3、加强单位内控制度建设，完善相关内部管理制度，更加便于工作开展。</w:t>
      </w:r>
    </w:p>
    <w:p w14:paraId="0E9332FE">
      <w:pPr>
        <w:jc w:val="left"/>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九、其他需要说明的情况</w:t>
      </w:r>
    </w:p>
    <w:p w14:paraId="32A4935F">
      <w:pPr>
        <w:jc w:val="left"/>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无。</w:t>
      </w:r>
    </w:p>
    <w:p w14:paraId="2487DA7E">
      <w:pPr>
        <w:jc w:val="left"/>
        <w:rPr>
          <w:rFonts w:hint="default" w:cs="黑体" w:asciiTheme="minorEastAsia" w:hAnsiTheme="minorEastAsia" w:eastAsiaTheme="minorEastAsia"/>
          <w:color w:val="auto"/>
          <w:kern w:val="0"/>
          <w:sz w:val="32"/>
          <w:szCs w:val="32"/>
          <w:lang w:val="en-US" w:eastAsia="zh-CN"/>
        </w:rPr>
      </w:pPr>
    </w:p>
    <w:sectPr>
      <w:pgSz w:w="16838" w:h="11906" w:orient="landscape"/>
      <w:pgMar w:top="1134" w:right="1134" w:bottom="1134" w:left="1134"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44FBC3"/>
    <w:multiLevelType w:val="singleLevel"/>
    <w:tmpl w:val="5A44FBC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172A27"/>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1E4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2515C4"/>
    <w:rsid w:val="01734A71"/>
    <w:rsid w:val="0281282A"/>
    <w:rsid w:val="032A2EC2"/>
    <w:rsid w:val="0445504E"/>
    <w:rsid w:val="0A2E2E15"/>
    <w:rsid w:val="0BB8061B"/>
    <w:rsid w:val="0F7830BE"/>
    <w:rsid w:val="104650B3"/>
    <w:rsid w:val="13157790"/>
    <w:rsid w:val="13FF7A8E"/>
    <w:rsid w:val="14591A5B"/>
    <w:rsid w:val="150E269C"/>
    <w:rsid w:val="16F3483F"/>
    <w:rsid w:val="1743234C"/>
    <w:rsid w:val="17CC1AE5"/>
    <w:rsid w:val="1B080C08"/>
    <w:rsid w:val="1E0213B7"/>
    <w:rsid w:val="23F269D2"/>
    <w:rsid w:val="279B7EB0"/>
    <w:rsid w:val="28A864B3"/>
    <w:rsid w:val="297553DF"/>
    <w:rsid w:val="2B275DB5"/>
    <w:rsid w:val="2FF93EEC"/>
    <w:rsid w:val="307A6E68"/>
    <w:rsid w:val="308C44C3"/>
    <w:rsid w:val="352B3B48"/>
    <w:rsid w:val="3A4515D7"/>
    <w:rsid w:val="3B323BFB"/>
    <w:rsid w:val="3C9031B9"/>
    <w:rsid w:val="43CA280D"/>
    <w:rsid w:val="47213261"/>
    <w:rsid w:val="4A75688F"/>
    <w:rsid w:val="4B46689C"/>
    <w:rsid w:val="4D6123AC"/>
    <w:rsid w:val="4F3B0BAA"/>
    <w:rsid w:val="50F934A0"/>
    <w:rsid w:val="52C553E8"/>
    <w:rsid w:val="55A809C0"/>
    <w:rsid w:val="56330A97"/>
    <w:rsid w:val="5777D4F5"/>
    <w:rsid w:val="5B6B0AB2"/>
    <w:rsid w:val="5BFC7799"/>
    <w:rsid w:val="5C137FC8"/>
    <w:rsid w:val="5CD01559"/>
    <w:rsid w:val="5F394CDA"/>
    <w:rsid w:val="5FC6BB1E"/>
    <w:rsid w:val="5FF720F1"/>
    <w:rsid w:val="61CF721F"/>
    <w:rsid w:val="65281EEF"/>
    <w:rsid w:val="65AE7A7B"/>
    <w:rsid w:val="6648501B"/>
    <w:rsid w:val="674548F2"/>
    <w:rsid w:val="679C3EE9"/>
    <w:rsid w:val="6C5D5B58"/>
    <w:rsid w:val="6F854425"/>
    <w:rsid w:val="70166678"/>
    <w:rsid w:val="71552CEA"/>
    <w:rsid w:val="71E4610E"/>
    <w:rsid w:val="737D59BA"/>
    <w:rsid w:val="76E97C1D"/>
    <w:rsid w:val="7768582A"/>
    <w:rsid w:val="77C37683"/>
    <w:rsid w:val="79EF7EA1"/>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Normal Indent"/>
    <w:basedOn w:val="1"/>
    <w:unhideWhenUsed/>
    <w:qFormat/>
    <w:uiPriority w:val="99"/>
    <w:pPr>
      <w:ind w:firstLine="420" w:firstLineChars="200"/>
    </w:pPr>
  </w:style>
  <w:style w:type="paragraph" w:styleId="6">
    <w:name w:val="Body Text"/>
    <w:basedOn w:val="1"/>
    <w:next w:val="5"/>
    <w:autoRedefine/>
    <w:unhideWhenUsed/>
    <w:qFormat/>
    <w:uiPriority w:val="99"/>
    <w:pPr>
      <w:spacing w:after="120"/>
    </w:pPr>
  </w:style>
  <w:style w:type="paragraph" w:styleId="7">
    <w:name w:val="Balloon Text"/>
    <w:basedOn w:val="1"/>
    <w:link w:val="18"/>
    <w:autoRedefine/>
    <w:semiHidden/>
    <w:unhideWhenUsed/>
    <w:qFormat/>
    <w:uiPriority w:val="99"/>
    <w:rPr>
      <w:sz w:val="18"/>
      <w:szCs w:val="18"/>
    </w:rPr>
  </w:style>
  <w:style w:type="paragraph" w:styleId="8">
    <w:name w:val="footer"/>
    <w:basedOn w:val="1"/>
    <w:next w:val="1"/>
    <w:link w:val="15"/>
    <w:autoRedefine/>
    <w:unhideWhenUsed/>
    <w:qFormat/>
    <w:uiPriority w:val="99"/>
    <w:pPr>
      <w:tabs>
        <w:tab w:val="center" w:pos="4153"/>
        <w:tab w:val="right" w:pos="8306"/>
      </w:tabs>
      <w:snapToGrid w:val="0"/>
      <w:jc w:val="left"/>
    </w:pPr>
    <w:rPr>
      <w:sz w:val="18"/>
      <w:szCs w:val="18"/>
    </w:rPr>
  </w:style>
  <w:style w:type="paragraph" w:styleId="9">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页眉 Char"/>
    <w:basedOn w:val="13"/>
    <w:link w:val="9"/>
    <w:autoRedefine/>
    <w:qFormat/>
    <w:uiPriority w:val="99"/>
    <w:rPr>
      <w:sz w:val="18"/>
      <w:szCs w:val="18"/>
    </w:rPr>
  </w:style>
  <w:style w:type="character" w:customStyle="1" w:styleId="15">
    <w:name w:val="页脚 Char"/>
    <w:basedOn w:val="13"/>
    <w:link w:val="8"/>
    <w:autoRedefine/>
    <w:qFormat/>
    <w:uiPriority w:val="99"/>
    <w:rPr>
      <w:sz w:val="18"/>
      <w:szCs w:val="18"/>
    </w:rPr>
  </w:style>
  <w:style w:type="paragraph" w:customStyle="1" w:styleId="16">
    <w:name w:val="Default"/>
    <w:autoRedefine/>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7">
    <w:name w:val="List Paragraph"/>
    <w:basedOn w:val="1"/>
    <w:autoRedefine/>
    <w:qFormat/>
    <w:uiPriority w:val="34"/>
    <w:pPr>
      <w:ind w:firstLine="420" w:firstLineChars="200"/>
    </w:pPr>
  </w:style>
  <w:style w:type="character" w:customStyle="1" w:styleId="18">
    <w:name w:val="批注框文本 Char"/>
    <w:basedOn w:val="13"/>
    <w:link w:val="7"/>
    <w:autoRedefine/>
    <w:semiHidden/>
    <w:qFormat/>
    <w:uiPriority w:val="99"/>
    <w:rPr>
      <w:sz w:val="18"/>
      <w:szCs w:val="18"/>
    </w:rPr>
  </w:style>
  <w:style w:type="character" w:customStyle="1" w:styleId="19">
    <w:name w:val="font01"/>
    <w:basedOn w:val="13"/>
    <w:autoRedefine/>
    <w:qFormat/>
    <w:uiPriority w:val="0"/>
    <w:rPr>
      <w:rFonts w:hint="eastAsia" w:ascii="宋体" w:hAnsi="宋体" w:eastAsia="宋体" w:cs="宋体"/>
      <w:color w:val="000000"/>
      <w:sz w:val="22"/>
      <w:szCs w:val="22"/>
      <w:u w:val="none"/>
    </w:rPr>
  </w:style>
  <w:style w:type="character" w:customStyle="1" w:styleId="20">
    <w:name w:val="font21"/>
    <w:basedOn w:val="13"/>
    <w:autoRedefine/>
    <w:qFormat/>
    <w:uiPriority w:val="0"/>
    <w:rPr>
      <w:rFonts w:hint="eastAsia" w:ascii="宋体" w:hAnsi="宋体" w:eastAsia="宋体" w:cs="宋体"/>
      <w:color w:val="000000"/>
      <w:sz w:val="24"/>
      <w:szCs w:val="24"/>
      <w:u w:val="none"/>
    </w:rPr>
  </w:style>
  <w:style w:type="character" w:customStyle="1" w:styleId="21">
    <w:name w:val="font11"/>
    <w:basedOn w:val="13"/>
    <w:autoRedefine/>
    <w:qFormat/>
    <w:uiPriority w:val="0"/>
    <w:rPr>
      <w:rFonts w:hint="eastAsia" w:ascii="宋体" w:hAnsi="宋体" w:eastAsia="宋体" w:cs="宋体"/>
      <w:color w:val="000000"/>
      <w:sz w:val="24"/>
      <w:szCs w:val="24"/>
      <w:u w:val="none"/>
    </w:rPr>
  </w:style>
  <w:style w:type="table" w:customStyle="1" w:styleId="2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56</Pages>
  <Words>409</Words>
  <Characters>415</Characters>
  <Lines>63</Lines>
  <Paragraphs>18</Paragraphs>
  <TotalTime>2</TotalTime>
  <ScaleCrop>false</ScaleCrop>
  <LinksUpToDate>false</LinksUpToDate>
  <CharactersWithSpaces>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2024-09-29T08:02:00Z</cp:lastPrinted>
  <dcterms:modified xsi:type="dcterms:W3CDTF">2026-07-23T01:27:22Z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2AEA03E1728740638BB59E9BB7ABEF6C_13</vt:lpwstr>
  </property>
  <property fmtid="{D5CDD505-2E9C-101B-9397-08002B2CF9AE}" pid="4" name="KSOTemplateDocerSaveRecord">
    <vt:lpwstr>eyJoZGlkIjoiNDc4MWVmYWJkZTllNTNiZWFiODgyNWFlMTkxMjZhM2MiLCJ1c2VySWQiOiI5NTkxMTI2OTEifQ==</vt:lpwstr>
  </property>
</Properties>
</file>