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B056F5">
      <w:pPr>
        <w:pStyle w:val="16"/>
        <w:jc w:val="center"/>
        <w:rPr>
          <w:rFonts w:hint="eastAsia" w:ascii="方正小标宋_GBK" w:hAnsi="方正小标宋_GBK" w:eastAsia="方正小标宋_GBK" w:cs="方正小标宋_GBK"/>
          <w:color w:val="auto"/>
          <w:sz w:val="84"/>
          <w:szCs w:val="84"/>
        </w:rPr>
      </w:pPr>
    </w:p>
    <w:p w14:paraId="23CD4582">
      <w:pPr>
        <w:pStyle w:val="16"/>
        <w:jc w:val="center"/>
        <w:rPr>
          <w:rFonts w:hint="eastAsia" w:ascii="方正小标宋_GBK" w:hAnsi="方正小标宋_GBK" w:eastAsia="方正小标宋_GBK" w:cs="方正小标宋_GBK"/>
          <w:color w:val="auto"/>
          <w:sz w:val="84"/>
          <w:szCs w:val="84"/>
        </w:rPr>
      </w:pPr>
      <w:r>
        <w:rPr>
          <w:rFonts w:hint="eastAsia" w:ascii="方正小标宋_GBK" w:hAnsi="方正小标宋_GBK" w:eastAsia="方正小标宋_GBK" w:cs="方正小标宋_GBK"/>
          <w:color w:val="auto"/>
          <w:sz w:val="84"/>
          <w:szCs w:val="84"/>
        </w:rPr>
        <w:t>202</w:t>
      </w:r>
      <w:r>
        <w:rPr>
          <w:rFonts w:hint="eastAsia" w:ascii="方正小标宋_GBK" w:hAnsi="方正小标宋_GBK" w:eastAsia="方正小标宋_GBK" w:cs="方正小标宋_GBK"/>
          <w:color w:val="auto"/>
          <w:sz w:val="84"/>
          <w:szCs w:val="84"/>
          <w:lang w:val="en-US" w:eastAsia="zh-CN"/>
        </w:rPr>
        <w:t>4</w:t>
      </w:r>
      <w:r>
        <w:rPr>
          <w:rFonts w:hint="eastAsia" w:ascii="方正小标宋_GBK" w:hAnsi="方正小标宋_GBK" w:eastAsia="方正小标宋_GBK" w:cs="方正小标宋_GBK"/>
          <w:color w:val="auto"/>
          <w:sz w:val="84"/>
          <w:szCs w:val="84"/>
        </w:rPr>
        <w:t>年度</w:t>
      </w:r>
    </w:p>
    <w:p w14:paraId="4C08508E">
      <w:pPr>
        <w:pStyle w:val="16"/>
        <w:jc w:val="center"/>
        <w:rPr>
          <w:rFonts w:hint="eastAsia" w:ascii="方正小标宋_GBK" w:hAnsi="方正小标宋_GBK" w:eastAsia="方正小标宋_GBK" w:cs="方正小标宋_GBK"/>
          <w:color w:val="auto"/>
          <w:sz w:val="84"/>
          <w:szCs w:val="84"/>
        </w:rPr>
      </w:pPr>
      <w:r>
        <w:rPr>
          <w:rFonts w:hint="eastAsia"/>
          <w:color w:val="auto"/>
          <w:sz w:val="84"/>
          <w:szCs w:val="84"/>
        </w:rPr>
        <w:t>溆浦县</w:t>
      </w:r>
      <w:r>
        <w:rPr>
          <w:rFonts w:hint="eastAsia" w:ascii="方正小标宋_GBK" w:hAnsi="方正小标宋_GBK" w:eastAsia="方正小标宋_GBK" w:cs="方正小标宋_GBK"/>
          <w:color w:val="auto"/>
          <w:sz w:val="84"/>
          <w:szCs w:val="84"/>
          <w:lang w:val="en-US" w:eastAsia="zh-CN"/>
        </w:rPr>
        <w:t>农业农村局</w:t>
      </w:r>
      <w:r>
        <w:rPr>
          <w:rFonts w:hint="eastAsia" w:ascii="方正小标宋_GBK" w:hAnsi="方正小标宋_GBK" w:eastAsia="方正小标宋_GBK" w:cs="方正小标宋_GBK"/>
          <w:color w:val="auto"/>
          <w:sz w:val="84"/>
          <w:szCs w:val="84"/>
        </w:rPr>
        <w:t>部门决算</w:t>
      </w:r>
    </w:p>
    <w:p w14:paraId="1EECF8D6">
      <w:pPr>
        <w:pStyle w:val="16"/>
        <w:spacing w:line="540" w:lineRule="exact"/>
        <w:jc w:val="both"/>
        <w:rPr>
          <w:color w:val="auto"/>
          <w:sz w:val="56"/>
          <w:szCs w:val="56"/>
        </w:rPr>
      </w:pPr>
    </w:p>
    <w:p w14:paraId="6741FDF6">
      <w:pPr>
        <w:pStyle w:val="16"/>
        <w:spacing w:line="500" w:lineRule="exact"/>
        <w:jc w:val="both"/>
        <w:rPr>
          <w:b/>
          <w:color w:val="auto"/>
          <w:sz w:val="36"/>
          <w:szCs w:val="28"/>
        </w:rPr>
      </w:pPr>
    </w:p>
    <w:p w14:paraId="414BF559">
      <w:pPr>
        <w:pStyle w:val="16"/>
        <w:spacing w:line="500" w:lineRule="exact"/>
        <w:jc w:val="center"/>
        <w:rPr>
          <w:rFonts w:hint="eastAsia"/>
          <w:b/>
          <w:color w:val="auto"/>
          <w:sz w:val="36"/>
          <w:szCs w:val="28"/>
        </w:rPr>
      </w:pPr>
    </w:p>
    <w:p w14:paraId="3D00DB1F">
      <w:pPr>
        <w:pStyle w:val="16"/>
        <w:spacing w:line="500" w:lineRule="exact"/>
        <w:jc w:val="center"/>
        <w:rPr>
          <w:rFonts w:hint="eastAsia"/>
          <w:b/>
          <w:color w:val="auto"/>
          <w:sz w:val="36"/>
          <w:szCs w:val="28"/>
        </w:rPr>
      </w:pPr>
    </w:p>
    <w:p w14:paraId="1AB7DE0D">
      <w:pPr>
        <w:pStyle w:val="16"/>
        <w:spacing w:line="500" w:lineRule="exact"/>
        <w:jc w:val="center"/>
        <w:rPr>
          <w:rFonts w:hint="eastAsia"/>
          <w:b/>
          <w:color w:val="auto"/>
          <w:sz w:val="36"/>
          <w:szCs w:val="28"/>
        </w:rPr>
      </w:pPr>
    </w:p>
    <w:p w14:paraId="2B8FC72F">
      <w:pPr>
        <w:rPr>
          <w:rFonts w:hint="eastAsia"/>
          <w:b/>
          <w:color w:val="auto"/>
          <w:sz w:val="36"/>
          <w:szCs w:val="28"/>
        </w:rPr>
      </w:pPr>
      <w:r>
        <w:rPr>
          <w:rFonts w:hint="eastAsia"/>
          <w:b/>
          <w:color w:val="auto"/>
          <w:sz w:val="36"/>
          <w:szCs w:val="28"/>
        </w:rPr>
        <w:br w:type="page"/>
      </w:r>
    </w:p>
    <w:p w14:paraId="56351141">
      <w:pPr>
        <w:pStyle w:val="16"/>
        <w:spacing w:line="500" w:lineRule="exact"/>
        <w:jc w:val="center"/>
        <w:rPr>
          <w:b/>
          <w:color w:val="auto"/>
          <w:sz w:val="36"/>
          <w:szCs w:val="28"/>
        </w:rPr>
      </w:pPr>
      <w:r>
        <w:rPr>
          <w:rFonts w:hint="eastAsia"/>
          <w:b/>
          <w:color w:val="auto"/>
          <w:sz w:val="36"/>
          <w:szCs w:val="28"/>
        </w:rPr>
        <w:t>目</w:t>
      </w:r>
      <w:r>
        <w:rPr>
          <w:rFonts w:hint="eastAsia"/>
          <w:b/>
          <w:color w:val="auto"/>
          <w:sz w:val="36"/>
          <w:szCs w:val="28"/>
          <w:lang w:val="en-US" w:eastAsia="zh-CN"/>
        </w:rPr>
        <w:t xml:space="preserve">    </w:t>
      </w:r>
      <w:r>
        <w:rPr>
          <w:rFonts w:hint="eastAsia"/>
          <w:b/>
          <w:color w:val="auto"/>
          <w:sz w:val="36"/>
          <w:szCs w:val="28"/>
        </w:rPr>
        <w:t>录</w:t>
      </w:r>
    </w:p>
    <w:p w14:paraId="73BAF9DB">
      <w:pPr>
        <w:pStyle w:val="16"/>
        <w:spacing w:line="500" w:lineRule="exact"/>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第一部分</w:t>
      </w:r>
      <w:r>
        <w:rPr>
          <w:rFonts w:hint="eastAsia" w:ascii="黑体" w:hAnsi="黑体" w:eastAsia="黑体" w:cs="黑体"/>
          <w:b w:val="0"/>
          <w:bCs/>
          <w:color w:val="auto"/>
          <w:sz w:val="28"/>
          <w:szCs w:val="28"/>
          <w:lang w:val="en-US" w:eastAsia="zh-CN"/>
        </w:rPr>
        <w:t xml:space="preserve"> </w:t>
      </w:r>
      <w:r>
        <w:rPr>
          <w:rFonts w:hint="eastAsia" w:hAnsi="黑体" w:cs="黑体"/>
          <w:b w:val="0"/>
          <w:bCs/>
          <w:color w:val="auto"/>
          <w:sz w:val="28"/>
          <w:szCs w:val="28"/>
          <w:lang w:val="en-US" w:eastAsia="zh-CN"/>
        </w:rPr>
        <w:t>溆浦县农业农村局</w:t>
      </w:r>
      <w:r>
        <w:rPr>
          <w:rFonts w:hint="eastAsia" w:ascii="黑体" w:hAnsi="黑体" w:eastAsia="黑体" w:cs="黑体"/>
          <w:b w:val="0"/>
          <w:bCs/>
          <w:color w:val="auto"/>
          <w:sz w:val="28"/>
          <w:szCs w:val="28"/>
        </w:rPr>
        <w:t>概况</w:t>
      </w:r>
    </w:p>
    <w:p w14:paraId="05B24841">
      <w:pPr>
        <w:pStyle w:val="16"/>
        <w:spacing w:line="500" w:lineRule="exact"/>
        <w:ind w:firstLine="700" w:firstLine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一、部门职责</w:t>
      </w:r>
    </w:p>
    <w:p w14:paraId="24ED55B5">
      <w:pPr>
        <w:pStyle w:val="16"/>
        <w:spacing w:line="500" w:lineRule="exact"/>
        <w:ind w:firstLine="700" w:firstLine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二、机构设置</w:t>
      </w:r>
    </w:p>
    <w:p w14:paraId="7E44602E">
      <w:pPr>
        <w:pStyle w:val="16"/>
        <w:spacing w:line="500" w:lineRule="exact"/>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第二部分</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部门决算表</w:t>
      </w:r>
    </w:p>
    <w:p w14:paraId="59A0C309">
      <w:pPr>
        <w:pStyle w:val="16"/>
        <w:spacing w:line="500" w:lineRule="exact"/>
        <w:ind w:firstLine="700" w:firstLine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一、收入支出决算总表</w:t>
      </w:r>
    </w:p>
    <w:p w14:paraId="14E8130D">
      <w:pPr>
        <w:pStyle w:val="16"/>
        <w:spacing w:line="500" w:lineRule="exact"/>
        <w:ind w:firstLine="700" w:firstLine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二、收入决算表</w:t>
      </w:r>
    </w:p>
    <w:p w14:paraId="7B00EF2A">
      <w:pPr>
        <w:pStyle w:val="16"/>
        <w:spacing w:line="500" w:lineRule="exact"/>
        <w:ind w:firstLine="700" w:firstLine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三、支出决算表</w:t>
      </w:r>
    </w:p>
    <w:p w14:paraId="629E793A">
      <w:pPr>
        <w:pStyle w:val="16"/>
        <w:spacing w:line="500" w:lineRule="exact"/>
        <w:ind w:firstLine="700" w:firstLine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四、财政拨款收入支出决算总表</w:t>
      </w:r>
    </w:p>
    <w:p w14:paraId="4D04CAF1">
      <w:pPr>
        <w:pStyle w:val="16"/>
        <w:spacing w:line="500" w:lineRule="exact"/>
        <w:ind w:firstLine="700" w:firstLine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五、一般公共预算财政拨款支出决算表</w:t>
      </w:r>
    </w:p>
    <w:p w14:paraId="68FBF888">
      <w:pPr>
        <w:pStyle w:val="16"/>
        <w:spacing w:line="500" w:lineRule="exact"/>
        <w:ind w:firstLine="700" w:firstLine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六、一般公共预算财政拨款基本支出决算明细表</w:t>
      </w:r>
    </w:p>
    <w:p w14:paraId="03668269">
      <w:pPr>
        <w:pStyle w:val="16"/>
        <w:spacing w:line="500" w:lineRule="exact"/>
        <w:ind w:firstLine="700" w:firstLine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七、政府性基金预算财政拨款收入支出决算表</w:t>
      </w:r>
    </w:p>
    <w:p w14:paraId="200E1A2C">
      <w:pPr>
        <w:pStyle w:val="16"/>
        <w:spacing w:line="500" w:lineRule="exact"/>
        <w:ind w:firstLine="700" w:firstLine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八、国有资本经营预算财政拨款支出决算表</w:t>
      </w:r>
    </w:p>
    <w:p w14:paraId="0C3431A7">
      <w:pPr>
        <w:pStyle w:val="16"/>
        <w:spacing w:line="500" w:lineRule="exact"/>
        <w:ind w:firstLine="700" w:firstLine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九、财政拨款“三公”经费支出决算表</w:t>
      </w:r>
    </w:p>
    <w:p w14:paraId="1885EE3C">
      <w:pPr>
        <w:pStyle w:val="16"/>
        <w:spacing w:line="500" w:lineRule="exact"/>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第三部分</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部门决算情况说明</w:t>
      </w:r>
    </w:p>
    <w:p w14:paraId="5CF0F480">
      <w:pPr>
        <w:pStyle w:val="16"/>
        <w:spacing w:line="500" w:lineRule="exact"/>
        <w:ind w:firstLine="700" w:firstLine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一、收入支出决算总体情况说明</w:t>
      </w:r>
    </w:p>
    <w:p w14:paraId="64136215">
      <w:pPr>
        <w:spacing w:line="500" w:lineRule="exact"/>
        <w:ind w:firstLine="700" w:firstLineChars="25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二、收入决算情况说明</w:t>
      </w:r>
    </w:p>
    <w:p w14:paraId="74D18BD9">
      <w:pPr>
        <w:autoSpaceDE w:val="0"/>
        <w:autoSpaceDN w:val="0"/>
        <w:adjustRightInd w:val="0"/>
        <w:spacing w:line="500" w:lineRule="exact"/>
        <w:ind w:firstLine="700" w:firstLineChars="25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三、支出决算情况说明</w:t>
      </w:r>
    </w:p>
    <w:p w14:paraId="1A3B8F43">
      <w:pPr>
        <w:autoSpaceDE w:val="0"/>
        <w:autoSpaceDN w:val="0"/>
        <w:adjustRightInd w:val="0"/>
        <w:spacing w:line="500" w:lineRule="exact"/>
        <w:ind w:firstLine="700" w:firstLineChars="25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四、财政拨款收入支出决算总体情况说明</w:t>
      </w:r>
    </w:p>
    <w:p w14:paraId="448A67EB">
      <w:pPr>
        <w:autoSpaceDE w:val="0"/>
        <w:autoSpaceDN w:val="0"/>
        <w:adjustRightInd w:val="0"/>
        <w:spacing w:line="500" w:lineRule="exact"/>
        <w:ind w:firstLine="700" w:firstLineChars="25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五、一般公共预算财政拨款支出决算情况说明</w:t>
      </w:r>
    </w:p>
    <w:p w14:paraId="7A061E1A">
      <w:pPr>
        <w:autoSpaceDE w:val="0"/>
        <w:autoSpaceDN w:val="0"/>
        <w:adjustRightInd w:val="0"/>
        <w:spacing w:line="500" w:lineRule="exact"/>
        <w:ind w:firstLine="700" w:firstLineChars="25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六、一般公共预算财政拨款基本支出决算情况说明</w:t>
      </w:r>
    </w:p>
    <w:p w14:paraId="7D9BC99D">
      <w:pPr>
        <w:autoSpaceDE w:val="0"/>
        <w:autoSpaceDN w:val="0"/>
        <w:adjustRightInd w:val="0"/>
        <w:spacing w:line="500" w:lineRule="exact"/>
        <w:ind w:firstLine="700" w:firstLineChars="25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七、财政拨款三公经费支出决算情况说明</w:t>
      </w:r>
    </w:p>
    <w:p w14:paraId="61D2101D">
      <w:pPr>
        <w:autoSpaceDE w:val="0"/>
        <w:autoSpaceDN w:val="0"/>
        <w:adjustRightInd w:val="0"/>
        <w:spacing w:line="500" w:lineRule="exact"/>
        <w:ind w:firstLine="700" w:firstLineChars="25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八、政府性基金预算收入支出决算情况</w:t>
      </w:r>
    </w:p>
    <w:p w14:paraId="4672AB8F">
      <w:pPr>
        <w:autoSpaceDE w:val="0"/>
        <w:autoSpaceDN w:val="0"/>
        <w:adjustRightInd w:val="0"/>
        <w:spacing w:line="500" w:lineRule="exact"/>
        <w:ind w:firstLine="700" w:firstLineChars="25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九、关于机关运行经费支出说明</w:t>
      </w:r>
    </w:p>
    <w:p w14:paraId="043E3E98">
      <w:pPr>
        <w:autoSpaceDE w:val="0"/>
        <w:autoSpaceDN w:val="0"/>
        <w:adjustRightInd w:val="0"/>
        <w:spacing w:line="500" w:lineRule="exact"/>
        <w:ind w:firstLine="700" w:firstLineChars="25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十、一般性支出情况说明</w:t>
      </w:r>
    </w:p>
    <w:p w14:paraId="1EA93372">
      <w:pPr>
        <w:autoSpaceDE w:val="0"/>
        <w:autoSpaceDN w:val="0"/>
        <w:adjustRightInd w:val="0"/>
        <w:spacing w:line="500" w:lineRule="exact"/>
        <w:ind w:firstLine="700" w:firstLineChars="25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十一、关于政府采购支出说明</w:t>
      </w:r>
    </w:p>
    <w:p w14:paraId="0793CEE0">
      <w:pPr>
        <w:pStyle w:val="16"/>
        <w:spacing w:line="500" w:lineRule="exact"/>
        <w:ind w:firstLine="700" w:firstLine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十二、关于国有资产占用情况说明</w:t>
      </w:r>
    </w:p>
    <w:p w14:paraId="7838FB36">
      <w:pPr>
        <w:pStyle w:val="16"/>
        <w:spacing w:line="500" w:lineRule="exact"/>
        <w:ind w:firstLine="700" w:firstLine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十三、关于</w:t>
      </w:r>
      <w:r>
        <w:rPr>
          <w:rFonts w:hint="eastAsia" w:ascii="仿宋_GB2312" w:hAnsi="仿宋_GB2312" w:eastAsia="仿宋_GB2312" w:cs="仿宋_GB2312"/>
          <w:color w:val="auto"/>
          <w:sz w:val="28"/>
          <w:szCs w:val="28"/>
          <w:lang w:val="en-US" w:eastAsia="zh-CN"/>
        </w:rPr>
        <w:t>2024年度</w:t>
      </w:r>
      <w:r>
        <w:rPr>
          <w:rFonts w:hint="eastAsia" w:ascii="仿宋_GB2312" w:hAnsi="仿宋_GB2312" w:eastAsia="仿宋_GB2312" w:cs="仿宋_GB2312"/>
          <w:color w:val="auto"/>
          <w:sz w:val="28"/>
          <w:szCs w:val="28"/>
        </w:rPr>
        <w:t>预算绩效情况的说明</w:t>
      </w:r>
    </w:p>
    <w:p w14:paraId="02FCEDA8">
      <w:pPr>
        <w:pStyle w:val="16"/>
        <w:spacing w:line="500" w:lineRule="exact"/>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第四部分</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名词解释</w:t>
      </w:r>
    </w:p>
    <w:p w14:paraId="35149212">
      <w:pPr>
        <w:pStyle w:val="16"/>
        <w:spacing w:line="500" w:lineRule="exact"/>
        <w:rPr>
          <w:rFonts w:hint="eastAsia" w:ascii="黑体" w:hAnsi="黑体" w:eastAsia="黑体" w:cs="黑体"/>
          <w:b w:val="0"/>
          <w:bCs/>
          <w:sz w:val="28"/>
          <w:szCs w:val="28"/>
          <w:lang w:eastAsia="zh-CN"/>
        </w:rPr>
      </w:pPr>
      <w:bookmarkStart w:id="0" w:name="OLE_LINK16"/>
      <w:bookmarkStart w:id="1" w:name="OLE_LINK1"/>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bookmarkEnd w:id="0"/>
    </w:p>
    <w:bookmarkEnd w:id="1"/>
    <w:p w14:paraId="49052FCF">
      <w:pPr>
        <w:pStyle w:val="16"/>
        <w:spacing w:line="500" w:lineRule="exact"/>
        <w:rPr>
          <w:rFonts w:hint="eastAsia" w:ascii="黑体" w:hAnsi="黑体" w:eastAsia="黑体" w:cs="黑体"/>
          <w:b w:val="0"/>
          <w:bCs/>
          <w:color w:val="auto"/>
          <w:sz w:val="28"/>
          <w:szCs w:val="28"/>
        </w:rPr>
      </w:pPr>
    </w:p>
    <w:p w14:paraId="3A4F94A0">
      <w:pPr>
        <w:jc w:val="center"/>
        <w:rPr>
          <w:color w:val="auto"/>
          <w:sz w:val="72"/>
          <w:szCs w:val="72"/>
        </w:rPr>
      </w:pPr>
    </w:p>
    <w:p w14:paraId="7B5D8DDE">
      <w:pPr>
        <w:jc w:val="center"/>
        <w:rPr>
          <w:color w:val="auto"/>
          <w:sz w:val="72"/>
          <w:szCs w:val="72"/>
        </w:rPr>
      </w:pPr>
    </w:p>
    <w:p w14:paraId="1294DF3F">
      <w:pPr>
        <w:jc w:val="center"/>
        <w:rPr>
          <w:color w:val="auto"/>
          <w:sz w:val="72"/>
          <w:szCs w:val="72"/>
        </w:rPr>
      </w:pPr>
    </w:p>
    <w:p w14:paraId="3CB5973D">
      <w:pPr>
        <w:pStyle w:val="16"/>
        <w:jc w:val="center"/>
        <w:rPr>
          <w:rFonts w:hint="eastAsia" w:ascii="方正小标宋_GBK" w:hAnsi="方正小标宋_GBK" w:eastAsia="方正小标宋_GBK" w:cs="方正小标宋_GBK"/>
          <w:color w:val="auto"/>
          <w:sz w:val="84"/>
          <w:szCs w:val="84"/>
        </w:rPr>
      </w:pPr>
      <w:r>
        <w:rPr>
          <w:rFonts w:hint="eastAsia" w:ascii="方正小标宋_GBK" w:hAnsi="方正小标宋_GBK" w:eastAsia="方正小标宋_GBK" w:cs="方正小标宋_GBK"/>
          <w:color w:val="auto"/>
          <w:sz w:val="84"/>
          <w:szCs w:val="84"/>
        </w:rPr>
        <w:t xml:space="preserve">第一部分 </w:t>
      </w:r>
    </w:p>
    <w:p w14:paraId="5A751C4A">
      <w:pPr>
        <w:pStyle w:val="16"/>
        <w:ind w:firstLine="2520" w:firstLineChars="300"/>
        <w:jc w:val="both"/>
        <w:rPr>
          <w:rFonts w:hint="eastAsia" w:ascii="方正小标宋_GBK" w:hAnsi="方正小标宋_GBK" w:eastAsia="方正小标宋_GBK" w:cs="方正小标宋_GBK"/>
          <w:color w:val="auto"/>
          <w:sz w:val="84"/>
          <w:szCs w:val="84"/>
        </w:rPr>
      </w:pPr>
      <w:r>
        <w:rPr>
          <w:rFonts w:hint="eastAsia" w:ascii="方正小标宋_GBK" w:hAnsi="方正小标宋_GBK" w:eastAsia="方正小标宋_GBK" w:cs="方正小标宋_GBK"/>
          <w:color w:val="auto"/>
          <w:sz w:val="84"/>
          <w:szCs w:val="84"/>
          <w:lang w:val="en-US" w:eastAsia="zh-CN"/>
        </w:rPr>
        <w:t>溆浦县农业农村局</w:t>
      </w:r>
      <w:r>
        <w:rPr>
          <w:rFonts w:hint="eastAsia" w:ascii="方正小标宋_GBK" w:hAnsi="方正小标宋_GBK" w:eastAsia="方正小标宋_GBK" w:cs="方正小标宋_GBK"/>
          <w:color w:val="auto"/>
          <w:sz w:val="84"/>
          <w:szCs w:val="84"/>
        </w:rPr>
        <w:t>概况</w:t>
      </w:r>
    </w:p>
    <w:p w14:paraId="28DFB462">
      <w:pPr>
        <w:pStyle w:val="17"/>
        <w:keepNext w:val="0"/>
        <w:keepLines w:val="0"/>
        <w:pageBreakBefore w:val="0"/>
        <w:numPr>
          <w:ilvl w:val="0"/>
          <w:numId w:val="0"/>
        </w:numPr>
        <w:kinsoku/>
        <w:wordWrap/>
        <w:overflowPunct/>
        <w:topLinePunct w:val="0"/>
        <w:autoSpaceDE/>
        <w:autoSpaceDN/>
        <w:bidi w:val="0"/>
        <w:adjustRightInd/>
        <w:snapToGrid/>
        <w:spacing w:line="620" w:lineRule="exact"/>
        <w:ind w:left="0" w:leftChars="0" w:firstLine="640" w:firstLineChars="200"/>
        <w:jc w:val="both"/>
        <w:textAlignment w:val="auto"/>
        <w:rPr>
          <w:rFonts w:hint="eastAsia" w:ascii="黑体" w:hAnsi="黑体" w:eastAsia="黑体" w:cs="黑体"/>
          <w:b w:val="0"/>
          <w:bCs w:val="0"/>
          <w:color w:val="auto"/>
          <w:sz w:val="32"/>
          <w:szCs w:val="32"/>
        </w:rPr>
      </w:pPr>
    </w:p>
    <w:p w14:paraId="422A2F9A">
      <w:pPr>
        <w:keepNext w:val="0"/>
        <w:keepLines w:val="0"/>
        <w:pageBreakBefore w:val="0"/>
        <w:widowControl/>
        <w:kinsoku/>
        <w:wordWrap/>
        <w:overflowPunct/>
        <w:topLinePunct w:val="0"/>
        <w:autoSpaceDE/>
        <w:autoSpaceDN/>
        <w:bidi w:val="0"/>
        <w:adjustRightInd/>
        <w:snapToGrid/>
        <w:spacing w:line="620" w:lineRule="exact"/>
        <w:ind w:left="0" w:firstLine="640" w:firstLineChars="200"/>
        <w:jc w:val="both"/>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lang w:val="en-US" w:eastAsia="zh-CN"/>
        </w:rPr>
        <w:t>一、</w:t>
      </w:r>
      <w:r>
        <w:rPr>
          <w:rFonts w:hint="eastAsia" w:ascii="黑体" w:hAnsi="黑体" w:eastAsia="黑体" w:cs="黑体"/>
          <w:b w:val="0"/>
          <w:bCs/>
          <w:color w:val="auto"/>
          <w:kern w:val="0"/>
          <w:sz w:val="32"/>
          <w:szCs w:val="32"/>
        </w:rPr>
        <w:t>部门职责</w:t>
      </w:r>
    </w:p>
    <w:p w14:paraId="257EFA82">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left="0" w:firstLine="640" w:firstLineChars="200"/>
        <w:jc w:val="both"/>
        <w:textAlignment w:val="auto"/>
        <w:rPr>
          <w:rFonts w:ascii="仿宋" w:hAnsi="仿宋" w:eastAsia="仿宋"/>
          <w:color w:val="auto"/>
          <w:sz w:val="32"/>
          <w:szCs w:val="32"/>
        </w:rPr>
      </w:pPr>
      <w:r>
        <w:rPr>
          <w:rFonts w:hint="eastAsia" w:ascii="仿宋" w:hAnsi="仿宋" w:eastAsia="仿宋"/>
          <w:color w:val="auto"/>
          <w:sz w:val="32"/>
          <w:szCs w:val="32"/>
        </w:rPr>
        <w:t>溆浦县农业农村局主要职责有：</w:t>
      </w:r>
    </w:p>
    <w:p w14:paraId="5B6F1045">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left="0" w:firstLine="640" w:firstLineChars="200"/>
        <w:jc w:val="both"/>
        <w:textAlignment w:val="auto"/>
        <w:rPr>
          <w:rFonts w:hint="eastAsia" w:ascii="仿宋" w:hAnsi="仿宋" w:eastAsia="仿宋"/>
          <w:color w:val="auto"/>
          <w:sz w:val="32"/>
          <w:szCs w:val="32"/>
        </w:rPr>
      </w:pPr>
      <w:r>
        <w:rPr>
          <w:rFonts w:hint="eastAsia" w:ascii="仿宋" w:hAnsi="仿宋" w:eastAsia="仿宋"/>
          <w:color w:val="auto"/>
          <w:sz w:val="32"/>
          <w:szCs w:val="32"/>
        </w:rPr>
        <w:t>1、负责全县农业、农村工作的协调和综合工作，组织研究全县农业、农村发展和改革中的问题，提出农业、农村发展和改革的政策建议，指导农村发展和改革工作。</w:t>
      </w:r>
    </w:p>
    <w:p w14:paraId="03D26071">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left="0" w:firstLine="640" w:firstLineChars="200"/>
        <w:jc w:val="both"/>
        <w:textAlignment w:val="auto"/>
        <w:rPr>
          <w:rFonts w:hint="eastAsia" w:ascii="仿宋" w:hAnsi="仿宋" w:eastAsia="仿宋"/>
          <w:color w:val="auto"/>
          <w:sz w:val="32"/>
          <w:szCs w:val="32"/>
        </w:rPr>
      </w:pPr>
      <w:r>
        <w:rPr>
          <w:rFonts w:hint="eastAsia" w:ascii="仿宋" w:hAnsi="仿宋" w:eastAsia="仿宋"/>
          <w:color w:val="auto"/>
          <w:sz w:val="32"/>
          <w:szCs w:val="32"/>
        </w:rPr>
        <w:t>2、会同有关部门研究提出城乡经济社会发展一体化体制机制改革的建议，指导协调县域经济发展和新农村建设，研究提出县域经济发展和新农村建设的政策与规划建议，参与农村小城镇规划和建议的有关工作，参与农村社会事业发展工作。</w:t>
      </w:r>
    </w:p>
    <w:p w14:paraId="1C32C8FB">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left="0" w:firstLine="640" w:firstLineChars="200"/>
        <w:jc w:val="both"/>
        <w:textAlignment w:val="auto"/>
        <w:rPr>
          <w:rFonts w:hint="eastAsia" w:ascii="仿宋" w:hAnsi="仿宋" w:eastAsia="仿宋"/>
          <w:color w:val="auto"/>
          <w:sz w:val="32"/>
          <w:szCs w:val="32"/>
        </w:rPr>
      </w:pPr>
      <w:r>
        <w:rPr>
          <w:rFonts w:hint="eastAsia" w:ascii="仿宋" w:hAnsi="仿宋" w:eastAsia="仿宋"/>
          <w:color w:val="auto"/>
          <w:sz w:val="32"/>
          <w:szCs w:val="32"/>
        </w:rPr>
        <w:t>3、贯彻执行国家、省、市种植业、畜牧业、渔业、农业机械化、农产品加工业、农垦等农业各产业（以下简称农业）发展的方针政策，拟订全县农业发展的政策和规划并指导实施，参与涉农的财税、价格、金融保险、进出口等政策制定，组织起草农业和农村经济的地方性政策规定草案，推进农业依法行政。</w:t>
      </w:r>
    </w:p>
    <w:p w14:paraId="75FE6C25">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left="0" w:firstLine="640" w:firstLineChars="200"/>
        <w:jc w:val="both"/>
        <w:textAlignment w:val="auto"/>
        <w:rPr>
          <w:rFonts w:hint="eastAsia" w:ascii="仿宋" w:hAnsi="仿宋" w:eastAsia="仿宋"/>
          <w:color w:val="auto"/>
          <w:sz w:val="32"/>
          <w:szCs w:val="32"/>
        </w:rPr>
      </w:pPr>
      <w:r>
        <w:rPr>
          <w:rFonts w:hint="eastAsia" w:ascii="仿宋" w:hAnsi="仿宋" w:eastAsia="仿宋"/>
          <w:color w:val="auto"/>
          <w:sz w:val="32"/>
          <w:szCs w:val="32"/>
        </w:rPr>
        <w:t>4、土地承包、耕地使用权流转和承包纠纷仲裁管理，指导、监督减轻农民负担和村民筹资筹劳管理工作，检查监督惠农政策的落实，指导村级集体经济发展、农村集体经济组织建设和资产财务管理，拟订全县农业产业化经营的发展规划与政策并组织实施，指导、扶持农业社会化服务体系、农村合作经济组织、农民专业合作社和农产品行业协会的建议与发展。</w:t>
      </w:r>
    </w:p>
    <w:p w14:paraId="05A424F1">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left="0" w:firstLine="640" w:firstLineChars="200"/>
        <w:jc w:val="both"/>
        <w:textAlignment w:val="auto"/>
        <w:rPr>
          <w:rFonts w:hint="eastAsia" w:ascii="仿宋" w:hAnsi="仿宋" w:eastAsia="仿宋"/>
          <w:color w:val="auto"/>
          <w:sz w:val="32"/>
          <w:szCs w:val="32"/>
        </w:rPr>
      </w:pPr>
      <w:r>
        <w:rPr>
          <w:rFonts w:hint="eastAsia" w:ascii="仿宋" w:hAnsi="仿宋" w:eastAsia="仿宋"/>
          <w:color w:val="auto"/>
          <w:sz w:val="32"/>
          <w:szCs w:val="32"/>
        </w:rPr>
        <w:t>5、指导粮食等主要农产品生产，组织落实促进粮食等主要农产品生产发展的相关政策措施，引导农业产业结构调整和产品品质改善，会同有关部门指导农业标准化、规模化生产；提出农业固定资产投资规模和方向、县级财政性资金安排的建议，按权限审批、核准规划和计划内固定资产投资项目；编报部门预算并组织执行，提出扶持农业农村发展的财政政策和项目建议，经批准后与财政部门共同制订实施方案并指导实施；拟订农业开发规划并监督实施；配合财政部门组织实施农业综合开发项目。</w:t>
      </w:r>
    </w:p>
    <w:p w14:paraId="03F87D4E">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left="0" w:firstLine="640" w:firstLineChars="200"/>
        <w:jc w:val="both"/>
        <w:textAlignment w:val="auto"/>
        <w:rPr>
          <w:rFonts w:hint="eastAsia" w:ascii="仿宋" w:hAnsi="仿宋" w:eastAsia="仿宋"/>
          <w:color w:val="auto"/>
          <w:sz w:val="32"/>
          <w:szCs w:val="32"/>
        </w:rPr>
      </w:pPr>
      <w:r>
        <w:rPr>
          <w:rFonts w:hint="eastAsia" w:ascii="仿宋" w:hAnsi="仿宋" w:eastAsia="仿宋"/>
          <w:color w:val="auto"/>
          <w:sz w:val="32"/>
          <w:szCs w:val="32"/>
        </w:rPr>
        <w:t>6、促进农业产前、产中、产后一体化发展，组织拟订促进农产品加工业发展政策、规划并组织实施，提出农业产业保护政策建议，指导农产品加工业结构调整、技术创新和服务体系建议；提出促进大宗农产品流通的政策建议，研究制定大宗农产品市场体系建设与发展规划；培育、保护和发展农产品品牌；组织协调“菜篮子”工程。</w:t>
      </w:r>
    </w:p>
    <w:p w14:paraId="4F09782F">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left="0" w:firstLine="640" w:firstLineChars="200"/>
        <w:jc w:val="both"/>
        <w:textAlignment w:val="auto"/>
        <w:rPr>
          <w:rFonts w:hint="eastAsia" w:ascii="仿宋" w:hAnsi="仿宋" w:eastAsia="仿宋"/>
          <w:color w:val="auto"/>
          <w:sz w:val="32"/>
          <w:szCs w:val="32"/>
        </w:rPr>
      </w:pPr>
      <w:r>
        <w:rPr>
          <w:rFonts w:hint="eastAsia" w:ascii="仿宋" w:hAnsi="仿宋" w:eastAsia="仿宋"/>
          <w:color w:val="auto"/>
          <w:sz w:val="32"/>
          <w:szCs w:val="32"/>
        </w:rPr>
        <w:t>7、承担提升农产品质量安全水平的责任，依法开展农产品质量安全风险评估，发布有关农产品质量安全状况信息，负责农产品质量安全监测；贯彻执行农业转基因生物安全评价标准和技术规范，负责农业转基因生物安全监督管理和农业植物新品种保护；会同有关部门贯彻执行农产品质量安全国家标准，参与制定农产品质量安全地方标准并指导实施；指导农业检验检测体系建议和工作考核；依法实施符合安全标准的农产品认证和监督管理；组织农产品质量安全的监督管理；负责畜禽屠宰的监督管理。</w:t>
      </w:r>
    </w:p>
    <w:p w14:paraId="043F8D3C">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left="0" w:firstLine="640" w:firstLineChars="200"/>
        <w:jc w:val="both"/>
        <w:textAlignment w:val="auto"/>
        <w:rPr>
          <w:rFonts w:hint="eastAsia" w:ascii="仿宋" w:hAnsi="仿宋" w:eastAsia="仿宋"/>
          <w:color w:val="auto"/>
          <w:sz w:val="32"/>
          <w:szCs w:val="32"/>
        </w:rPr>
      </w:pPr>
      <w:r>
        <w:rPr>
          <w:rFonts w:hint="eastAsia" w:ascii="仿宋" w:hAnsi="仿宋" w:eastAsia="仿宋"/>
          <w:color w:val="auto"/>
          <w:sz w:val="32"/>
          <w:szCs w:val="32"/>
        </w:rPr>
        <w:t>8、组织、协调农业生产资料市场体系建设，依法开展农作物种子（种苗）、草种、种畜禽、农药、兽药、饲料、饲料添加剂、食用菌菌种的许可及监督管理；贯彻执行兽药质量、兽药残留限量和残留检测方法国家标准；依法负责渔船、渔港、渔机、网具的监督管理，指导渔业安全生产；会同有关部门贯彻执行农业生产资料标准；开展兽医医疗器械和有关肥料的监督管理；指导农业机械化发展和农机安全监理，组织实施农机惠农政策。</w:t>
      </w:r>
    </w:p>
    <w:p w14:paraId="3F6EC929">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left="0" w:firstLine="640" w:firstLineChars="200"/>
        <w:jc w:val="both"/>
        <w:textAlignment w:val="auto"/>
        <w:rPr>
          <w:rFonts w:hint="eastAsia" w:ascii="仿宋" w:hAnsi="仿宋" w:eastAsia="仿宋"/>
          <w:color w:val="auto"/>
          <w:sz w:val="32"/>
          <w:szCs w:val="32"/>
        </w:rPr>
      </w:pPr>
      <w:r>
        <w:rPr>
          <w:rFonts w:hint="eastAsia" w:ascii="仿宋" w:hAnsi="仿宋" w:eastAsia="仿宋"/>
          <w:color w:val="auto"/>
          <w:sz w:val="32"/>
          <w:szCs w:val="32"/>
        </w:rPr>
        <w:t>9、负责农作物重大病虫害防治，贯彻执行国家动植物防疫检疫法律法规和政策，会同有关部门制定地方性动植物防疫政策建议并指导实施，指导动植物防疫和检疫体系建设；组织、监督对市内动植物的防疫检疫工作，发布疫情并组织扑灭；组织植物检疫性有害生物普查；承担境外引进农作物种子（种苗）检疫审批工作；组织兽医医政、兽药药政药检工作；负责执业兽医的管理。</w:t>
      </w:r>
    </w:p>
    <w:p w14:paraId="474D82A2">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left="0" w:firstLine="640" w:firstLineChars="200"/>
        <w:jc w:val="both"/>
        <w:textAlignment w:val="auto"/>
        <w:rPr>
          <w:rFonts w:hint="eastAsia" w:ascii="仿宋" w:hAnsi="仿宋" w:eastAsia="仿宋"/>
          <w:color w:val="auto"/>
          <w:sz w:val="32"/>
          <w:szCs w:val="32"/>
        </w:rPr>
      </w:pPr>
      <w:r>
        <w:rPr>
          <w:rFonts w:hint="eastAsia" w:ascii="仿宋" w:hAnsi="仿宋" w:eastAsia="仿宋"/>
          <w:color w:val="auto"/>
          <w:sz w:val="32"/>
          <w:szCs w:val="32"/>
        </w:rPr>
        <w:t>10、承担农业防灾减灾的责任，监测、发布农业灾情，组织种子、化肥等救灾物资储备和调拨，提出生产救灾资金安排建议，指导紧急救灾和灾后生产恢复。</w:t>
      </w:r>
    </w:p>
    <w:p w14:paraId="2E8084E9">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left="0" w:firstLine="640" w:firstLineChars="200"/>
        <w:jc w:val="both"/>
        <w:textAlignment w:val="auto"/>
        <w:rPr>
          <w:rFonts w:hint="eastAsia" w:ascii="仿宋" w:hAnsi="仿宋" w:eastAsia="仿宋"/>
          <w:color w:val="auto"/>
          <w:sz w:val="32"/>
          <w:szCs w:val="32"/>
        </w:rPr>
      </w:pPr>
      <w:r>
        <w:rPr>
          <w:rFonts w:hint="eastAsia" w:ascii="仿宋" w:hAnsi="仿宋" w:eastAsia="仿宋"/>
          <w:color w:val="auto"/>
          <w:sz w:val="32"/>
          <w:szCs w:val="32"/>
        </w:rPr>
        <w:t>11、管理农业和农村经济信息，监测分析农业、农村经济运行，开展相关农业统计工作；采集、发布农业和农村经济信息，负责农业信息体系建设，指导农业信息服务。</w:t>
      </w:r>
    </w:p>
    <w:p w14:paraId="25CDEBDB">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left="0" w:firstLine="640" w:firstLineChars="200"/>
        <w:jc w:val="both"/>
        <w:textAlignment w:val="auto"/>
        <w:rPr>
          <w:rFonts w:hint="eastAsia" w:ascii="仿宋" w:hAnsi="仿宋" w:eastAsia="仿宋"/>
          <w:color w:val="auto"/>
          <w:sz w:val="32"/>
          <w:szCs w:val="32"/>
        </w:rPr>
      </w:pPr>
      <w:r>
        <w:rPr>
          <w:rFonts w:hint="eastAsia" w:ascii="仿宋" w:hAnsi="仿宋" w:eastAsia="仿宋"/>
          <w:color w:val="auto"/>
          <w:sz w:val="32"/>
          <w:szCs w:val="32"/>
        </w:rPr>
        <w:t>12、制定农业科研、农技推广的规划、计划和有关政策并指导实施；会同有关部门组织全县农业科技创新和农业产业技术体系建设，会同有关部门实施科教兴农战略，按分工组织实施农业科研重大专项；组织实施农业领域的高新技术和应用技术研究、农业科技成果转化和技术推广；负责农业科技成果管理，组织引进境外农业先进技术，指导农技推广体系改革与建设。</w:t>
      </w:r>
    </w:p>
    <w:p w14:paraId="43B55754">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left="0" w:firstLine="640" w:firstLineChars="200"/>
        <w:jc w:val="both"/>
        <w:textAlignment w:val="auto"/>
        <w:rPr>
          <w:rFonts w:hint="eastAsia" w:ascii="仿宋" w:hAnsi="仿宋" w:eastAsia="仿宋"/>
          <w:color w:val="auto"/>
          <w:sz w:val="32"/>
          <w:szCs w:val="32"/>
        </w:rPr>
      </w:pPr>
      <w:r>
        <w:rPr>
          <w:rFonts w:hint="eastAsia" w:ascii="仿宋" w:hAnsi="仿宋" w:eastAsia="仿宋"/>
          <w:color w:val="auto"/>
          <w:sz w:val="32"/>
          <w:szCs w:val="32"/>
        </w:rPr>
        <w:t>13、会同有关部门拟订农业农村人才队伍建设规划并组织实施，指导协调农民教育培训，指导农业教育和农业职业技能开发工作，参与实施农村实用人才培训工程，承担农村劳动力就地就近就业培训工作，会同有关主管部门依法实施农业农村人才专业技术资格和从业资格管理。</w:t>
      </w:r>
    </w:p>
    <w:p w14:paraId="13DB5800">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left="0" w:firstLine="640" w:firstLineChars="200"/>
        <w:jc w:val="both"/>
        <w:textAlignment w:val="auto"/>
        <w:rPr>
          <w:rFonts w:hint="eastAsia" w:ascii="仿宋" w:hAnsi="仿宋" w:eastAsia="仿宋"/>
          <w:color w:val="auto"/>
          <w:sz w:val="32"/>
          <w:szCs w:val="32"/>
        </w:rPr>
      </w:pPr>
      <w:r>
        <w:rPr>
          <w:rFonts w:hint="eastAsia" w:ascii="仿宋" w:hAnsi="仿宋" w:eastAsia="仿宋"/>
          <w:color w:val="auto"/>
          <w:sz w:val="32"/>
          <w:szCs w:val="32"/>
        </w:rPr>
        <w:t>14、组织农业资源区划工作，指导农用地、渔业水域、草原、宜农滩涂、宜农湿地以及农业生物物种资源的保护和管理，负责水生野生动植物保护工作；拟订耕地及基本农田质量保护与改良政策并指导实施，依法管理耕地质量，发展节水农业。</w:t>
      </w:r>
    </w:p>
    <w:p w14:paraId="76B6DE4C">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left="0" w:firstLine="640" w:firstLineChars="200"/>
        <w:jc w:val="both"/>
        <w:textAlignment w:val="auto"/>
        <w:rPr>
          <w:rFonts w:hint="eastAsia" w:ascii="仿宋" w:hAnsi="仿宋" w:eastAsia="仿宋"/>
          <w:color w:val="auto"/>
          <w:sz w:val="32"/>
          <w:szCs w:val="32"/>
        </w:rPr>
      </w:pPr>
      <w:r>
        <w:rPr>
          <w:rFonts w:hint="eastAsia" w:ascii="仿宋" w:hAnsi="仿宋" w:eastAsia="仿宋"/>
          <w:color w:val="auto"/>
          <w:sz w:val="32"/>
          <w:szCs w:val="32"/>
        </w:rPr>
        <w:t>15、制定并实施农业生态建设规划，指导农村可再生能源综合开发与利用，指导农业生物质产业发展和农业农业村节能减排，承担指导农业面源污染治理有关工作；划定农产品禁止生产区域，指导生态农业、循环农业等发展；负责保护渔业水域生态环境；牵头管理外来物种。</w:t>
      </w:r>
    </w:p>
    <w:p w14:paraId="051A0690">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left="0" w:firstLine="640" w:firstLineChars="200"/>
        <w:jc w:val="both"/>
        <w:textAlignment w:val="auto"/>
        <w:rPr>
          <w:rFonts w:hint="eastAsia" w:ascii="仿宋" w:hAnsi="仿宋" w:eastAsia="仿宋"/>
          <w:color w:val="auto"/>
          <w:sz w:val="32"/>
          <w:szCs w:val="32"/>
        </w:rPr>
      </w:pPr>
      <w:r>
        <w:rPr>
          <w:rFonts w:hint="eastAsia" w:ascii="仿宋" w:hAnsi="仿宋" w:eastAsia="仿宋"/>
          <w:color w:val="auto"/>
          <w:sz w:val="32"/>
          <w:szCs w:val="32"/>
        </w:rPr>
        <w:t>16、参与组织开展农业贸易促进和有关经济、技术交流与合作，协助有关部门组织实施农业援外项目。</w:t>
      </w:r>
    </w:p>
    <w:p w14:paraId="6469330D">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left="0" w:firstLine="640" w:firstLineChars="200"/>
        <w:jc w:val="both"/>
        <w:textAlignment w:val="auto"/>
        <w:rPr>
          <w:rFonts w:ascii="仿宋" w:hAnsi="仿宋" w:eastAsia="仿宋"/>
          <w:color w:val="auto"/>
          <w:sz w:val="32"/>
          <w:szCs w:val="32"/>
        </w:rPr>
      </w:pPr>
      <w:r>
        <w:rPr>
          <w:rFonts w:hint="eastAsia" w:ascii="仿宋" w:hAnsi="仿宋" w:eastAsia="仿宋"/>
          <w:color w:val="auto"/>
          <w:sz w:val="32"/>
          <w:szCs w:val="32"/>
        </w:rPr>
        <w:t>17、承办县委、县人民政府交办的其他事项。</w:t>
      </w:r>
    </w:p>
    <w:p w14:paraId="609522FA">
      <w:pPr>
        <w:keepNext w:val="0"/>
        <w:keepLines w:val="0"/>
        <w:pageBreakBefore w:val="0"/>
        <w:widowControl/>
        <w:kinsoku/>
        <w:wordWrap/>
        <w:overflowPunct/>
        <w:topLinePunct w:val="0"/>
        <w:autoSpaceDE/>
        <w:autoSpaceDN/>
        <w:bidi w:val="0"/>
        <w:adjustRightInd/>
        <w:snapToGrid/>
        <w:spacing w:line="620" w:lineRule="exact"/>
        <w:ind w:left="0" w:firstLine="640" w:firstLineChars="200"/>
        <w:jc w:val="both"/>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二、机构设置及决算单位构成</w:t>
      </w:r>
    </w:p>
    <w:p w14:paraId="24999B2C">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left="0" w:firstLine="643" w:firstLineChars="200"/>
        <w:jc w:val="both"/>
        <w:textAlignment w:val="auto"/>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rPr>
        <w:t>（一）内设机构设置。</w:t>
      </w:r>
    </w:p>
    <w:p w14:paraId="027E757D">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left="0" w:firstLine="640" w:firstLineChars="200"/>
        <w:jc w:val="both"/>
        <w:textAlignment w:val="auto"/>
        <w:rPr>
          <w:rFonts w:ascii="仿宋" w:hAnsi="仿宋" w:eastAsia="仿宋"/>
          <w:color w:val="auto"/>
          <w:sz w:val="32"/>
          <w:szCs w:val="32"/>
        </w:rPr>
      </w:pPr>
      <w:r>
        <w:rPr>
          <w:rFonts w:hint="eastAsia" w:ascii="仿宋" w:hAnsi="仿宋" w:eastAsia="仿宋"/>
          <w:color w:val="auto"/>
          <w:sz w:val="32"/>
          <w:szCs w:val="32"/>
        </w:rPr>
        <w:t>溆浦县农业农村局系溆浦县人民政府直属职能机构，内设10个机构，分别是办公室、综合调研股、人事股、财务股、乡村产业发展股、农村社会事业促进股、农产品质量安全监管股、种植业管理股、养殖业管理股、农田建设和农业机械化管理股。下辖二级机构7个，分别是：正科级全额拨款事业单位溆浦县农业技术推广中心；股级行政单位：溆浦县农村能源办；股级全额拨款事业单位：溆浦县农民素质教育中心，溆浦县种子管理站、溆浦县蔬菜办、溆浦县农产品质量安全检验检测站、溆浦县农业资源保护与利用站。行政事业编制数</w:t>
      </w:r>
      <w:r>
        <w:rPr>
          <w:rFonts w:hint="eastAsia" w:ascii="仿宋" w:hAnsi="仿宋" w:eastAsia="仿宋"/>
          <w:color w:val="auto"/>
          <w:sz w:val="32"/>
          <w:szCs w:val="32"/>
          <w:lang w:val="en-US" w:eastAsia="zh-CN"/>
        </w:rPr>
        <w:t>151</w:t>
      </w:r>
      <w:r>
        <w:rPr>
          <w:rFonts w:hint="eastAsia" w:ascii="仿宋" w:hAnsi="仿宋" w:eastAsia="仿宋"/>
          <w:color w:val="auto"/>
          <w:sz w:val="32"/>
          <w:szCs w:val="32"/>
        </w:rPr>
        <w:t>个，实有在职人员</w:t>
      </w:r>
      <w:r>
        <w:rPr>
          <w:rFonts w:hint="eastAsia" w:ascii="仿宋" w:hAnsi="仿宋" w:eastAsia="仿宋"/>
          <w:color w:val="auto"/>
          <w:sz w:val="32"/>
          <w:szCs w:val="32"/>
          <w:lang w:val="en-US" w:eastAsia="zh-CN"/>
        </w:rPr>
        <w:t>131</w:t>
      </w:r>
      <w:r>
        <w:rPr>
          <w:rFonts w:hint="eastAsia" w:ascii="仿宋" w:hAnsi="仿宋" w:eastAsia="仿宋"/>
          <w:color w:val="auto"/>
          <w:sz w:val="32"/>
          <w:szCs w:val="32"/>
        </w:rPr>
        <w:t>人</w:t>
      </w:r>
      <w:r>
        <w:rPr>
          <w:rFonts w:hint="eastAsia" w:ascii="仿宋" w:hAnsi="仿宋" w:eastAsia="仿宋"/>
          <w:color w:val="auto"/>
          <w:sz w:val="32"/>
          <w:szCs w:val="32"/>
          <w:lang w:val="en-US" w:eastAsia="zh-CN"/>
        </w:rPr>
        <w:t>,离</w:t>
      </w:r>
      <w:r>
        <w:rPr>
          <w:rFonts w:hint="eastAsia" w:ascii="仿宋" w:hAnsi="仿宋" w:eastAsia="仿宋"/>
          <w:color w:val="auto"/>
          <w:sz w:val="32"/>
          <w:szCs w:val="32"/>
        </w:rPr>
        <w:t>退休干部1</w:t>
      </w:r>
      <w:r>
        <w:rPr>
          <w:rFonts w:hint="eastAsia" w:ascii="仿宋" w:hAnsi="仿宋" w:eastAsia="仿宋"/>
          <w:color w:val="auto"/>
          <w:sz w:val="32"/>
          <w:szCs w:val="32"/>
          <w:lang w:val="en-US" w:eastAsia="zh-CN"/>
        </w:rPr>
        <w:t>11</w:t>
      </w:r>
      <w:r>
        <w:rPr>
          <w:rFonts w:hint="eastAsia" w:ascii="仿宋" w:hAnsi="仿宋" w:eastAsia="仿宋"/>
          <w:color w:val="auto"/>
          <w:sz w:val="32"/>
          <w:szCs w:val="32"/>
        </w:rPr>
        <w:t>人。</w:t>
      </w:r>
    </w:p>
    <w:p w14:paraId="4818B551">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left="0" w:firstLine="643" w:firstLineChars="200"/>
        <w:jc w:val="both"/>
        <w:textAlignment w:val="auto"/>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rPr>
        <w:t>（二）决算单位构成。</w:t>
      </w:r>
    </w:p>
    <w:p w14:paraId="774E7A7F">
      <w:pPr>
        <w:keepNext w:val="0"/>
        <w:keepLines w:val="0"/>
        <w:pageBreakBefore w:val="0"/>
        <w:widowControl/>
        <w:kinsoku/>
        <w:wordWrap/>
        <w:overflowPunct/>
        <w:topLinePunct w:val="0"/>
        <w:autoSpaceDE/>
        <w:autoSpaceDN/>
        <w:bidi w:val="0"/>
        <w:adjustRightInd/>
        <w:snapToGrid/>
        <w:spacing w:line="620" w:lineRule="exact"/>
        <w:ind w:left="0" w:firstLine="640" w:firstLineChars="200"/>
        <w:jc w:val="both"/>
        <w:textAlignment w:val="auto"/>
        <w:rPr>
          <w:rFonts w:ascii="黑体" w:hAnsi="黑体" w:eastAsia="黑体"/>
          <w:color w:val="auto"/>
          <w:sz w:val="32"/>
          <w:szCs w:val="32"/>
        </w:rPr>
      </w:pPr>
      <w:r>
        <w:rPr>
          <w:rFonts w:hint="eastAsia" w:ascii="仿宋" w:hAnsi="仿宋" w:eastAsia="仿宋" w:cs="仿宋"/>
          <w:bCs/>
          <w:color w:val="auto"/>
          <w:kern w:val="0"/>
          <w:sz w:val="32"/>
          <w:szCs w:val="32"/>
        </w:rPr>
        <w:t>溆浦县农业农村局20</w:t>
      </w:r>
      <w:r>
        <w:rPr>
          <w:rFonts w:hint="eastAsia" w:ascii="仿宋" w:hAnsi="仿宋" w:eastAsia="仿宋" w:cs="仿宋"/>
          <w:bCs/>
          <w:color w:val="auto"/>
          <w:kern w:val="0"/>
          <w:sz w:val="32"/>
          <w:szCs w:val="32"/>
          <w:lang w:val="en-US" w:eastAsia="zh-CN"/>
        </w:rPr>
        <w:t>24</w:t>
      </w:r>
      <w:r>
        <w:rPr>
          <w:rFonts w:hint="eastAsia" w:ascii="仿宋" w:hAnsi="仿宋" w:eastAsia="仿宋" w:cs="仿宋"/>
          <w:bCs/>
          <w:color w:val="auto"/>
          <w:kern w:val="0"/>
          <w:sz w:val="32"/>
          <w:szCs w:val="32"/>
        </w:rPr>
        <w:t>年部门决算汇总公开单位构成包括：溆浦县农业农村局本级。</w:t>
      </w:r>
    </w:p>
    <w:p w14:paraId="167B940B">
      <w:pPr>
        <w:jc w:val="both"/>
        <w:rPr>
          <w:color w:val="auto"/>
          <w:sz w:val="72"/>
          <w:szCs w:val="72"/>
        </w:rPr>
      </w:pPr>
    </w:p>
    <w:p w14:paraId="355D13C8">
      <w:pPr>
        <w:pStyle w:val="16"/>
        <w:jc w:val="center"/>
        <w:rPr>
          <w:rFonts w:hint="eastAsia" w:ascii="方正小标宋_GBK" w:hAnsi="方正小标宋_GBK" w:eastAsia="方正小标宋_GBK" w:cs="方正小标宋_GBK"/>
          <w:color w:val="auto"/>
          <w:sz w:val="84"/>
          <w:szCs w:val="84"/>
        </w:rPr>
      </w:pPr>
    </w:p>
    <w:p w14:paraId="4561B3C2">
      <w:pPr>
        <w:pStyle w:val="16"/>
        <w:jc w:val="center"/>
        <w:rPr>
          <w:rFonts w:hint="eastAsia" w:ascii="方正小标宋_GBK" w:hAnsi="方正小标宋_GBK" w:eastAsia="方正小标宋_GBK" w:cs="方正小标宋_GBK"/>
          <w:color w:val="auto"/>
          <w:sz w:val="84"/>
          <w:szCs w:val="84"/>
        </w:rPr>
      </w:pPr>
      <w:r>
        <w:rPr>
          <w:rFonts w:hint="eastAsia" w:ascii="方正小标宋_GBK" w:hAnsi="方正小标宋_GBK" w:eastAsia="方正小标宋_GBK" w:cs="方正小标宋_GBK"/>
          <w:color w:val="auto"/>
          <w:sz w:val="84"/>
          <w:szCs w:val="84"/>
        </w:rPr>
        <w:t>第二部分</w:t>
      </w:r>
    </w:p>
    <w:p w14:paraId="30AF37EB">
      <w:pPr>
        <w:pStyle w:val="16"/>
        <w:jc w:val="center"/>
        <w:rPr>
          <w:rFonts w:hint="eastAsia" w:ascii="方正小标宋_GBK" w:hAnsi="方正小标宋_GBK" w:eastAsia="方正小标宋_GBK" w:cs="方正小标宋_GBK"/>
          <w:color w:val="auto"/>
          <w:sz w:val="84"/>
          <w:szCs w:val="84"/>
        </w:rPr>
      </w:pPr>
      <w:r>
        <w:rPr>
          <w:rFonts w:hint="eastAsia" w:ascii="方正小标宋_GBK" w:hAnsi="方正小标宋_GBK" w:eastAsia="方正小标宋_GBK" w:cs="方正小标宋_GBK"/>
          <w:color w:val="auto"/>
          <w:sz w:val="84"/>
          <w:szCs w:val="84"/>
        </w:rPr>
        <w:t>部门决算表</w:t>
      </w:r>
    </w:p>
    <w:p w14:paraId="7C3E3420">
      <w:pPr>
        <w:widowControl/>
        <w:jc w:val="center"/>
        <w:rPr>
          <w:rFonts w:hint="eastAsia" w:ascii="Times New Roman" w:hAnsi="Times New Roman" w:eastAsia="方正小标宋_GBK" w:cs="Times New Roman"/>
          <w:color w:val="auto"/>
          <w:kern w:val="0"/>
          <w:sz w:val="36"/>
          <w:szCs w:val="36"/>
        </w:rPr>
      </w:pPr>
    </w:p>
    <w:p w14:paraId="2EFE6A1A">
      <w:pPr>
        <w:widowControl/>
        <w:jc w:val="both"/>
        <w:rPr>
          <w:rFonts w:hint="eastAsia" w:ascii="Times New Roman" w:hAnsi="Times New Roman" w:eastAsia="方正小标宋_GBK" w:cs="Times New Roman"/>
          <w:color w:val="auto"/>
          <w:kern w:val="0"/>
          <w:sz w:val="36"/>
          <w:szCs w:val="36"/>
          <w:lang w:eastAsia="zh-CN"/>
        </w:rPr>
      </w:pPr>
    </w:p>
    <w:p w14:paraId="1AB922D3">
      <w:pPr>
        <w:widowControl/>
        <w:jc w:val="both"/>
        <w:rPr>
          <w:rFonts w:hint="eastAsia" w:ascii="Times New Roman" w:hAnsi="Times New Roman" w:eastAsia="方正小标宋_GBK" w:cs="Times New Roman"/>
          <w:color w:val="auto"/>
          <w:kern w:val="0"/>
          <w:sz w:val="36"/>
          <w:szCs w:val="36"/>
          <w:lang w:eastAsia="zh-CN"/>
        </w:rPr>
      </w:pPr>
    </w:p>
    <w:p w14:paraId="7EECDB7D">
      <w:pPr>
        <w:widowControl/>
        <w:jc w:val="both"/>
        <w:rPr>
          <w:rFonts w:hint="eastAsia" w:ascii="Times New Roman" w:hAnsi="Times New Roman" w:eastAsia="方正小标宋_GBK" w:cs="Times New Roman"/>
          <w:color w:val="auto"/>
          <w:kern w:val="0"/>
          <w:sz w:val="36"/>
          <w:szCs w:val="36"/>
        </w:rPr>
      </w:pPr>
    </w:p>
    <w:p w14:paraId="5A699356">
      <w:pPr>
        <w:widowControl/>
        <w:jc w:val="both"/>
        <w:rPr>
          <w:rFonts w:hint="eastAsia" w:ascii="Times New Roman" w:hAnsi="Times New Roman" w:eastAsia="方正小标宋_GBK" w:cs="Times New Roman"/>
          <w:color w:val="auto"/>
          <w:kern w:val="0"/>
          <w:sz w:val="36"/>
          <w:szCs w:val="36"/>
        </w:rPr>
      </w:pPr>
    </w:p>
    <w:p w14:paraId="2C05E57D">
      <w:pPr>
        <w:widowControl/>
        <w:jc w:val="both"/>
        <w:rPr>
          <w:rFonts w:hint="eastAsia" w:ascii="Times New Roman" w:hAnsi="Times New Roman" w:eastAsia="方正小标宋_GBK" w:cs="Times New Roman"/>
          <w:color w:val="auto"/>
          <w:kern w:val="0"/>
          <w:sz w:val="36"/>
          <w:szCs w:val="36"/>
          <w:lang w:eastAsia="zh-CN"/>
        </w:rPr>
      </w:pPr>
    </w:p>
    <w:p w14:paraId="485737AB">
      <w:pPr>
        <w:widowControl/>
        <w:jc w:val="both"/>
        <w:rPr>
          <w:rFonts w:hint="eastAsia" w:ascii="Times New Roman" w:hAnsi="Times New Roman" w:eastAsia="方正小标宋_GBK" w:cs="Times New Roman"/>
          <w:color w:val="auto"/>
          <w:kern w:val="0"/>
          <w:sz w:val="36"/>
          <w:szCs w:val="36"/>
          <w:lang w:eastAsia="zh-CN"/>
        </w:rPr>
      </w:pPr>
    </w:p>
    <w:p w14:paraId="28F584C9">
      <w:pPr>
        <w:widowControl/>
        <w:jc w:val="left"/>
        <w:rPr>
          <w:rFonts w:hint="eastAsia" w:ascii="Times New Roman" w:hAnsi="Times New Roman" w:eastAsia="方正小标宋_GBK" w:cs="Times New Roman"/>
          <w:color w:val="auto"/>
          <w:kern w:val="0"/>
          <w:sz w:val="36"/>
          <w:szCs w:val="36"/>
          <w:lang w:eastAsia="zh-CN"/>
        </w:rPr>
      </w:pPr>
    </w:p>
    <w:p w14:paraId="25F3191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收入支出决算总表</w:t>
      </w:r>
    </w:p>
    <w:tbl>
      <w:tblPr>
        <w:tblStyle w:val="11"/>
        <w:tblW w:w="145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77"/>
        <w:gridCol w:w="839"/>
        <w:gridCol w:w="1542"/>
        <w:gridCol w:w="4496"/>
        <w:gridCol w:w="839"/>
        <w:gridCol w:w="2067"/>
      </w:tblGrid>
      <w:tr w14:paraId="0EF4F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trPr>
        <w:tc>
          <w:tcPr>
            <w:tcW w:w="0" w:type="auto"/>
            <w:tcBorders>
              <w:bottom w:val="single" w:color="auto" w:sz="4" w:space="0"/>
            </w:tcBorders>
            <w:shd w:val="clear" w:color="auto" w:fill="auto"/>
            <w:noWrap/>
            <w:vAlign w:val="center"/>
          </w:tcPr>
          <w:p w14:paraId="113CBFED">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2"/>
                <w:szCs w:val="22"/>
                <w:u w:val="none"/>
              </w:rPr>
            </w:pPr>
          </w:p>
        </w:tc>
        <w:tc>
          <w:tcPr>
            <w:tcW w:w="0" w:type="auto"/>
            <w:tcBorders>
              <w:bottom w:val="single" w:color="auto" w:sz="4" w:space="0"/>
            </w:tcBorders>
            <w:shd w:val="clear" w:color="auto" w:fill="auto"/>
            <w:noWrap/>
            <w:vAlign w:val="center"/>
          </w:tcPr>
          <w:p w14:paraId="0F8C3452">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2"/>
                <w:szCs w:val="22"/>
                <w:u w:val="none"/>
              </w:rPr>
            </w:pPr>
          </w:p>
        </w:tc>
        <w:tc>
          <w:tcPr>
            <w:tcW w:w="0" w:type="auto"/>
            <w:tcBorders>
              <w:bottom w:val="single" w:color="auto" w:sz="4" w:space="0"/>
            </w:tcBorders>
            <w:shd w:val="clear" w:color="auto" w:fill="auto"/>
            <w:noWrap/>
            <w:vAlign w:val="center"/>
          </w:tcPr>
          <w:p w14:paraId="7A6228D1">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2"/>
                <w:szCs w:val="22"/>
                <w:u w:val="none"/>
              </w:rPr>
            </w:pPr>
          </w:p>
        </w:tc>
        <w:tc>
          <w:tcPr>
            <w:tcW w:w="0" w:type="auto"/>
            <w:tcBorders>
              <w:bottom w:val="single" w:color="auto" w:sz="4" w:space="0"/>
            </w:tcBorders>
            <w:shd w:val="clear" w:color="auto" w:fill="auto"/>
            <w:noWrap/>
            <w:vAlign w:val="center"/>
          </w:tcPr>
          <w:p w14:paraId="5DFFF819">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2"/>
                <w:szCs w:val="22"/>
                <w:u w:val="none"/>
              </w:rPr>
            </w:pPr>
          </w:p>
        </w:tc>
        <w:tc>
          <w:tcPr>
            <w:tcW w:w="0" w:type="auto"/>
            <w:tcBorders>
              <w:bottom w:val="single" w:color="auto" w:sz="4" w:space="0"/>
            </w:tcBorders>
            <w:shd w:val="clear" w:color="auto" w:fill="auto"/>
            <w:noWrap/>
            <w:vAlign w:val="center"/>
          </w:tcPr>
          <w:p w14:paraId="346B1D23">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2"/>
                <w:szCs w:val="22"/>
                <w:u w:val="none"/>
              </w:rPr>
            </w:pPr>
          </w:p>
        </w:tc>
        <w:tc>
          <w:tcPr>
            <w:tcW w:w="0" w:type="auto"/>
            <w:tcBorders>
              <w:bottom w:val="single" w:color="auto" w:sz="4" w:space="0"/>
            </w:tcBorders>
            <w:shd w:val="clear" w:color="auto" w:fill="auto"/>
            <w:noWrap/>
            <w:vAlign w:val="bottom"/>
          </w:tcPr>
          <w:p w14:paraId="711C7188">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14:paraId="568E7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14:paraId="560561F5">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部门：溆浦县农业农村局</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B2B8794">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79616E1">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6A2A17D">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87C23C9">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14:paraId="464E75DB">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691DB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224DC1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6F7167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14:paraId="610E5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9C1AE5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F931F6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531B31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718B25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086BF8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2807B8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14:paraId="5BB56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E3C98D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6708E76">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9B2958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919125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20AA7CF">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6CD407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05E4F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A8701C7">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A38E9C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6864CB4">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27,999.46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A2BCB75">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C87997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BBF72AA">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61.25</w:t>
            </w:r>
          </w:p>
        </w:tc>
      </w:tr>
      <w:tr w14:paraId="49467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4D43AE0">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58FC62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35DC9A7">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3,142.51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567591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493E8C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05C97C1">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2"/>
                <w:szCs w:val="22"/>
                <w:u w:val="none"/>
              </w:rPr>
            </w:pPr>
          </w:p>
        </w:tc>
      </w:tr>
      <w:tr w14:paraId="55030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00646BC">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466297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735A1D0">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4218F2C">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8D2520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4C01B21">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2"/>
                <w:szCs w:val="22"/>
                <w:u w:val="none"/>
              </w:rPr>
            </w:pPr>
          </w:p>
        </w:tc>
      </w:tr>
      <w:tr w14:paraId="766E1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DED1C16">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3DFA71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71F0F56">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28D115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3CCEEC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01F1F89">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2"/>
                <w:szCs w:val="22"/>
                <w:u w:val="none"/>
              </w:rPr>
            </w:pPr>
          </w:p>
        </w:tc>
      </w:tr>
      <w:tr w14:paraId="7F5F4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17390EF">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483E44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F3CC0FB">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4254FDA">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C67749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DB58C04">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2"/>
                <w:szCs w:val="22"/>
                <w:u w:val="none"/>
              </w:rPr>
            </w:pPr>
          </w:p>
        </w:tc>
      </w:tr>
      <w:tr w14:paraId="69995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4DF317D">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727CFD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4738DAA">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7BB0A16">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7A0A9C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A296B68">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2"/>
                <w:szCs w:val="22"/>
                <w:u w:val="none"/>
              </w:rPr>
            </w:pPr>
          </w:p>
        </w:tc>
      </w:tr>
      <w:tr w14:paraId="31831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E195947">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C24EBE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03E4C35">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B7637FE">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EEA7D0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10FFB05">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2"/>
                <w:szCs w:val="22"/>
                <w:u w:val="none"/>
              </w:rPr>
            </w:pPr>
          </w:p>
        </w:tc>
      </w:tr>
      <w:tr w14:paraId="2D230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E169E81">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249ACA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DE4B5C0">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A316125">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BF7744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1EB8FAA">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958.55</w:t>
            </w:r>
          </w:p>
        </w:tc>
      </w:tr>
      <w:tr w14:paraId="43586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8F6C551">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87C7DC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DC1A979">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1627A20">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27153B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A6BCF60">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77.80</w:t>
            </w:r>
          </w:p>
        </w:tc>
      </w:tr>
      <w:tr w14:paraId="3AFA9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FE9755D">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B24BB8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758D966">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53FD99C">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DC4855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06607B2">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w:t>
            </w:r>
          </w:p>
        </w:tc>
      </w:tr>
      <w:tr w14:paraId="477FD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3E9D8D6">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A78386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2A4EDF5">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15658D9">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17795D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5DB52B7">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2"/>
                <w:szCs w:val="22"/>
                <w:u w:val="none"/>
              </w:rPr>
            </w:pPr>
          </w:p>
        </w:tc>
      </w:tr>
      <w:tr w14:paraId="38113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01ADC5A">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6C7FC2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8561EF7">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165A036">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7884D5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2FBFEC6">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25,760.53</w:t>
            </w:r>
          </w:p>
        </w:tc>
      </w:tr>
      <w:tr w14:paraId="11716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15CE90D">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59DCD1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3B9DDD5">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34E483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507E91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843BC98">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2"/>
                <w:szCs w:val="22"/>
                <w:u w:val="none"/>
              </w:rPr>
            </w:pPr>
          </w:p>
        </w:tc>
      </w:tr>
      <w:tr w14:paraId="7A3A5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FF4E556">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805F14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511B6B6">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9EEAE67">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8F3B6D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C4CBB80">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2"/>
                <w:szCs w:val="22"/>
                <w:u w:val="none"/>
              </w:rPr>
            </w:pPr>
          </w:p>
        </w:tc>
      </w:tr>
      <w:tr w14:paraId="0AFA3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E528779">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D7F07F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2629BD3">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CD7246F">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EF4035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198A58B">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r>
      <w:tr w14:paraId="5D108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E1FC070">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A4ED28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FE35E50">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8F2D76C">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EAE5B8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2963E03">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r>
      <w:tr w14:paraId="4156B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838F301">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7A3642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E707FBE">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06117BF">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413E68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E75E066">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2"/>
                <w:szCs w:val="22"/>
                <w:u w:val="none"/>
              </w:rPr>
            </w:pPr>
          </w:p>
        </w:tc>
      </w:tr>
      <w:tr w14:paraId="43F7A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F0B0816">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83013D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5758D7A">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11D2DD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8B3692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0AF960B">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2"/>
                <w:szCs w:val="22"/>
                <w:u w:val="none"/>
              </w:rPr>
            </w:pPr>
          </w:p>
        </w:tc>
      </w:tr>
      <w:tr w14:paraId="0F820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4DE1967">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E21445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609142D">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F7E8020">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1EF0AC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8A480E1">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76.36</w:t>
            </w:r>
          </w:p>
        </w:tc>
      </w:tr>
      <w:tr w14:paraId="1B87E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8CE7EC9">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305B53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C34F332">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ACB0C83">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C97DE8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8D8062F">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1,040.90</w:t>
            </w:r>
          </w:p>
        </w:tc>
      </w:tr>
      <w:tr w14:paraId="7FB2E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1AEA2C6">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8827BF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1EE1F6D">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9AB5B15">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E044EF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F93FCE1">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2"/>
                <w:szCs w:val="22"/>
                <w:u w:val="none"/>
              </w:rPr>
            </w:pPr>
          </w:p>
        </w:tc>
      </w:tr>
      <w:tr w14:paraId="760C4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8DF2B6F">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35C6E9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FE71735">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9839FA5">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AC19F2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38BD241">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2"/>
                <w:szCs w:val="22"/>
                <w:u w:val="none"/>
              </w:rPr>
            </w:pPr>
          </w:p>
        </w:tc>
      </w:tr>
      <w:tr w14:paraId="544C7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CE3A247">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9FA323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19C80E9">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52CDA96">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7F586C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C943877">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3,142.51</w:t>
            </w:r>
          </w:p>
        </w:tc>
      </w:tr>
      <w:tr w14:paraId="36FFA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E6A00E4">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i w:val="0"/>
                <w:iCs w:val="0"/>
                <w:color w:val="000000"/>
                <w:sz w:val="20"/>
                <w:szCs w:val="20"/>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3A8A9F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B644AAF">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0"/>
                <w:szCs w:val="20"/>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89FE4C6">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B83DFD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213906D">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2"/>
                <w:szCs w:val="22"/>
                <w:u w:val="none"/>
              </w:rPr>
            </w:pPr>
          </w:p>
        </w:tc>
      </w:tr>
      <w:tr w14:paraId="2275D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8F76675">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C1DA35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CC7056D">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0"/>
                <w:szCs w:val="20"/>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2AC04C3">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6C78CE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885914A">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2"/>
                <w:szCs w:val="22"/>
                <w:u w:val="none"/>
              </w:rPr>
            </w:pPr>
          </w:p>
        </w:tc>
      </w:tr>
      <w:tr w14:paraId="5EEC1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0016998">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0"/>
                <w:szCs w:val="20"/>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96FA70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1AD8B3D">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0"/>
                <w:szCs w:val="20"/>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7AEA515">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0C7DA6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2B85CB7">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2"/>
                <w:szCs w:val="22"/>
                <w:u w:val="none"/>
              </w:rPr>
            </w:pPr>
          </w:p>
        </w:tc>
      </w:tr>
      <w:tr w14:paraId="7D9C4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F9C3F4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981F31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831AFA9">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31,141.96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16839F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BB8464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520F9D2">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31,141.96</w:t>
            </w:r>
          </w:p>
        </w:tc>
      </w:tr>
      <w:tr w14:paraId="709C7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9DF85BB">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AE319F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211A72E">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5EC366B">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32FDDE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5627C1A">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2"/>
                <w:szCs w:val="22"/>
                <w:u w:val="none"/>
              </w:rPr>
            </w:pPr>
          </w:p>
        </w:tc>
      </w:tr>
      <w:tr w14:paraId="511D1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13403D6">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A8D2C2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A192F7E">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C2145D7">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390E79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D339D88">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56A0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D2CA7F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A0AE85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6A3464C">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31,141.96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6B84E6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1F228D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7CCB8CA">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31,141.96</w:t>
            </w:r>
          </w:p>
        </w:tc>
      </w:tr>
    </w:tbl>
    <w:p w14:paraId="20D71E4A">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p w14:paraId="47FFACAD">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p w14:paraId="302C5A08">
      <w:pPr>
        <w:rPr>
          <w:rFonts w:hint="eastAsia" w:ascii="方正小标宋_GBK" w:hAnsi="方正小标宋_GBK" w:eastAsia="方正小标宋_GBK" w:cs="方正小标宋_GBK"/>
          <w:color w:val="auto"/>
          <w:sz w:val="72"/>
          <w:szCs w:val="72"/>
        </w:rPr>
      </w:pPr>
      <w:r>
        <w:rPr>
          <w:rFonts w:hint="eastAsia" w:ascii="方正小标宋_GBK" w:hAnsi="方正小标宋_GBK" w:eastAsia="方正小标宋_GBK" w:cs="方正小标宋_GBK"/>
          <w:color w:val="auto"/>
          <w:sz w:val="72"/>
          <w:szCs w:val="72"/>
        </w:rPr>
        <w:br w:type="page"/>
      </w:r>
    </w:p>
    <w:p w14:paraId="4C162C75">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0"/>
          <w:szCs w:val="30"/>
          <w:u w:val="none"/>
          <w:lang w:val="en-US" w:eastAsia="zh-CN" w:bidi="ar"/>
        </w:rPr>
        <w:t>收入决算表</w:t>
      </w:r>
    </w:p>
    <w:tbl>
      <w:tblPr>
        <w:tblStyle w:val="11"/>
        <w:tblW w:w="1545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28" w:type="dxa"/>
          <w:bottom w:w="0" w:type="dxa"/>
          <w:right w:w="28" w:type="dxa"/>
        </w:tblCellMar>
      </w:tblPr>
      <w:tblGrid>
        <w:gridCol w:w="2520"/>
        <w:gridCol w:w="229"/>
        <w:gridCol w:w="230"/>
        <w:gridCol w:w="5503"/>
        <w:gridCol w:w="1266"/>
        <w:gridCol w:w="1266"/>
        <w:gridCol w:w="688"/>
        <w:gridCol w:w="688"/>
        <w:gridCol w:w="688"/>
        <w:gridCol w:w="688"/>
        <w:gridCol w:w="1686"/>
      </w:tblGrid>
      <w:tr w14:paraId="7CD44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trHeight w:val="357" w:hRule="atLeast"/>
          <w:jc w:val="center"/>
        </w:trPr>
        <w:tc>
          <w:tcPr>
            <w:tcW w:w="2520" w:type="dxa"/>
            <w:tcBorders>
              <w:top w:val="nil"/>
              <w:left w:val="nil"/>
              <w:bottom w:val="nil"/>
              <w:right w:val="nil"/>
            </w:tcBorders>
            <w:shd w:val="clear" w:color="auto" w:fill="auto"/>
            <w:noWrap/>
            <w:vAlign w:val="center"/>
          </w:tcPr>
          <w:p w14:paraId="550276BC">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2"/>
                <w:szCs w:val="22"/>
                <w:u w:val="none"/>
              </w:rPr>
            </w:pPr>
          </w:p>
        </w:tc>
        <w:tc>
          <w:tcPr>
            <w:tcW w:w="229" w:type="dxa"/>
            <w:tcBorders>
              <w:top w:val="nil"/>
              <w:left w:val="nil"/>
              <w:bottom w:val="nil"/>
              <w:right w:val="nil"/>
            </w:tcBorders>
            <w:shd w:val="clear" w:color="auto" w:fill="auto"/>
            <w:noWrap/>
            <w:vAlign w:val="center"/>
          </w:tcPr>
          <w:p w14:paraId="4365B624">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2"/>
                <w:szCs w:val="22"/>
                <w:u w:val="none"/>
              </w:rPr>
            </w:pPr>
          </w:p>
        </w:tc>
        <w:tc>
          <w:tcPr>
            <w:tcW w:w="230" w:type="dxa"/>
            <w:tcBorders>
              <w:top w:val="nil"/>
              <w:left w:val="nil"/>
              <w:bottom w:val="nil"/>
              <w:right w:val="nil"/>
            </w:tcBorders>
            <w:shd w:val="clear" w:color="auto" w:fill="auto"/>
            <w:noWrap/>
            <w:vAlign w:val="center"/>
          </w:tcPr>
          <w:p w14:paraId="79E0A40B">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2"/>
                <w:szCs w:val="22"/>
                <w:u w:val="none"/>
              </w:rPr>
            </w:pPr>
          </w:p>
        </w:tc>
        <w:tc>
          <w:tcPr>
            <w:tcW w:w="5503" w:type="dxa"/>
            <w:tcBorders>
              <w:top w:val="nil"/>
              <w:left w:val="nil"/>
              <w:bottom w:val="nil"/>
              <w:right w:val="nil"/>
            </w:tcBorders>
            <w:shd w:val="clear" w:color="auto" w:fill="auto"/>
            <w:noWrap/>
            <w:vAlign w:val="center"/>
          </w:tcPr>
          <w:p w14:paraId="04204F40">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2"/>
                <w:szCs w:val="22"/>
                <w:u w:val="none"/>
              </w:rPr>
            </w:pPr>
          </w:p>
        </w:tc>
        <w:tc>
          <w:tcPr>
            <w:tcW w:w="1266" w:type="dxa"/>
            <w:tcBorders>
              <w:top w:val="nil"/>
              <w:left w:val="nil"/>
              <w:bottom w:val="nil"/>
              <w:right w:val="nil"/>
            </w:tcBorders>
            <w:shd w:val="clear" w:color="auto" w:fill="auto"/>
            <w:noWrap/>
            <w:vAlign w:val="center"/>
          </w:tcPr>
          <w:p w14:paraId="564E8893">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2"/>
                <w:szCs w:val="22"/>
                <w:u w:val="none"/>
              </w:rPr>
            </w:pPr>
          </w:p>
        </w:tc>
        <w:tc>
          <w:tcPr>
            <w:tcW w:w="1266" w:type="dxa"/>
            <w:tcBorders>
              <w:top w:val="nil"/>
              <w:left w:val="nil"/>
              <w:bottom w:val="nil"/>
              <w:right w:val="nil"/>
            </w:tcBorders>
            <w:shd w:val="clear" w:color="auto" w:fill="auto"/>
            <w:noWrap/>
            <w:vAlign w:val="center"/>
          </w:tcPr>
          <w:p w14:paraId="6887C389">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2"/>
                <w:szCs w:val="22"/>
                <w:u w:val="none"/>
              </w:rPr>
            </w:pPr>
          </w:p>
        </w:tc>
        <w:tc>
          <w:tcPr>
            <w:tcW w:w="688" w:type="dxa"/>
            <w:tcBorders>
              <w:top w:val="nil"/>
              <w:left w:val="nil"/>
              <w:bottom w:val="nil"/>
              <w:right w:val="nil"/>
            </w:tcBorders>
            <w:shd w:val="clear" w:color="auto" w:fill="auto"/>
            <w:noWrap/>
            <w:vAlign w:val="center"/>
          </w:tcPr>
          <w:p w14:paraId="501FACD5">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2"/>
                <w:szCs w:val="22"/>
                <w:u w:val="none"/>
              </w:rPr>
            </w:pPr>
          </w:p>
        </w:tc>
        <w:tc>
          <w:tcPr>
            <w:tcW w:w="688" w:type="dxa"/>
            <w:tcBorders>
              <w:top w:val="nil"/>
              <w:left w:val="nil"/>
              <w:bottom w:val="nil"/>
              <w:right w:val="nil"/>
            </w:tcBorders>
            <w:shd w:val="clear" w:color="auto" w:fill="auto"/>
            <w:noWrap/>
            <w:vAlign w:val="center"/>
          </w:tcPr>
          <w:p w14:paraId="3598188A">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2"/>
                <w:szCs w:val="22"/>
                <w:u w:val="none"/>
              </w:rPr>
            </w:pPr>
          </w:p>
        </w:tc>
        <w:tc>
          <w:tcPr>
            <w:tcW w:w="688" w:type="dxa"/>
            <w:tcBorders>
              <w:top w:val="nil"/>
              <w:left w:val="nil"/>
              <w:bottom w:val="nil"/>
              <w:right w:val="nil"/>
            </w:tcBorders>
            <w:shd w:val="clear" w:color="auto" w:fill="auto"/>
            <w:noWrap/>
            <w:vAlign w:val="center"/>
          </w:tcPr>
          <w:p w14:paraId="481CDF34">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2"/>
                <w:szCs w:val="22"/>
                <w:u w:val="none"/>
              </w:rPr>
            </w:pPr>
          </w:p>
        </w:tc>
        <w:tc>
          <w:tcPr>
            <w:tcW w:w="688" w:type="dxa"/>
            <w:tcBorders>
              <w:top w:val="nil"/>
              <w:left w:val="nil"/>
              <w:bottom w:val="nil"/>
              <w:right w:val="nil"/>
            </w:tcBorders>
            <w:shd w:val="clear" w:color="auto" w:fill="auto"/>
            <w:noWrap/>
            <w:vAlign w:val="center"/>
          </w:tcPr>
          <w:p w14:paraId="0DF051E5">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2"/>
                <w:szCs w:val="22"/>
                <w:u w:val="none"/>
              </w:rPr>
            </w:pPr>
          </w:p>
        </w:tc>
        <w:tc>
          <w:tcPr>
            <w:tcW w:w="1686" w:type="dxa"/>
            <w:tcBorders>
              <w:top w:val="nil"/>
              <w:left w:val="nil"/>
              <w:bottom w:val="nil"/>
              <w:right w:val="nil"/>
            </w:tcBorders>
            <w:shd w:val="clear" w:color="auto" w:fill="auto"/>
            <w:noWrap/>
            <w:vAlign w:val="bottom"/>
          </w:tcPr>
          <w:p w14:paraId="692EAE3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14:paraId="388FC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357" w:hRule="atLeast"/>
          <w:jc w:val="center"/>
        </w:trPr>
        <w:tc>
          <w:tcPr>
            <w:tcW w:w="2520" w:type="dxa"/>
            <w:tcBorders>
              <w:top w:val="nil"/>
              <w:left w:val="nil"/>
              <w:bottom w:val="single" w:color="auto" w:sz="4" w:space="0"/>
              <w:right w:val="nil"/>
            </w:tcBorders>
            <w:shd w:val="clear" w:color="auto" w:fill="auto"/>
            <w:noWrap/>
            <w:vAlign w:val="bottom"/>
          </w:tcPr>
          <w:p w14:paraId="765099E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部门：溆浦县农业农村局</w:t>
            </w:r>
          </w:p>
        </w:tc>
        <w:tc>
          <w:tcPr>
            <w:tcW w:w="229" w:type="dxa"/>
            <w:tcBorders>
              <w:top w:val="nil"/>
              <w:left w:val="nil"/>
              <w:bottom w:val="single" w:color="auto" w:sz="4" w:space="0"/>
              <w:right w:val="nil"/>
            </w:tcBorders>
            <w:shd w:val="clear" w:color="auto" w:fill="auto"/>
            <w:noWrap/>
            <w:vAlign w:val="center"/>
          </w:tcPr>
          <w:p w14:paraId="27BBB111">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2"/>
                <w:szCs w:val="22"/>
                <w:u w:val="none"/>
              </w:rPr>
            </w:pPr>
          </w:p>
        </w:tc>
        <w:tc>
          <w:tcPr>
            <w:tcW w:w="230" w:type="dxa"/>
            <w:tcBorders>
              <w:top w:val="nil"/>
              <w:left w:val="nil"/>
              <w:bottom w:val="single" w:color="auto" w:sz="4" w:space="0"/>
              <w:right w:val="nil"/>
            </w:tcBorders>
            <w:shd w:val="clear" w:color="auto" w:fill="auto"/>
            <w:noWrap/>
            <w:vAlign w:val="center"/>
          </w:tcPr>
          <w:p w14:paraId="21390839">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2"/>
                <w:szCs w:val="22"/>
                <w:u w:val="none"/>
              </w:rPr>
            </w:pPr>
          </w:p>
        </w:tc>
        <w:tc>
          <w:tcPr>
            <w:tcW w:w="5503" w:type="dxa"/>
            <w:tcBorders>
              <w:top w:val="nil"/>
              <w:left w:val="nil"/>
              <w:bottom w:val="single" w:color="auto" w:sz="4" w:space="0"/>
              <w:right w:val="nil"/>
            </w:tcBorders>
            <w:shd w:val="clear" w:color="auto" w:fill="auto"/>
            <w:noWrap/>
            <w:vAlign w:val="center"/>
          </w:tcPr>
          <w:p w14:paraId="70098D41">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2"/>
                <w:szCs w:val="22"/>
                <w:u w:val="none"/>
              </w:rPr>
            </w:pPr>
          </w:p>
        </w:tc>
        <w:tc>
          <w:tcPr>
            <w:tcW w:w="1266" w:type="dxa"/>
            <w:tcBorders>
              <w:top w:val="nil"/>
              <w:left w:val="nil"/>
              <w:bottom w:val="single" w:color="auto" w:sz="4" w:space="0"/>
              <w:right w:val="nil"/>
            </w:tcBorders>
            <w:shd w:val="clear" w:color="auto" w:fill="auto"/>
            <w:noWrap/>
            <w:vAlign w:val="center"/>
          </w:tcPr>
          <w:p w14:paraId="7F502C83">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2"/>
                <w:szCs w:val="22"/>
                <w:u w:val="none"/>
              </w:rPr>
            </w:pPr>
          </w:p>
        </w:tc>
        <w:tc>
          <w:tcPr>
            <w:tcW w:w="1266" w:type="dxa"/>
            <w:tcBorders>
              <w:top w:val="nil"/>
              <w:left w:val="nil"/>
              <w:bottom w:val="single" w:color="auto" w:sz="4" w:space="0"/>
              <w:right w:val="nil"/>
            </w:tcBorders>
            <w:shd w:val="clear" w:color="auto" w:fill="auto"/>
            <w:noWrap/>
            <w:vAlign w:val="center"/>
          </w:tcPr>
          <w:p w14:paraId="12F00927">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2"/>
                <w:szCs w:val="22"/>
                <w:u w:val="none"/>
              </w:rPr>
            </w:pPr>
          </w:p>
        </w:tc>
        <w:tc>
          <w:tcPr>
            <w:tcW w:w="688" w:type="dxa"/>
            <w:tcBorders>
              <w:top w:val="nil"/>
              <w:left w:val="nil"/>
              <w:bottom w:val="single" w:color="auto" w:sz="4" w:space="0"/>
              <w:right w:val="nil"/>
            </w:tcBorders>
            <w:shd w:val="clear" w:color="auto" w:fill="auto"/>
            <w:noWrap/>
            <w:vAlign w:val="center"/>
          </w:tcPr>
          <w:p w14:paraId="703E1CD0">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2"/>
                <w:szCs w:val="22"/>
                <w:u w:val="none"/>
              </w:rPr>
            </w:pPr>
          </w:p>
        </w:tc>
        <w:tc>
          <w:tcPr>
            <w:tcW w:w="688" w:type="dxa"/>
            <w:tcBorders>
              <w:top w:val="nil"/>
              <w:left w:val="nil"/>
              <w:bottom w:val="single" w:color="auto" w:sz="4" w:space="0"/>
              <w:right w:val="nil"/>
            </w:tcBorders>
            <w:shd w:val="clear" w:color="auto" w:fill="auto"/>
            <w:noWrap/>
            <w:vAlign w:val="center"/>
          </w:tcPr>
          <w:p w14:paraId="19CBD699">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2"/>
                <w:szCs w:val="22"/>
                <w:u w:val="none"/>
              </w:rPr>
            </w:pPr>
          </w:p>
        </w:tc>
        <w:tc>
          <w:tcPr>
            <w:tcW w:w="688" w:type="dxa"/>
            <w:tcBorders>
              <w:top w:val="nil"/>
              <w:left w:val="nil"/>
              <w:bottom w:val="single" w:color="auto" w:sz="4" w:space="0"/>
              <w:right w:val="nil"/>
            </w:tcBorders>
            <w:shd w:val="clear" w:color="auto" w:fill="auto"/>
            <w:noWrap/>
            <w:vAlign w:val="center"/>
          </w:tcPr>
          <w:p w14:paraId="238E4038">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2"/>
                <w:szCs w:val="22"/>
                <w:u w:val="none"/>
              </w:rPr>
            </w:pPr>
          </w:p>
        </w:tc>
        <w:tc>
          <w:tcPr>
            <w:tcW w:w="688" w:type="dxa"/>
            <w:tcBorders>
              <w:top w:val="nil"/>
              <w:left w:val="nil"/>
              <w:bottom w:val="single" w:color="auto" w:sz="4" w:space="0"/>
              <w:right w:val="nil"/>
            </w:tcBorders>
            <w:shd w:val="clear" w:color="auto" w:fill="auto"/>
            <w:noWrap/>
            <w:vAlign w:val="center"/>
          </w:tcPr>
          <w:p w14:paraId="035A6D3F">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2"/>
                <w:szCs w:val="22"/>
                <w:u w:val="none"/>
              </w:rPr>
            </w:pPr>
          </w:p>
        </w:tc>
        <w:tc>
          <w:tcPr>
            <w:tcW w:w="1686" w:type="dxa"/>
            <w:tcBorders>
              <w:top w:val="nil"/>
              <w:left w:val="nil"/>
              <w:bottom w:val="single" w:color="auto" w:sz="4" w:space="0"/>
              <w:right w:val="nil"/>
            </w:tcBorders>
            <w:shd w:val="clear" w:color="auto" w:fill="auto"/>
            <w:noWrap/>
            <w:vAlign w:val="bottom"/>
          </w:tcPr>
          <w:p w14:paraId="1F4C689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1D0C3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369" w:hRule="atLeast"/>
          <w:jc w:val="center"/>
        </w:trPr>
        <w:tc>
          <w:tcPr>
            <w:tcW w:w="848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6AB228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14:paraId="5419EC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本年收入</w:t>
            </w:r>
          </w:p>
          <w:p w14:paraId="5AB0F50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14:paraId="3E0E4B4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688" w:type="dxa"/>
            <w:tcBorders>
              <w:top w:val="single" w:color="auto" w:sz="4" w:space="0"/>
              <w:left w:val="single" w:color="auto" w:sz="4" w:space="0"/>
              <w:bottom w:val="single" w:color="auto" w:sz="4" w:space="0"/>
              <w:right w:val="single" w:color="auto" w:sz="4" w:space="0"/>
            </w:tcBorders>
            <w:shd w:val="clear" w:color="auto" w:fill="auto"/>
            <w:vAlign w:val="center"/>
          </w:tcPr>
          <w:p w14:paraId="389F0FE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688" w:type="dxa"/>
            <w:tcBorders>
              <w:top w:val="single" w:color="auto" w:sz="4" w:space="0"/>
              <w:left w:val="single" w:color="auto" w:sz="4" w:space="0"/>
              <w:bottom w:val="single" w:color="auto" w:sz="4" w:space="0"/>
              <w:right w:val="single" w:color="auto" w:sz="4" w:space="0"/>
            </w:tcBorders>
            <w:shd w:val="clear" w:color="auto" w:fill="auto"/>
            <w:vAlign w:val="center"/>
          </w:tcPr>
          <w:p w14:paraId="024CDB2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688" w:type="dxa"/>
            <w:tcBorders>
              <w:top w:val="single" w:color="auto" w:sz="4" w:space="0"/>
              <w:left w:val="single" w:color="auto" w:sz="4" w:space="0"/>
              <w:bottom w:val="single" w:color="auto" w:sz="4" w:space="0"/>
              <w:right w:val="single" w:color="auto" w:sz="4" w:space="0"/>
            </w:tcBorders>
            <w:shd w:val="clear" w:color="auto" w:fill="auto"/>
            <w:vAlign w:val="center"/>
          </w:tcPr>
          <w:p w14:paraId="490977F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688" w:type="dxa"/>
            <w:tcBorders>
              <w:top w:val="single" w:color="auto" w:sz="4" w:space="0"/>
              <w:left w:val="single" w:color="auto" w:sz="4" w:space="0"/>
              <w:bottom w:val="single" w:color="auto" w:sz="4" w:space="0"/>
              <w:right w:val="single" w:color="auto" w:sz="4" w:space="0"/>
            </w:tcBorders>
            <w:shd w:val="clear" w:color="auto" w:fill="auto"/>
            <w:vAlign w:val="center"/>
          </w:tcPr>
          <w:p w14:paraId="604C89B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686" w:type="dxa"/>
            <w:tcBorders>
              <w:top w:val="single" w:color="auto" w:sz="4" w:space="0"/>
              <w:left w:val="single" w:color="auto" w:sz="4" w:space="0"/>
              <w:bottom w:val="single" w:color="auto" w:sz="4" w:space="0"/>
              <w:right w:val="single" w:color="auto" w:sz="4" w:space="0"/>
            </w:tcBorders>
            <w:shd w:val="clear" w:color="auto" w:fill="auto"/>
            <w:vAlign w:val="center"/>
          </w:tcPr>
          <w:p w14:paraId="17227D1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14:paraId="3AC3A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369" w:hRule="atLeast"/>
          <w:jc w:val="center"/>
        </w:trPr>
        <w:tc>
          <w:tcPr>
            <w:tcW w:w="297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97D8E8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55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117F5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14:paraId="0EFBDF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14:paraId="5C95FD0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vAlign w:val="center"/>
          </w:tcPr>
          <w:p w14:paraId="098C64E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vAlign w:val="center"/>
          </w:tcPr>
          <w:p w14:paraId="37C0094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vAlign w:val="center"/>
          </w:tcPr>
          <w:p w14:paraId="3B37A91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vAlign w:val="center"/>
          </w:tcPr>
          <w:p w14:paraId="2B840E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p>
        </w:tc>
        <w:tc>
          <w:tcPr>
            <w:tcW w:w="1686" w:type="dxa"/>
            <w:tcBorders>
              <w:top w:val="single" w:color="auto" w:sz="4" w:space="0"/>
              <w:left w:val="single" w:color="auto" w:sz="4" w:space="0"/>
              <w:bottom w:val="single" w:color="auto" w:sz="4" w:space="0"/>
              <w:right w:val="single" w:color="auto" w:sz="4" w:space="0"/>
            </w:tcBorders>
            <w:shd w:val="clear" w:color="auto" w:fill="auto"/>
            <w:vAlign w:val="center"/>
          </w:tcPr>
          <w:p w14:paraId="39619DE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p>
        </w:tc>
      </w:tr>
      <w:tr w14:paraId="3202D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369" w:hRule="atLeast"/>
          <w:jc w:val="center"/>
        </w:trPr>
        <w:tc>
          <w:tcPr>
            <w:tcW w:w="848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2F3253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栏次</w:t>
            </w: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14:paraId="1FC51C1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14:paraId="13E1D81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688" w:type="dxa"/>
            <w:tcBorders>
              <w:top w:val="single" w:color="auto" w:sz="4" w:space="0"/>
              <w:left w:val="single" w:color="auto" w:sz="4" w:space="0"/>
              <w:bottom w:val="single" w:color="auto" w:sz="4" w:space="0"/>
              <w:right w:val="single" w:color="auto" w:sz="4" w:space="0"/>
            </w:tcBorders>
            <w:shd w:val="clear" w:color="auto" w:fill="auto"/>
            <w:vAlign w:val="center"/>
          </w:tcPr>
          <w:p w14:paraId="0968EE2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688" w:type="dxa"/>
            <w:tcBorders>
              <w:top w:val="single" w:color="auto" w:sz="4" w:space="0"/>
              <w:left w:val="single" w:color="auto" w:sz="4" w:space="0"/>
              <w:bottom w:val="single" w:color="auto" w:sz="4" w:space="0"/>
              <w:right w:val="single" w:color="auto" w:sz="4" w:space="0"/>
            </w:tcBorders>
            <w:shd w:val="clear" w:color="auto" w:fill="auto"/>
            <w:vAlign w:val="center"/>
          </w:tcPr>
          <w:p w14:paraId="0441D9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688" w:type="dxa"/>
            <w:tcBorders>
              <w:top w:val="single" w:color="auto" w:sz="4" w:space="0"/>
              <w:left w:val="single" w:color="auto" w:sz="4" w:space="0"/>
              <w:bottom w:val="single" w:color="auto" w:sz="4" w:space="0"/>
              <w:right w:val="single" w:color="auto" w:sz="4" w:space="0"/>
            </w:tcBorders>
            <w:shd w:val="clear" w:color="auto" w:fill="auto"/>
            <w:vAlign w:val="center"/>
          </w:tcPr>
          <w:p w14:paraId="221723B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688" w:type="dxa"/>
            <w:tcBorders>
              <w:top w:val="single" w:color="auto" w:sz="4" w:space="0"/>
              <w:left w:val="single" w:color="auto" w:sz="4" w:space="0"/>
              <w:bottom w:val="single" w:color="auto" w:sz="4" w:space="0"/>
              <w:right w:val="single" w:color="auto" w:sz="4" w:space="0"/>
            </w:tcBorders>
            <w:shd w:val="clear" w:color="auto" w:fill="auto"/>
            <w:vAlign w:val="center"/>
          </w:tcPr>
          <w:p w14:paraId="1141867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1686" w:type="dxa"/>
            <w:tcBorders>
              <w:top w:val="single" w:color="auto" w:sz="4" w:space="0"/>
              <w:left w:val="single" w:color="auto" w:sz="4" w:space="0"/>
              <w:bottom w:val="single" w:color="auto" w:sz="4" w:space="0"/>
              <w:right w:val="single" w:color="auto" w:sz="4" w:space="0"/>
            </w:tcBorders>
            <w:shd w:val="clear" w:color="auto" w:fill="auto"/>
            <w:vAlign w:val="center"/>
          </w:tcPr>
          <w:p w14:paraId="7F6E9DB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w:t>
            </w:r>
          </w:p>
        </w:tc>
      </w:tr>
      <w:tr w14:paraId="091BC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504" w:hRule="atLeast"/>
          <w:jc w:val="center"/>
        </w:trPr>
        <w:tc>
          <w:tcPr>
            <w:tcW w:w="848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011A1C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237096">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31,141.96</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5EAC93">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31,141.96</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F45E71">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F9F37B">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6011F3">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AB239B">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AB3AFD">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5E37D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369" w:hRule="atLeast"/>
          <w:jc w:val="center"/>
        </w:trPr>
        <w:tc>
          <w:tcPr>
            <w:tcW w:w="297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DCA315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55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7FD4C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986045">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61.25</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8F3F18">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61.25</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827E7D">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F2079D">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DA4F1C">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FC0492">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D5F8DB">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6CFC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369" w:hRule="atLeast"/>
          <w:jc w:val="center"/>
        </w:trPr>
        <w:tc>
          <w:tcPr>
            <w:tcW w:w="297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24B918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w:t>
            </w:r>
          </w:p>
        </w:tc>
        <w:tc>
          <w:tcPr>
            <w:tcW w:w="55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0E7D5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发展与改革事务</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34C399">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57.50</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F04EE6">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0672EA">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D1C940">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C28E48">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3B80FA">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C532DB">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3204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369" w:hRule="atLeast"/>
          <w:jc w:val="center"/>
        </w:trPr>
        <w:tc>
          <w:tcPr>
            <w:tcW w:w="297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049586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2010499</w:t>
            </w:r>
          </w:p>
        </w:tc>
        <w:tc>
          <w:tcPr>
            <w:tcW w:w="55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A1616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其他发展与改革事务支出</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9A7C6B">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57.50</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1420E5">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BBCEE3">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4225CC">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9BBC58">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919ACE">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195C4C">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CAF0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369" w:hRule="atLeast"/>
          <w:jc w:val="center"/>
        </w:trPr>
        <w:tc>
          <w:tcPr>
            <w:tcW w:w="297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74111A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w:t>
            </w:r>
          </w:p>
        </w:tc>
        <w:tc>
          <w:tcPr>
            <w:tcW w:w="55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A8D10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纪检监察事务</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DC50BC">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611A55">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1331A2">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23349B">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70AB7B">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3B6C2D">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1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531367">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14:paraId="22DF2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369" w:hRule="atLeast"/>
          <w:jc w:val="center"/>
        </w:trPr>
        <w:tc>
          <w:tcPr>
            <w:tcW w:w="297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DE6DB8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2011102</w:t>
            </w:r>
          </w:p>
        </w:tc>
        <w:tc>
          <w:tcPr>
            <w:tcW w:w="55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ED747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D43291">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0CB10D">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FBF828">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496A62">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C48C2C">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07A768">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1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62CB33">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14:paraId="2CD70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369" w:hRule="atLeast"/>
          <w:jc w:val="center"/>
        </w:trPr>
        <w:tc>
          <w:tcPr>
            <w:tcW w:w="297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A27C47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20134</w:t>
            </w:r>
          </w:p>
        </w:tc>
        <w:tc>
          <w:tcPr>
            <w:tcW w:w="55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FE278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统战事务</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47E601">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72F69B">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56CE09">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A4A0BD">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F19DB0">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237AD3">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1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9FADE8">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14:paraId="011E6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369" w:hRule="atLeast"/>
          <w:jc w:val="center"/>
        </w:trPr>
        <w:tc>
          <w:tcPr>
            <w:tcW w:w="297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D27C45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2013499</w:t>
            </w:r>
          </w:p>
        </w:tc>
        <w:tc>
          <w:tcPr>
            <w:tcW w:w="55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5EF65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其他统战事务支出</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8D16CF">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9D17FD">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EC096E">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B3F043">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1B5735">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BA6B8C">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1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EF783D">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14:paraId="52675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369" w:hRule="atLeast"/>
          <w:jc w:val="center"/>
        </w:trPr>
        <w:tc>
          <w:tcPr>
            <w:tcW w:w="297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97E619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55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0988C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11761D">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958.55</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F95FD8">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958.55</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518139">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E55C4C">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2834B6">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1B09E4">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1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A9CE7F">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14:paraId="40A7E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369" w:hRule="atLeast"/>
          <w:jc w:val="center"/>
        </w:trPr>
        <w:tc>
          <w:tcPr>
            <w:tcW w:w="297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82FB16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55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63241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38F718">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180.23</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D4A113">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180.23</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1A1703">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F425DF">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860F8E">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AE9329">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1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3925CA">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14:paraId="5110D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369" w:hRule="atLeast"/>
          <w:jc w:val="center"/>
        </w:trPr>
        <w:tc>
          <w:tcPr>
            <w:tcW w:w="297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8D7C29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55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B4C6E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221F9C">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180.23</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AE4738">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180.23</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F62F26">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009881">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58F5CD">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E727DA">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1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618741">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14:paraId="143B4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369" w:hRule="atLeast"/>
          <w:jc w:val="center"/>
        </w:trPr>
        <w:tc>
          <w:tcPr>
            <w:tcW w:w="297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F7A4EE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w:t>
            </w:r>
          </w:p>
        </w:tc>
        <w:tc>
          <w:tcPr>
            <w:tcW w:w="55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2D020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就业补助</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35F645">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726.25</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0F60C5">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726.25</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36E5D5">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3D84CC">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FD5BB1">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EAF037">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1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365795">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14:paraId="33597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369" w:hRule="atLeast"/>
          <w:jc w:val="center"/>
        </w:trPr>
        <w:tc>
          <w:tcPr>
            <w:tcW w:w="297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C3FEAC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2080705</w:t>
            </w:r>
          </w:p>
        </w:tc>
        <w:tc>
          <w:tcPr>
            <w:tcW w:w="55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A66D8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公益性岗位补贴</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412A6B">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726.25</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54248B">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726.25</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D46C79">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7F81A4">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773E9E">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EBE85F">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1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064751">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14:paraId="74D89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369" w:hRule="atLeast"/>
          <w:jc w:val="center"/>
        </w:trPr>
        <w:tc>
          <w:tcPr>
            <w:tcW w:w="297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B8E6F3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55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7ADF6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63AA7D">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52.08</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65AEA8">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52.08</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A2EDF8">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58B41D">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B7BEE2">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AE2996">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1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A70CFA">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14:paraId="6C301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369" w:hRule="atLeast"/>
          <w:jc w:val="center"/>
        </w:trPr>
        <w:tc>
          <w:tcPr>
            <w:tcW w:w="297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3E1187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55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437F0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69D92C">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52.08</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B7AC01">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52.08</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390FE0">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B1988B">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EEF638">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BBA742">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1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2601F0">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14:paraId="009DC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369" w:hRule="atLeast"/>
          <w:jc w:val="center"/>
        </w:trPr>
        <w:tc>
          <w:tcPr>
            <w:tcW w:w="297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2B007B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55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FA0DF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A7F62C">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77.80</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B62E83">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77.80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DD7605">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41EE30">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8628D2">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5FB27E">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1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10E517">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14:paraId="7907D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369" w:hRule="atLeast"/>
          <w:jc w:val="center"/>
        </w:trPr>
        <w:tc>
          <w:tcPr>
            <w:tcW w:w="297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628AF7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55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2DD47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9B9890">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77.80</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7BA56B">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77.80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8416FF">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F27C79">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B84899">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1CDF59">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1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FE7590">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14:paraId="7F512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369" w:hRule="atLeast"/>
          <w:jc w:val="center"/>
        </w:trPr>
        <w:tc>
          <w:tcPr>
            <w:tcW w:w="297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AD2A17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55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C335F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CF46B0">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77.80</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D1E9DF">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77.80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12468B">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18B41B">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F65FCA">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149F89">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1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25D884">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14:paraId="6A09D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369" w:hRule="atLeast"/>
          <w:jc w:val="center"/>
        </w:trPr>
        <w:tc>
          <w:tcPr>
            <w:tcW w:w="297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FE8725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55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5ED84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节能环保支出</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C2EBBB">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38ED6A">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0B3B71">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D49481">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8ADB86">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D8FBFB">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1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CF22EF">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14:paraId="0136C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369" w:hRule="atLeast"/>
          <w:jc w:val="center"/>
        </w:trPr>
        <w:tc>
          <w:tcPr>
            <w:tcW w:w="297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41B101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w:t>
            </w:r>
          </w:p>
        </w:tc>
        <w:tc>
          <w:tcPr>
            <w:tcW w:w="55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9BB1E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自然生态保护</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22BF83">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A184E8">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3D81DC">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6C1C87">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F8E78B">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C0F9E0">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1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35C8A1">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14:paraId="578B8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369" w:hRule="atLeast"/>
          <w:jc w:val="center"/>
        </w:trPr>
        <w:tc>
          <w:tcPr>
            <w:tcW w:w="297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19F701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2110402</w:t>
            </w:r>
          </w:p>
        </w:tc>
        <w:tc>
          <w:tcPr>
            <w:tcW w:w="55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CF703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农村环境保护</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37F2A2">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199FDE">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4D290A">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9166C0">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F0D94B">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878F58">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1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EFD638">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14:paraId="60570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369" w:hRule="atLeast"/>
          <w:jc w:val="center"/>
        </w:trPr>
        <w:tc>
          <w:tcPr>
            <w:tcW w:w="297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B8D814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55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5E4E4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6766F2">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25,760.53</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459641">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25,760.53</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BE4C97">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ACC8B1">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0477B9">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CB9D96">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1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C5ED56">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14:paraId="05AB4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369" w:hRule="atLeast"/>
          <w:jc w:val="center"/>
        </w:trPr>
        <w:tc>
          <w:tcPr>
            <w:tcW w:w="297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8824E5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55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FBBF2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3BE8F0">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11,383.47</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2DB510">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11,383.47</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62490D">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DC148B">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880997">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6170F9">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1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6663AB">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14:paraId="776BD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369" w:hRule="atLeast"/>
          <w:jc w:val="center"/>
        </w:trPr>
        <w:tc>
          <w:tcPr>
            <w:tcW w:w="297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5F0102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2130101</w:t>
            </w:r>
          </w:p>
        </w:tc>
        <w:tc>
          <w:tcPr>
            <w:tcW w:w="55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60B14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EE59EF">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1,248.30</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1DA808">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1,248.30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4C7578">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390AC7">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19819E">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780475">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1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5AC089">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14:paraId="2FCF3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369" w:hRule="atLeast"/>
          <w:jc w:val="center"/>
        </w:trPr>
        <w:tc>
          <w:tcPr>
            <w:tcW w:w="297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11B32B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2130102</w:t>
            </w:r>
          </w:p>
        </w:tc>
        <w:tc>
          <w:tcPr>
            <w:tcW w:w="55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9B551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2E434D">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15.19</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4BCAC0">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15.19</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55CBA3">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4BAD29">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503EEF">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88CC4C">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1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A51298">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14:paraId="34612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369" w:hRule="atLeast"/>
          <w:jc w:val="center"/>
        </w:trPr>
        <w:tc>
          <w:tcPr>
            <w:tcW w:w="297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057740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2130106</w:t>
            </w:r>
          </w:p>
        </w:tc>
        <w:tc>
          <w:tcPr>
            <w:tcW w:w="55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0F2D7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科技转化与推广服务</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4FD33E">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196.35</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8F19DB">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196.35</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9BA4C0">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E6C902">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E5E75F">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3D1B6C">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1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3F43C9">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14:paraId="3FB58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369" w:hRule="atLeast"/>
          <w:jc w:val="center"/>
        </w:trPr>
        <w:tc>
          <w:tcPr>
            <w:tcW w:w="297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D14008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2130108</w:t>
            </w:r>
          </w:p>
        </w:tc>
        <w:tc>
          <w:tcPr>
            <w:tcW w:w="55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5AD6F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病虫害控制</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2A950D">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31.94</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42F855">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31.94</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01FA07">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45BCCA">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59C4B1">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0D3C76">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1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48D7C6">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14:paraId="3AACE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369" w:hRule="atLeast"/>
          <w:jc w:val="center"/>
        </w:trPr>
        <w:tc>
          <w:tcPr>
            <w:tcW w:w="297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AE746E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2130109</w:t>
            </w:r>
          </w:p>
        </w:tc>
        <w:tc>
          <w:tcPr>
            <w:tcW w:w="55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E771D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农产品质量安全</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1775F6">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71.13</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A9E9D0">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71.13</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D2430E">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4A510F">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809E1D">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E904A5">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1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3015AB">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14:paraId="67F03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369" w:hRule="atLeast"/>
          <w:jc w:val="center"/>
        </w:trPr>
        <w:tc>
          <w:tcPr>
            <w:tcW w:w="297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DAA785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2130110</w:t>
            </w:r>
          </w:p>
        </w:tc>
        <w:tc>
          <w:tcPr>
            <w:tcW w:w="55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1402A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执法监管</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50FD36">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22.11</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D50C1E">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22.11</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F9CC9D">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51AA75">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6E34F5">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26FE21">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1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6025E3">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14:paraId="7CEC8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369" w:hRule="atLeast"/>
          <w:jc w:val="center"/>
        </w:trPr>
        <w:tc>
          <w:tcPr>
            <w:tcW w:w="297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A288F1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2130111</w:t>
            </w:r>
          </w:p>
        </w:tc>
        <w:tc>
          <w:tcPr>
            <w:tcW w:w="55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E1E58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统计监测与信息服务</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7CB04A">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7.25</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342CB9">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7.25</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617F13">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A33FAC">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B1CB5D">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FB28C7">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1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E1182E">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14:paraId="74241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369" w:hRule="atLeast"/>
          <w:jc w:val="center"/>
        </w:trPr>
        <w:tc>
          <w:tcPr>
            <w:tcW w:w="297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973464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2130120</w:t>
            </w:r>
          </w:p>
        </w:tc>
        <w:tc>
          <w:tcPr>
            <w:tcW w:w="55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508E8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稳定农民收入补贴</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8C4AC1">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5,841.71</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B432F1">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5,841.71</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C3A978">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EE2F70">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510732">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AC8A07">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1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63707B">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14:paraId="2A1EA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369" w:hRule="atLeast"/>
          <w:jc w:val="center"/>
        </w:trPr>
        <w:tc>
          <w:tcPr>
            <w:tcW w:w="297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0925A1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2130121</w:t>
            </w:r>
          </w:p>
        </w:tc>
        <w:tc>
          <w:tcPr>
            <w:tcW w:w="55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18F1E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农业结构调整补贴</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196629">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184.42</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73E40A">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184.42</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94319E">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4FC4F1">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1DB197">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E67690">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1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1B4C84">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14:paraId="0BD1F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369" w:hRule="atLeast"/>
          <w:jc w:val="center"/>
        </w:trPr>
        <w:tc>
          <w:tcPr>
            <w:tcW w:w="297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D981B0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2130122</w:t>
            </w:r>
          </w:p>
        </w:tc>
        <w:tc>
          <w:tcPr>
            <w:tcW w:w="55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500A3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农业生产发展</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853B26">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136.62</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97C385">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136.62</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75B8C5">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4EE4CE">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9E5737">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634696">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1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A0BE8B">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14:paraId="299E8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369" w:hRule="atLeast"/>
          <w:jc w:val="center"/>
        </w:trPr>
        <w:tc>
          <w:tcPr>
            <w:tcW w:w="297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1C5203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2130126</w:t>
            </w:r>
          </w:p>
        </w:tc>
        <w:tc>
          <w:tcPr>
            <w:tcW w:w="55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243C0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农村社会事业</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910E7E">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93.76</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7395A0">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93.76</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2D4B54">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2EBD92">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1101B9">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43058B">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1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816AA2">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14:paraId="4A9A5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369" w:hRule="atLeast"/>
          <w:jc w:val="center"/>
        </w:trPr>
        <w:tc>
          <w:tcPr>
            <w:tcW w:w="297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80333E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2130135</w:t>
            </w:r>
          </w:p>
        </w:tc>
        <w:tc>
          <w:tcPr>
            <w:tcW w:w="55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14D9A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农业生态资源保护</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62BBE8">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518.66</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EA5807">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518.66</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FA7EFE">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B89DEF">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95EC1A">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E4B8B7">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1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918B60">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14:paraId="62494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369" w:hRule="atLeast"/>
          <w:jc w:val="center"/>
        </w:trPr>
        <w:tc>
          <w:tcPr>
            <w:tcW w:w="297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8327E9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2130153</w:t>
            </w:r>
          </w:p>
        </w:tc>
        <w:tc>
          <w:tcPr>
            <w:tcW w:w="55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191A0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耕地建设与利用</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FA2851">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2,040.96</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850BBA">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2,040.96</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005A60">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0A8F3F">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147F58">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65924B">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1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1F4A34">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14:paraId="2E7D2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369" w:hRule="atLeast"/>
          <w:jc w:val="center"/>
        </w:trPr>
        <w:tc>
          <w:tcPr>
            <w:tcW w:w="297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4CFBBB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55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2739E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其他农业农村支出</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2B5474">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975.06</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28CC0C">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975.06</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DE0CA7">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B04465">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71A9F0">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09D344">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1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DA2893">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14:paraId="3E922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369" w:hRule="atLeast"/>
          <w:jc w:val="center"/>
        </w:trPr>
        <w:tc>
          <w:tcPr>
            <w:tcW w:w="297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862AB3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55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44A43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9BC7BC">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12,940.96</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70C50E">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12,940.96</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23107B">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DBE550">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176719">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1CEEF2">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1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F58570">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14:paraId="5D229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369" w:hRule="atLeast"/>
          <w:jc w:val="center"/>
        </w:trPr>
        <w:tc>
          <w:tcPr>
            <w:tcW w:w="297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42FA85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2130501</w:t>
            </w:r>
          </w:p>
        </w:tc>
        <w:tc>
          <w:tcPr>
            <w:tcW w:w="55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2645A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34CB22">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192.28</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3B96F2">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192.28</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784780">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2D04FE">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ED11A5">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F2D207">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1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D99CF8">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14:paraId="2D185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369" w:hRule="atLeast"/>
          <w:jc w:val="center"/>
        </w:trPr>
        <w:tc>
          <w:tcPr>
            <w:tcW w:w="297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F2BDB7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2130504</w:t>
            </w:r>
          </w:p>
        </w:tc>
        <w:tc>
          <w:tcPr>
            <w:tcW w:w="55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8F18B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8F5F9D">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153.17</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43CA36">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153.17</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32D776">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CD5B4D">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EDF1CF">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CF86CC">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1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0D7D08">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14:paraId="3087F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369" w:hRule="atLeast"/>
          <w:jc w:val="center"/>
        </w:trPr>
        <w:tc>
          <w:tcPr>
            <w:tcW w:w="297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519A6A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2130505</w:t>
            </w:r>
          </w:p>
        </w:tc>
        <w:tc>
          <w:tcPr>
            <w:tcW w:w="55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63891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生产发展</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4D333B">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2,499.44</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B6576D">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2,499.44</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F605A7">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BF0B9E">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A1D645">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185887">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1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67DFAE">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14:paraId="2A83C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369" w:hRule="atLeast"/>
          <w:jc w:val="center"/>
        </w:trPr>
        <w:tc>
          <w:tcPr>
            <w:tcW w:w="297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6E6113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2130507</w:t>
            </w:r>
          </w:p>
        </w:tc>
        <w:tc>
          <w:tcPr>
            <w:tcW w:w="55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77D9F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贷款奖补和贴息</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63E733">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165.86</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1A7EAB">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165.86</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E7E902">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1E44F9">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819FA3">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D03678">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1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AA8E24">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14:paraId="6D826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369" w:hRule="atLeast"/>
          <w:jc w:val="center"/>
        </w:trPr>
        <w:tc>
          <w:tcPr>
            <w:tcW w:w="297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688B3B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55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10FE9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DFF725">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9,930.21</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43D2DD">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9,930.21</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AB41AB">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01D0E4">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62A8EE">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D645A7">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1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D8B048">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14:paraId="63723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369" w:hRule="atLeast"/>
          <w:jc w:val="center"/>
        </w:trPr>
        <w:tc>
          <w:tcPr>
            <w:tcW w:w="297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1AF61A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21309</w:t>
            </w:r>
          </w:p>
        </w:tc>
        <w:tc>
          <w:tcPr>
            <w:tcW w:w="55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41064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目标价格补贴</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A87692">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1,436.11</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6A1D96">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1,436.11</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C70E4D">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B2A0B7">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9541E2">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9EEAEE">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1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117D1E">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14:paraId="5D15F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369" w:hRule="atLeast"/>
          <w:jc w:val="center"/>
        </w:trPr>
        <w:tc>
          <w:tcPr>
            <w:tcW w:w="297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DD80B6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2130999</w:t>
            </w:r>
          </w:p>
        </w:tc>
        <w:tc>
          <w:tcPr>
            <w:tcW w:w="55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19948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其他目标价格补贴</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112257">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1,436.11</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65AE68">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1,436.11</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2BE17B">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CFA633">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D81A4C">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614A82">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1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AA4426">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14:paraId="4229C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369" w:hRule="atLeast"/>
          <w:jc w:val="center"/>
        </w:trPr>
        <w:tc>
          <w:tcPr>
            <w:tcW w:w="297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384BE0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55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342F0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商业服务业等支出</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75940B">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B3958B">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3C83E2">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9866AD">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0D0B40">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1AD355">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1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866623">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14:paraId="2B919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369" w:hRule="atLeast"/>
          <w:jc w:val="center"/>
        </w:trPr>
        <w:tc>
          <w:tcPr>
            <w:tcW w:w="297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5F5123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w:t>
            </w:r>
          </w:p>
        </w:tc>
        <w:tc>
          <w:tcPr>
            <w:tcW w:w="55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04D40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商业流通事务</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696E03">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376E96">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45DFC0">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98978A">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1B08D8">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E58739">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1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1AED70">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14:paraId="1703D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369" w:hRule="atLeast"/>
          <w:jc w:val="center"/>
        </w:trPr>
        <w:tc>
          <w:tcPr>
            <w:tcW w:w="297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257795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2160299</w:t>
            </w:r>
          </w:p>
        </w:tc>
        <w:tc>
          <w:tcPr>
            <w:tcW w:w="55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1B7B8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其他商业流通事务支出</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C8F96D">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4AFE7A">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A4A695">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C19E26">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B59B89">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AC4E2F">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1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F392A7">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14:paraId="38EEA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369" w:hRule="atLeast"/>
          <w:jc w:val="center"/>
        </w:trPr>
        <w:tc>
          <w:tcPr>
            <w:tcW w:w="297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21D5EE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w:t>
            </w:r>
          </w:p>
        </w:tc>
        <w:tc>
          <w:tcPr>
            <w:tcW w:w="55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2ECB6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金融支出</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0B031F">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C7304E">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4A300E">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7C039A">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CFD3EA">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279B25">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1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6B49A6">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14:paraId="5A12C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369" w:hRule="atLeast"/>
          <w:jc w:val="center"/>
        </w:trPr>
        <w:tc>
          <w:tcPr>
            <w:tcW w:w="297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B85595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21703</w:t>
            </w:r>
          </w:p>
        </w:tc>
        <w:tc>
          <w:tcPr>
            <w:tcW w:w="55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0B7FE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金融发展支出</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7DFAD0">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5B315E">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FF2996">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2965C9">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4C0D55">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8541FB">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1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293D51">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14:paraId="6F6C7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369" w:hRule="atLeast"/>
          <w:jc w:val="center"/>
        </w:trPr>
        <w:tc>
          <w:tcPr>
            <w:tcW w:w="297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794C62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2170399</w:t>
            </w:r>
          </w:p>
        </w:tc>
        <w:tc>
          <w:tcPr>
            <w:tcW w:w="55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AE9F9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其他金融发展支出</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80BC8A">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9D8803">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0EAE55">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1256ED">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EE2E6E">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EFFDA6">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1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6BF246">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14:paraId="6AEB9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369" w:hRule="atLeast"/>
          <w:jc w:val="center"/>
        </w:trPr>
        <w:tc>
          <w:tcPr>
            <w:tcW w:w="297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EA4E77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55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120C8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E72D6A">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76.36</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EFCC5E">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76.36</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095E19">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6205B4">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9A4C4D">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18BCFB">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1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EAFD6E">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14:paraId="6E721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369" w:hRule="atLeast"/>
          <w:jc w:val="center"/>
        </w:trPr>
        <w:tc>
          <w:tcPr>
            <w:tcW w:w="297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7A2D10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55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4B11F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6BA276">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76.36</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954B95">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76.36</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2A9A98">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89958B">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DC230A">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57B33A">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1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7C670F">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14:paraId="4176E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369" w:hRule="atLeast"/>
          <w:jc w:val="center"/>
        </w:trPr>
        <w:tc>
          <w:tcPr>
            <w:tcW w:w="297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771068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55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28002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2F58D6">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76.36</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61FAB2">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76.36</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EFDA5D">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C85A6A">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B94A07">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C220E3">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1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C51FE0">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14:paraId="181A2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369" w:hRule="atLeast"/>
          <w:jc w:val="center"/>
        </w:trPr>
        <w:tc>
          <w:tcPr>
            <w:tcW w:w="297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3BB1D0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55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E4696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粮油物资储备支出</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C0C7D3">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1,040.90</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AB29FB">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1,040.90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19CB60">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2EF812">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457D23">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B30B15">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1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FA0169">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14:paraId="74B05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369" w:hRule="atLeast"/>
          <w:jc w:val="center"/>
        </w:trPr>
        <w:tc>
          <w:tcPr>
            <w:tcW w:w="297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A45892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w:t>
            </w:r>
          </w:p>
        </w:tc>
        <w:tc>
          <w:tcPr>
            <w:tcW w:w="55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9D1F2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粮油物资事务</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D2BAFD">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1,040.90</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4694F3">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1,040.90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2F518F">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F060E6">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2DB64D">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22A652">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1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370264">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14:paraId="49CA6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369" w:hRule="atLeast"/>
          <w:jc w:val="center"/>
        </w:trPr>
        <w:tc>
          <w:tcPr>
            <w:tcW w:w="297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D9630E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2220199</w:t>
            </w:r>
          </w:p>
        </w:tc>
        <w:tc>
          <w:tcPr>
            <w:tcW w:w="55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F3497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其他粮油物资事务支出</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261A61">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1,040.90</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5050B5">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1,040.90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3EE137">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FB4399">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CA5AB3">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5F21C8">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1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38BF58">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14:paraId="0565C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369" w:hRule="atLeast"/>
          <w:jc w:val="center"/>
        </w:trPr>
        <w:tc>
          <w:tcPr>
            <w:tcW w:w="297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9966C0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55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7D836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A7532F">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3,142.51</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A39FCC">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3,142.51</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D62684">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7F8BA1">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830512">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8D0793">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1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DC1600">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14:paraId="2BCA0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369" w:hRule="atLeast"/>
          <w:jc w:val="center"/>
        </w:trPr>
        <w:tc>
          <w:tcPr>
            <w:tcW w:w="297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202424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22904</w:t>
            </w:r>
          </w:p>
        </w:tc>
        <w:tc>
          <w:tcPr>
            <w:tcW w:w="55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E39D2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其他政府性基金及对应专项债务收入安排的支出</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10F9A6">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3,142.51</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7704C2">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3,142.51</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5A0F9D">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0A2CE3">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778B3A">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08E444">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1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6CB892">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14:paraId="58C9F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504" w:hRule="atLeast"/>
          <w:jc w:val="center"/>
        </w:trPr>
        <w:tc>
          <w:tcPr>
            <w:tcW w:w="297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4FBA81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2290402</w:t>
            </w:r>
          </w:p>
        </w:tc>
        <w:tc>
          <w:tcPr>
            <w:tcW w:w="55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23A6F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其他地方自行试点项目收益专项债券收入安排的支出</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28B6DC">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3,142.51</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C8F06A">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3,142.51</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3C8506">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0D2E8C">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358B37">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DEAE5F">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1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020A3D">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14:paraId="0212E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369" w:hRule="atLeast"/>
          <w:jc w:val="center"/>
        </w:trPr>
        <w:tc>
          <w:tcPr>
            <w:tcW w:w="15452" w:type="dxa"/>
            <w:gridSpan w:val="11"/>
            <w:tcBorders>
              <w:top w:val="single" w:color="auto" w:sz="4" w:space="0"/>
              <w:left w:val="nil"/>
              <w:bottom w:val="nil"/>
              <w:right w:val="nil"/>
            </w:tcBorders>
            <w:shd w:val="clear" w:color="auto" w:fill="auto"/>
            <w:noWrap/>
            <w:vAlign w:val="center"/>
          </w:tcPr>
          <w:p w14:paraId="7D34F9C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14:paraId="77DA8D4C">
      <w:pPr>
        <w:tabs>
          <w:tab w:val="left" w:pos="330"/>
          <w:tab w:val="left" w:pos="660"/>
          <w:tab w:val="left" w:pos="990"/>
          <w:tab w:val="left" w:pos="4920"/>
          <w:tab w:val="left" w:pos="6720"/>
          <w:tab w:val="left" w:pos="8520"/>
          <w:tab w:val="left" w:pos="10320"/>
          <w:tab w:val="left" w:pos="12120"/>
          <w:tab w:val="left" w:pos="13920"/>
        </w:tabs>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ab/>
      </w:r>
      <w:r>
        <w:rPr>
          <w:rFonts w:hint="eastAsia" w:ascii="宋体" w:hAnsi="宋体" w:eastAsia="宋体" w:cs="宋体"/>
          <w:i w:val="0"/>
          <w:iCs w:val="0"/>
          <w:color w:val="000000"/>
          <w:sz w:val="22"/>
          <w:szCs w:val="22"/>
          <w:u w:val="none"/>
        </w:rPr>
        <w:tab/>
      </w:r>
      <w:r>
        <w:rPr>
          <w:rFonts w:hint="eastAsia" w:ascii="宋体" w:hAnsi="宋体" w:eastAsia="宋体" w:cs="宋体"/>
          <w:i w:val="0"/>
          <w:iCs w:val="0"/>
          <w:color w:val="000000"/>
          <w:sz w:val="22"/>
          <w:szCs w:val="22"/>
          <w:u w:val="none"/>
        </w:rPr>
        <w:tab/>
      </w:r>
      <w:r>
        <w:rPr>
          <w:rFonts w:hint="eastAsia" w:ascii="宋体" w:hAnsi="宋体" w:eastAsia="宋体" w:cs="宋体"/>
          <w:i w:val="0"/>
          <w:iCs w:val="0"/>
          <w:color w:val="000000"/>
          <w:sz w:val="22"/>
          <w:szCs w:val="22"/>
          <w:u w:val="none"/>
        </w:rPr>
        <w:tab/>
      </w:r>
      <w:r>
        <w:rPr>
          <w:rFonts w:hint="eastAsia" w:ascii="宋体" w:hAnsi="宋体" w:eastAsia="宋体" w:cs="宋体"/>
          <w:i w:val="0"/>
          <w:iCs w:val="0"/>
          <w:color w:val="000000"/>
          <w:sz w:val="22"/>
          <w:szCs w:val="22"/>
          <w:u w:val="none"/>
        </w:rPr>
        <w:tab/>
      </w:r>
    </w:p>
    <w:p w14:paraId="4979C1CD">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br w:type="page"/>
      </w:r>
    </w:p>
    <w:p w14:paraId="091019E4">
      <w:pPr>
        <w:tabs>
          <w:tab w:val="left" w:pos="330"/>
          <w:tab w:val="left" w:pos="660"/>
          <w:tab w:val="left" w:pos="990"/>
          <w:tab w:val="left" w:pos="4920"/>
          <w:tab w:val="left" w:pos="6720"/>
          <w:tab w:val="left" w:pos="8520"/>
          <w:tab w:val="left" w:pos="10320"/>
          <w:tab w:val="left" w:pos="12120"/>
          <w:tab w:val="left" w:pos="13920"/>
        </w:tabs>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0"/>
          <w:szCs w:val="30"/>
          <w:u w:val="none"/>
          <w:lang w:val="en-US" w:eastAsia="zh-CN" w:bidi="ar"/>
        </w:rPr>
        <w:t>支出决算表</w:t>
      </w:r>
    </w:p>
    <w:p w14:paraId="50683034">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ab/>
      </w:r>
      <w:r>
        <w:rPr>
          <w:rFonts w:hint="eastAsia" w:ascii="宋体" w:hAnsi="宋体" w:eastAsia="宋体" w:cs="宋体"/>
          <w:i w:val="0"/>
          <w:iCs w:val="0"/>
          <w:color w:val="000000"/>
          <w:sz w:val="22"/>
          <w:szCs w:val="22"/>
          <w:u w:val="none"/>
        </w:rPr>
        <w:tab/>
      </w:r>
      <w:r>
        <w:rPr>
          <w:rFonts w:hint="eastAsia" w:ascii="宋体" w:hAnsi="宋体" w:eastAsia="宋体" w:cs="宋体"/>
          <w:i w:val="0"/>
          <w:iCs w:val="0"/>
          <w:color w:val="000000"/>
          <w:sz w:val="22"/>
          <w:szCs w:val="22"/>
          <w:u w:val="none"/>
        </w:rPr>
        <w:tab/>
      </w:r>
      <w:r>
        <w:rPr>
          <w:rFonts w:hint="eastAsia" w:ascii="宋体" w:hAnsi="宋体" w:eastAsia="宋体" w:cs="宋体"/>
          <w:i w:val="0"/>
          <w:iCs w:val="0"/>
          <w:color w:val="000000"/>
          <w:sz w:val="22"/>
          <w:szCs w:val="22"/>
          <w:u w:val="none"/>
        </w:rPr>
        <w:tab/>
      </w:r>
      <w:r>
        <w:rPr>
          <w:rFonts w:hint="eastAsia" w:ascii="宋体" w:hAnsi="宋体" w:eastAsia="宋体" w:cs="宋体"/>
          <w:i w:val="0"/>
          <w:iCs w:val="0"/>
          <w:color w:val="000000"/>
          <w:sz w:val="22"/>
          <w:szCs w:val="22"/>
          <w:u w:val="none"/>
        </w:rPr>
        <w:tab/>
      </w:r>
      <w:r>
        <w:rPr>
          <w:rFonts w:hint="eastAsia" w:ascii="宋体" w:hAnsi="宋体" w:eastAsia="宋体" w:cs="宋体"/>
          <w:i w:val="0"/>
          <w:iCs w:val="0"/>
          <w:color w:val="000000"/>
          <w:sz w:val="22"/>
          <w:szCs w:val="22"/>
          <w:u w:val="none"/>
        </w:rPr>
        <w:tab/>
      </w:r>
      <w:r>
        <w:rPr>
          <w:rFonts w:hint="eastAsia" w:ascii="宋体" w:hAnsi="宋体" w:eastAsia="宋体" w:cs="宋体"/>
          <w:i w:val="0"/>
          <w:iCs w:val="0"/>
          <w:color w:val="000000"/>
          <w:sz w:val="22"/>
          <w:szCs w:val="22"/>
          <w:u w:val="none"/>
        </w:rPr>
        <w:tab/>
      </w:r>
      <w:r>
        <w:rPr>
          <w:rFonts w:hint="eastAsia" w:ascii="宋体" w:hAnsi="宋体" w:eastAsia="宋体" w:cs="宋体"/>
          <w:i w:val="0"/>
          <w:iCs w:val="0"/>
          <w:color w:val="000000"/>
          <w:sz w:val="22"/>
          <w:szCs w:val="22"/>
          <w:u w:val="none"/>
        </w:rPr>
        <w:tab/>
      </w:r>
      <w:r>
        <w:rPr>
          <w:rFonts w:hint="eastAsia" w:ascii="宋体" w:hAnsi="宋体" w:eastAsia="宋体" w:cs="宋体"/>
          <w:i w:val="0"/>
          <w:iCs w:val="0"/>
          <w:color w:val="000000"/>
          <w:sz w:val="22"/>
          <w:szCs w:val="22"/>
          <w:u w:val="none"/>
        </w:rPr>
        <w:tab/>
      </w:r>
    </w:p>
    <w:tbl>
      <w:tblPr>
        <w:tblStyle w:val="11"/>
        <w:tblW w:w="14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28" w:type="dxa"/>
          <w:bottom w:w="0" w:type="dxa"/>
          <w:right w:w="28" w:type="dxa"/>
        </w:tblCellMar>
      </w:tblPr>
      <w:tblGrid>
        <w:gridCol w:w="3705"/>
        <w:gridCol w:w="102"/>
        <w:gridCol w:w="394"/>
        <w:gridCol w:w="4332"/>
        <w:gridCol w:w="1440"/>
        <w:gridCol w:w="1200"/>
        <w:gridCol w:w="1290"/>
        <w:gridCol w:w="510"/>
        <w:gridCol w:w="555"/>
        <w:gridCol w:w="1212"/>
      </w:tblGrid>
      <w:tr w14:paraId="60B97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trHeight w:val="238" w:hRule="atLeast"/>
          <w:jc w:val="center"/>
        </w:trPr>
        <w:tc>
          <w:tcPr>
            <w:tcW w:w="3705" w:type="dxa"/>
            <w:tcBorders>
              <w:top w:val="nil"/>
              <w:left w:val="nil"/>
              <w:bottom w:val="nil"/>
              <w:right w:val="nil"/>
            </w:tcBorders>
            <w:shd w:val="clear" w:color="auto" w:fill="auto"/>
            <w:noWrap/>
            <w:vAlign w:val="center"/>
          </w:tcPr>
          <w:p w14:paraId="38171E59">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102" w:type="dxa"/>
            <w:tcBorders>
              <w:top w:val="nil"/>
              <w:left w:val="nil"/>
              <w:bottom w:val="nil"/>
              <w:right w:val="nil"/>
            </w:tcBorders>
            <w:shd w:val="clear" w:color="auto" w:fill="auto"/>
            <w:noWrap/>
            <w:vAlign w:val="center"/>
          </w:tcPr>
          <w:p w14:paraId="3CAF232A">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394" w:type="dxa"/>
            <w:tcBorders>
              <w:top w:val="nil"/>
              <w:left w:val="nil"/>
              <w:bottom w:val="nil"/>
              <w:right w:val="nil"/>
            </w:tcBorders>
            <w:shd w:val="clear" w:color="auto" w:fill="auto"/>
            <w:noWrap/>
            <w:vAlign w:val="center"/>
          </w:tcPr>
          <w:p w14:paraId="6C5A24BE">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4332" w:type="dxa"/>
            <w:tcBorders>
              <w:top w:val="nil"/>
              <w:left w:val="nil"/>
              <w:bottom w:val="nil"/>
              <w:right w:val="nil"/>
            </w:tcBorders>
            <w:shd w:val="clear" w:color="auto" w:fill="auto"/>
            <w:noWrap/>
            <w:vAlign w:val="center"/>
          </w:tcPr>
          <w:p w14:paraId="16CF38C7">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1440" w:type="dxa"/>
            <w:tcBorders>
              <w:top w:val="nil"/>
              <w:left w:val="nil"/>
              <w:bottom w:val="nil"/>
              <w:right w:val="nil"/>
            </w:tcBorders>
            <w:shd w:val="clear" w:color="auto" w:fill="auto"/>
            <w:noWrap/>
            <w:vAlign w:val="center"/>
          </w:tcPr>
          <w:p w14:paraId="352C56FF">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1200" w:type="dxa"/>
            <w:tcBorders>
              <w:top w:val="nil"/>
              <w:left w:val="nil"/>
              <w:bottom w:val="nil"/>
              <w:right w:val="nil"/>
            </w:tcBorders>
            <w:shd w:val="clear" w:color="auto" w:fill="auto"/>
            <w:noWrap/>
            <w:vAlign w:val="center"/>
          </w:tcPr>
          <w:p w14:paraId="0DB05C5B">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1290" w:type="dxa"/>
            <w:tcBorders>
              <w:top w:val="nil"/>
              <w:left w:val="nil"/>
              <w:bottom w:val="nil"/>
              <w:right w:val="nil"/>
            </w:tcBorders>
            <w:shd w:val="clear" w:color="auto" w:fill="auto"/>
            <w:noWrap/>
            <w:vAlign w:val="center"/>
          </w:tcPr>
          <w:p w14:paraId="51B21975">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510" w:type="dxa"/>
            <w:tcBorders>
              <w:top w:val="nil"/>
              <w:left w:val="nil"/>
              <w:bottom w:val="nil"/>
              <w:right w:val="nil"/>
            </w:tcBorders>
            <w:shd w:val="clear" w:color="auto" w:fill="auto"/>
            <w:noWrap/>
            <w:vAlign w:val="center"/>
          </w:tcPr>
          <w:p w14:paraId="27CA1900">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555" w:type="dxa"/>
            <w:tcBorders>
              <w:top w:val="nil"/>
              <w:left w:val="nil"/>
              <w:bottom w:val="nil"/>
              <w:right w:val="nil"/>
            </w:tcBorders>
            <w:shd w:val="clear" w:color="auto" w:fill="auto"/>
            <w:noWrap/>
            <w:vAlign w:val="center"/>
          </w:tcPr>
          <w:p w14:paraId="23113F1F">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1212" w:type="dxa"/>
            <w:tcBorders>
              <w:top w:val="nil"/>
              <w:left w:val="nil"/>
              <w:bottom w:val="nil"/>
              <w:right w:val="nil"/>
            </w:tcBorders>
            <w:shd w:val="clear" w:color="auto" w:fill="auto"/>
            <w:noWrap/>
            <w:vAlign w:val="bottom"/>
          </w:tcPr>
          <w:p w14:paraId="3C31E4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14:paraId="127FF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38" w:hRule="atLeast"/>
          <w:jc w:val="center"/>
        </w:trPr>
        <w:tc>
          <w:tcPr>
            <w:tcW w:w="3705" w:type="dxa"/>
            <w:tcBorders>
              <w:top w:val="nil"/>
              <w:left w:val="nil"/>
              <w:bottom w:val="single" w:color="auto" w:sz="4" w:space="0"/>
              <w:right w:val="nil"/>
            </w:tcBorders>
            <w:shd w:val="clear" w:color="auto" w:fill="auto"/>
            <w:noWrap/>
            <w:vAlign w:val="bottom"/>
          </w:tcPr>
          <w:p w14:paraId="69F294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部门：溆浦县农业农村局</w:t>
            </w:r>
          </w:p>
        </w:tc>
        <w:tc>
          <w:tcPr>
            <w:tcW w:w="102" w:type="dxa"/>
            <w:tcBorders>
              <w:top w:val="nil"/>
              <w:left w:val="nil"/>
              <w:bottom w:val="single" w:color="auto" w:sz="4" w:space="0"/>
              <w:right w:val="nil"/>
            </w:tcBorders>
            <w:shd w:val="clear" w:color="auto" w:fill="auto"/>
            <w:noWrap/>
            <w:vAlign w:val="center"/>
          </w:tcPr>
          <w:p w14:paraId="2E74430F">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394" w:type="dxa"/>
            <w:tcBorders>
              <w:top w:val="nil"/>
              <w:left w:val="nil"/>
              <w:bottom w:val="single" w:color="auto" w:sz="4" w:space="0"/>
              <w:right w:val="nil"/>
            </w:tcBorders>
            <w:shd w:val="clear" w:color="auto" w:fill="auto"/>
            <w:noWrap/>
            <w:vAlign w:val="center"/>
          </w:tcPr>
          <w:p w14:paraId="7EE5DEF6">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4332" w:type="dxa"/>
            <w:tcBorders>
              <w:top w:val="nil"/>
              <w:left w:val="nil"/>
              <w:bottom w:val="single" w:color="auto" w:sz="4" w:space="0"/>
              <w:right w:val="nil"/>
            </w:tcBorders>
            <w:shd w:val="clear" w:color="auto" w:fill="auto"/>
            <w:noWrap/>
            <w:vAlign w:val="center"/>
          </w:tcPr>
          <w:p w14:paraId="53F3A831">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1440" w:type="dxa"/>
            <w:tcBorders>
              <w:top w:val="nil"/>
              <w:left w:val="nil"/>
              <w:bottom w:val="single" w:color="auto" w:sz="4" w:space="0"/>
              <w:right w:val="nil"/>
            </w:tcBorders>
            <w:shd w:val="clear" w:color="auto" w:fill="auto"/>
            <w:noWrap/>
            <w:vAlign w:val="center"/>
          </w:tcPr>
          <w:p w14:paraId="55350D5C">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1200" w:type="dxa"/>
            <w:tcBorders>
              <w:top w:val="nil"/>
              <w:left w:val="nil"/>
              <w:bottom w:val="single" w:color="auto" w:sz="4" w:space="0"/>
              <w:right w:val="nil"/>
            </w:tcBorders>
            <w:shd w:val="clear" w:color="auto" w:fill="auto"/>
            <w:noWrap/>
            <w:vAlign w:val="center"/>
          </w:tcPr>
          <w:p w14:paraId="5BCFCFAA">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1290" w:type="dxa"/>
            <w:tcBorders>
              <w:top w:val="nil"/>
              <w:left w:val="nil"/>
              <w:bottom w:val="single" w:color="auto" w:sz="4" w:space="0"/>
              <w:right w:val="nil"/>
            </w:tcBorders>
            <w:shd w:val="clear" w:color="auto" w:fill="auto"/>
            <w:noWrap/>
            <w:vAlign w:val="center"/>
          </w:tcPr>
          <w:p w14:paraId="1C972C6F">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510" w:type="dxa"/>
            <w:tcBorders>
              <w:top w:val="nil"/>
              <w:left w:val="nil"/>
              <w:bottom w:val="single" w:color="auto" w:sz="4" w:space="0"/>
              <w:right w:val="nil"/>
            </w:tcBorders>
            <w:shd w:val="clear" w:color="auto" w:fill="auto"/>
            <w:noWrap/>
            <w:vAlign w:val="center"/>
          </w:tcPr>
          <w:p w14:paraId="4FE6DF87">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555" w:type="dxa"/>
            <w:tcBorders>
              <w:top w:val="nil"/>
              <w:left w:val="nil"/>
              <w:bottom w:val="single" w:color="auto" w:sz="4" w:space="0"/>
              <w:right w:val="nil"/>
            </w:tcBorders>
            <w:shd w:val="clear" w:color="auto" w:fill="auto"/>
            <w:noWrap/>
            <w:vAlign w:val="center"/>
          </w:tcPr>
          <w:p w14:paraId="4918605E">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1212" w:type="dxa"/>
            <w:tcBorders>
              <w:top w:val="nil"/>
              <w:left w:val="nil"/>
              <w:bottom w:val="single" w:color="auto" w:sz="4" w:space="0"/>
              <w:right w:val="nil"/>
            </w:tcBorders>
            <w:shd w:val="clear" w:color="auto" w:fill="auto"/>
            <w:noWrap/>
            <w:vAlign w:val="bottom"/>
          </w:tcPr>
          <w:p w14:paraId="65207C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15D20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45" w:hRule="atLeast"/>
          <w:jc w:val="center"/>
        </w:trPr>
        <w:tc>
          <w:tcPr>
            <w:tcW w:w="853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BBEC3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0A6A2A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本年支出合计</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3BB64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本年收入</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25C381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项目支出</w:t>
            </w:r>
          </w:p>
        </w:tc>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14:paraId="294FA0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上缴上级支出</w:t>
            </w:r>
          </w:p>
        </w:tc>
        <w:tc>
          <w:tcPr>
            <w:tcW w:w="555" w:type="dxa"/>
            <w:tcBorders>
              <w:top w:val="single" w:color="auto" w:sz="4" w:space="0"/>
              <w:left w:val="single" w:color="auto" w:sz="4" w:space="0"/>
              <w:bottom w:val="single" w:color="auto" w:sz="4" w:space="0"/>
              <w:right w:val="single" w:color="auto" w:sz="4" w:space="0"/>
            </w:tcBorders>
            <w:shd w:val="clear" w:color="auto" w:fill="auto"/>
            <w:vAlign w:val="center"/>
          </w:tcPr>
          <w:p w14:paraId="7DECE7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经营支出</w:t>
            </w:r>
          </w:p>
        </w:tc>
        <w:tc>
          <w:tcPr>
            <w:tcW w:w="1212" w:type="dxa"/>
            <w:tcBorders>
              <w:top w:val="single" w:color="auto" w:sz="4" w:space="0"/>
              <w:left w:val="single" w:color="auto" w:sz="4" w:space="0"/>
              <w:bottom w:val="single" w:color="auto" w:sz="4" w:space="0"/>
              <w:right w:val="single" w:color="auto" w:sz="4" w:space="0"/>
            </w:tcBorders>
            <w:shd w:val="clear" w:color="auto" w:fill="auto"/>
            <w:vAlign w:val="center"/>
          </w:tcPr>
          <w:p w14:paraId="04BB6C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70738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45" w:hRule="atLeast"/>
          <w:jc w:val="center"/>
        </w:trPr>
        <w:tc>
          <w:tcPr>
            <w:tcW w:w="420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1D04B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科目代码</w:t>
            </w:r>
          </w:p>
        </w:tc>
        <w:tc>
          <w:tcPr>
            <w:tcW w:w="43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0BC4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科目名称</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30BF91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403FA5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4A2D51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14:paraId="514EC3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555" w:type="dxa"/>
            <w:tcBorders>
              <w:top w:val="single" w:color="auto" w:sz="4" w:space="0"/>
              <w:left w:val="single" w:color="auto" w:sz="4" w:space="0"/>
              <w:bottom w:val="single" w:color="auto" w:sz="4" w:space="0"/>
              <w:right w:val="single" w:color="auto" w:sz="4" w:space="0"/>
            </w:tcBorders>
            <w:shd w:val="clear" w:color="auto" w:fill="auto"/>
            <w:vAlign w:val="center"/>
          </w:tcPr>
          <w:p w14:paraId="0C7D1E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12" w:type="dxa"/>
            <w:tcBorders>
              <w:top w:val="single" w:color="auto" w:sz="4" w:space="0"/>
              <w:left w:val="single" w:color="auto" w:sz="4" w:space="0"/>
              <w:bottom w:val="single" w:color="auto" w:sz="4" w:space="0"/>
              <w:right w:val="single" w:color="auto" w:sz="4" w:space="0"/>
            </w:tcBorders>
            <w:shd w:val="clear" w:color="auto" w:fill="auto"/>
            <w:vAlign w:val="center"/>
          </w:tcPr>
          <w:p w14:paraId="1B6884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2"/>
                <w:szCs w:val="22"/>
                <w:u w:val="none"/>
                <w:lang w:val="en-US" w:eastAsia="zh-CN" w:bidi="ar"/>
              </w:rPr>
            </w:pPr>
          </w:p>
        </w:tc>
      </w:tr>
      <w:tr w14:paraId="2B0E0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45" w:hRule="atLeast"/>
          <w:jc w:val="center"/>
        </w:trPr>
        <w:tc>
          <w:tcPr>
            <w:tcW w:w="853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004FC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栏次</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7FB8A3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8EE9F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354CEC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14:paraId="375516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555" w:type="dxa"/>
            <w:tcBorders>
              <w:top w:val="single" w:color="auto" w:sz="4" w:space="0"/>
              <w:left w:val="single" w:color="auto" w:sz="4" w:space="0"/>
              <w:bottom w:val="single" w:color="auto" w:sz="4" w:space="0"/>
              <w:right w:val="single" w:color="auto" w:sz="4" w:space="0"/>
            </w:tcBorders>
            <w:shd w:val="clear" w:color="auto" w:fill="auto"/>
            <w:vAlign w:val="center"/>
          </w:tcPr>
          <w:p w14:paraId="0CB61B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1212" w:type="dxa"/>
            <w:tcBorders>
              <w:top w:val="single" w:color="auto" w:sz="4" w:space="0"/>
              <w:left w:val="single" w:color="auto" w:sz="4" w:space="0"/>
              <w:bottom w:val="single" w:color="auto" w:sz="4" w:space="0"/>
              <w:right w:val="single" w:color="auto" w:sz="4" w:space="0"/>
            </w:tcBorders>
            <w:shd w:val="clear" w:color="auto" w:fill="auto"/>
            <w:vAlign w:val="center"/>
          </w:tcPr>
          <w:p w14:paraId="459940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r>
      <w:tr w14:paraId="2A54E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45" w:hRule="atLeast"/>
          <w:jc w:val="center"/>
        </w:trPr>
        <w:tc>
          <w:tcPr>
            <w:tcW w:w="853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AC6EC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3922E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31,141.96</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CB171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2,191.57</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CF7F7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28,950.39</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43F964">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b/>
                <w:bCs/>
                <w:i w:val="0"/>
                <w:iCs w:val="0"/>
                <w:color w:val="000000"/>
                <w:sz w:val="22"/>
                <w:szCs w:val="22"/>
                <w:u w:val="none"/>
              </w:rPr>
            </w:pPr>
          </w:p>
        </w:tc>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3B5F62">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b/>
                <w:bCs/>
                <w:i w:val="0"/>
                <w:iCs w:val="0"/>
                <w:color w:val="000000"/>
                <w:sz w:val="22"/>
                <w:szCs w:val="22"/>
                <w:u w:val="none"/>
              </w:rPr>
            </w:pPr>
          </w:p>
        </w:tc>
        <w:tc>
          <w:tcPr>
            <w:tcW w:w="12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F913C6">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b/>
                <w:bCs/>
                <w:i w:val="0"/>
                <w:iCs w:val="0"/>
                <w:color w:val="000000"/>
                <w:sz w:val="22"/>
                <w:szCs w:val="22"/>
                <w:u w:val="none"/>
              </w:rPr>
            </w:pPr>
          </w:p>
        </w:tc>
      </w:tr>
      <w:tr w14:paraId="2FFF2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45" w:hRule="atLeast"/>
          <w:jc w:val="center"/>
        </w:trPr>
        <w:tc>
          <w:tcPr>
            <w:tcW w:w="420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568B5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3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DDB6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39BFF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61.25</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FF0A56">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93FA6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61.25</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33FF22">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9509BF">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A95D54">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3CA25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45" w:hRule="atLeast"/>
          <w:jc w:val="center"/>
        </w:trPr>
        <w:tc>
          <w:tcPr>
            <w:tcW w:w="420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6A001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w:t>
            </w:r>
          </w:p>
        </w:tc>
        <w:tc>
          <w:tcPr>
            <w:tcW w:w="43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7D0D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发展与改革事务</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13949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57.50</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E0855E">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1779E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57.50</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5EF8A4">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F07291">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9D3EE2">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716F3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45" w:hRule="atLeast"/>
          <w:jc w:val="center"/>
        </w:trPr>
        <w:tc>
          <w:tcPr>
            <w:tcW w:w="420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6473C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2010499</w:t>
            </w:r>
          </w:p>
        </w:tc>
        <w:tc>
          <w:tcPr>
            <w:tcW w:w="43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311C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其他发展与改革事务支出</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1F772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57.50</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8CE43B">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0EC89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57.50</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B4DE43">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9B9BD7">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45DF9D">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75D7F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45" w:hRule="atLeast"/>
          <w:jc w:val="center"/>
        </w:trPr>
        <w:tc>
          <w:tcPr>
            <w:tcW w:w="420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1A99B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w:t>
            </w:r>
          </w:p>
        </w:tc>
        <w:tc>
          <w:tcPr>
            <w:tcW w:w="43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D86E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纪检监察事务</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3C006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DC5885">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59CAB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DFAFA5">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5720EB">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923923">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6736C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45" w:hRule="atLeast"/>
          <w:jc w:val="center"/>
        </w:trPr>
        <w:tc>
          <w:tcPr>
            <w:tcW w:w="420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49BD0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2011102</w:t>
            </w:r>
          </w:p>
        </w:tc>
        <w:tc>
          <w:tcPr>
            <w:tcW w:w="43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7C3A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E7EFC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4D896B">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A3454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201316">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5626D4">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902060">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7AE9E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45" w:hRule="atLeast"/>
          <w:jc w:val="center"/>
        </w:trPr>
        <w:tc>
          <w:tcPr>
            <w:tcW w:w="420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BE9A8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20134</w:t>
            </w:r>
          </w:p>
        </w:tc>
        <w:tc>
          <w:tcPr>
            <w:tcW w:w="43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C2FC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统战事务</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B0216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2AA702">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87D0F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15AC89">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BEBFBE">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7797BB">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20BAA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45" w:hRule="atLeast"/>
          <w:jc w:val="center"/>
        </w:trPr>
        <w:tc>
          <w:tcPr>
            <w:tcW w:w="420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2A689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2013499</w:t>
            </w:r>
          </w:p>
        </w:tc>
        <w:tc>
          <w:tcPr>
            <w:tcW w:w="43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4E0A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其他统战事务支出</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B4277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A925DA">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09118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EC33AD">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1024E1">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5DA013">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6C0CE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45" w:hRule="atLeast"/>
          <w:jc w:val="center"/>
        </w:trPr>
        <w:tc>
          <w:tcPr>
            <w:tcW w:w="420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8DB40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3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8B0D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57A17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958.55</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D3280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232.30</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5001C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726.25</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43FBEB">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2CB313">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45AFCB">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40162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45" w:hRule="atLeast"/>
          <w:jc w:val="center"/>
        </w:trPr>
        <w:tc>
          <w:tcPr>
            <w:tcW w:w="420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74CD5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43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DC07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DF504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180.23</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83B0C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180.23</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568F2C">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2C2333">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E0CA6D">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72DD48">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4969C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45" w:hRule="atLeast"/>
          <w:jc w:val="center"/>
        </w:trPr>
        <w:tc>
          <w:tcPr>
            <w:tcW w:w="420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D07A4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3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A033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72337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180.23</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607A0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180.23</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16100E">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1E6755">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F1256E">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BE24A3">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2B2C5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45" w:hRule="atLeast"/>
          <w:jc w:val="center"/>
        </w:trPr>
        <w:tc>
          <w:tcPr>
            <w:tcW w:w="420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4EC64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w:t>
            </w:r>
          </w:p>
        </w:tc>
        <w:tc>
          <w:tcPr>
            <w:tcW w:w="43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479E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就业补助</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415E3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726.25</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88D329">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44EEB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726.25</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20F2E8">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DDED6B">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8985A8">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608B5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45" w:hRule="atLeast"/>
          <w:jc w:val="center"/>
        </w:trPr>
        <w:tc>
          <w:tcPr>
            <w:tcW w:w="420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FD3B0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2080705</w:t>
            </w:r>
          </w:p>
        </w:tc>
        <w:tc>
          <w:tcPr>
            <w:tcW w:w="43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E83A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公益性岗位补贴</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BFB9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726.25</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63CDE9">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2465E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726.25</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4428E7">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2E813F">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9B9338">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59E98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45" w:hRule="atLeast"/>
          <w:jc w:val="center"/>
        </w:trPr>
        <w:tc>
          <w:tcPr>
            <w:tcW w:w="420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D6C57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43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7F39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224BE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52.08</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618F4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52.08</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BA7277">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165D36">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43CFC2">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07BDFB">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6C803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45" w:hRule="atLeast"/>
          <w:jc w:val="center"/>
        </w:trPr>
        <w:tc>
          <w:tcPr>
            <w:tcW w:w="420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98BD8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43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E556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74A14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52.08</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EDAE3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52.08</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1F2CE4">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F16E25">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FB0BE8">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E5D02E">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0A610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45" w:hRule="atLeast"/>
          <w:jc w:val="center"/>
        </w:trPr>
        <w:tc>
          <w:tcPr>
            <w:tcW w:w="420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332A9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3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400C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F9B54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77.80</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6F6B7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77.80</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B75957">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0E3371">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A04D08">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66D79F">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7FEA2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45" w:hRule="atLeast"/>
          <w:jc w:val="center"/>
        </w:trPr>
        <w:tc>
          <w:tcPr>
            <w:tcW w:w="420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FD3E7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43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2F38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A79FB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77.80</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B978C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77.80</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B07A06">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F3A6C5">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49A540">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9E4B57">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18174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45" w:hRule="atLeast"/>
          <w:jc w:val="center"/>
        </w:trPr>
        <w:tc>
          <w:tcPr>
            <w:tcW w:w="420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F2DFF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43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9C28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60715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77.80</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BECE3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77.80</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4EF545">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47FE76">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7D3BDC">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BB8730">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5FC89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45" w:hRule="atLeast"/>
          <w:jc w:val="center"/>
        </w:trPr>
        <w:tc>
          <w:tcPr>
            <w:tcW w:w="420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377A9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43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29A6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节能环保支出</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5135B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2BFD6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3BFB81">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3CAB17">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DD39D0">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AAC194">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1C00B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45" w:hRule="atLeast"/>
          <w:jc w:val="center"/>
        </w:trPr>
        <w:tc>
          <w:tcPr>
            <w:tcW w:w="420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92958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w:t>
            </w:r>
          </w:p>
        </w:tc>
        <w:tc>
          <w:tcPr>
            <w:tcW w:w="43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0B07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自然生态保护</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4CAF7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E80CB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DB0C0D">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646E0B">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357244">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8FB2D0">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7EBE8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45" w:hRule="atLeast"/>
          <w:jc w:val="center"/>
        </w:trPr>
        <w:tc>
          <w:tcPr>
            <w:tcW w:w="420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D68AF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2110402</w:t>
            </w:r>
          </w:p>
        </w:tc>
        <w:tc>
          <w:tcPr>
            <w:tcW w:w="43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568E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农村环境保护</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B21BD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3F4F2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6BCA58">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F6AAE1">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DBFD08">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559791">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1E376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45" w:hRule="atLeast"/>
          <w:jc w:val="center"/>
        </w:trPr>
        <w:tc>
          <w:tcPr>
            <w:tcW w:w="420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B73B3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43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4C7C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959FF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25,760.53</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EC127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1,793.05</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39D5C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23,967.48</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4673E5">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96642A">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AFF63F">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16961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45" w:hRule="atLeast"/>
          <w:jc w:val="center"/>
        </w:trPr>
        <w:tc>
          <w:tcPr>
            <w:tcW w:w="420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06209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43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FA52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8F473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11,383.47</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C4572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1,434.75</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2B502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9,948.72</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B9CE66">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38BB31">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C24B9D">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354B9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45" w:hRule="atLeast"/>
          <w:jc w:val="center"/>
        </w:trPr>
        <w:tc>
          <w:tcPr>
            <w:tcW w:w="420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2B9AB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2130101</w:t>
            </w:r>
          </w:p>
        </w:tc>
        <w:tc>
          <w:tcPr>
            <w:tcW w:w="43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A8BC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7EBF3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1,248.30</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BDD07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1,248.30</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02286C">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8C4A1C">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61CE9D">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AB2211">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54EBE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45" w:hRule="atLeast"/>
          <w:jc w:val="center"/>
        </w:trPr>
        <w:tc>
          <w:tcPr>
            <w:tcW w:w="420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8662E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2130102</w:t>
            </w:r>
          </w:p>
        </w:tc>
        <w:tc>
          <w:tcPr>
            <w:tcW w:w="43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04D1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E8892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15.19</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BF50CF">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B2C7E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15.19</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F62903">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620295">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CDC93A">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76C0B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45" w:hRule="atLeast"/>
          <w:jc w:val="center"/>
        </w:trPr>
        <w:tc>
          <w:tcPr>
            <w:tcW w:w="420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1AAC0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2130106</w:t>
            </w:r>
          </w:p>
        </w:tc>
        <w:tc>
          <w:tcPr>
            <w:tcW w:w="43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376D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科技转化与推广服务</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1AFE9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196.35</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854660">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3540B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196.35</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6CA8A9">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3D4AD0">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B8F82A">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3296D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45" w:hRule="atLeast"/>
          <w:jc w:val="center"/>
        </w:trPr>
        <w:tc>
          <w:tcPr>
            <w:tcW w:w="420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42132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2130108</w:t>
            </w:r>
          </w:p>
        </w:tc>
        <w:tc>
          <w:tcPr>
            <w:tcW w:w="43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5566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病虫害控制</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43253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31.94</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A05F6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24.94</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D812C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439648">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973C05">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CC45AB">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4C53A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45" w:hRule="atLeast"/>
          <w:jc w:val="center"/>
        </w:trPr>
        <w:tc>
          <w:tcPr>
            <w:tcW w:w="420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B0AE7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2130109</w:t>
            </w:r>
          </w:p>
        </w:tc>
        <w:tc>
          <w:tcPr>
            <w:tcW w:w="43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2F83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农产品质量安全</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C3731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71.13</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96A38E">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F09A5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71.13</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1E5D84">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6549F5">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726688">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4701F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45" w:hRule="atLeast"/>
          <w:jc w:val="center"/>
        </w:trPr>
        <w:tc>
          <w:tcPr>
            <w:tcW w:w="420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866ED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2130110</w:t>
            </w:r>
          </w:p>
        </w:tc>
        <w:tc>
          <w:tcPr>
            <w:tcW w:w="43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E13B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执法监管</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843B5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22.11</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D1720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22.11</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F57E06">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88650E">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4B71CC">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5F186C">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3E642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45" w:hRule="atLeast"/>
          <w:jc w:val="center"/>
        </w:trPr>
        <w:tc>
          <w:tcPr>
            <w:tcW w:w="420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FBC05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2130111</w:t>
            </w:r>
          </w:p>
        </w:tc>
        <w:tc>
          <w:tcPr>
            <w:tcW w:w="43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FEC7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统计监测与信息服务</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8E024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7.25</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AE694D">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8267F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7.25</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D27079">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37F0B3">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15A617">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5E630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45" w:hRule="atLeast"/>
          <w:jc w:val="center"/>
        </w:trPr>
        <w:tc>
          <w:tcPr>
            <w:tcW w:w="420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4C1A3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2130120</w:t>
            </w:r>
          </w:p>
        </w:tc>
        <w:tc>
          <w:tcPr>
            <w:tcW w:w="43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B74F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稳定农民收入补贴</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1D8FC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5,841.71</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34B521">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8236B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5,841.71</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C552C5">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E8F494">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47B758">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7948D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45" w:hRule="atLeast"/>
          <w:jc w:val="center"/>
        </w:trPr>
        <w:tc>
          <w:tcPr>
            <w:tcW w:w="420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5F4D4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2130121</w:t>
            </w:r>
          </w:p>
        </w:tc>
        <w:tc>
          <w:tcPr>
            <w:tcW w:w="43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1A41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农业结构调整补贴</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6A0A9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184.42</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8C222A">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CAF08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184.42</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8F1221">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1E844A">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A9A814">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1D658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45" w:hRule="atLeast"/>
          <w:jc w:val="center"/>
        </w:trPr>
        <w:tc>
          <w:tcPr>
            <w:tcW w:w="420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7E38C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2130122</w:t>
            </w:r>
          </w:p>
        </w:tc>
        <w:tc>
          <w:tcPr>
            <w:tcW w:w="43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9555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农业生产发展</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E65E3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136.62</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A3D8D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258E1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134.62</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B07904">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9C85C3">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0A15C7">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2624A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45" w:hRule="atLeast"/>
          <w:jc w:val="center"/>
        </w:trPr>
        <w:tc>
          <w:tcPr>
            <w:tcW w:w="420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03521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2130126</w:t>
            </w:r>
          </w:p>
        </w:tc>
        <w:tc>
          <w:tcPr>
            <w:tcW w:w="43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0930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农村社会事业</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41767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93.76</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2536C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93.76</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DECF5F">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0AF86A">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8BB8B7">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9D3988">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201C2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45" w:hRule="atLeast"/>
          <w:jc w:val="center"/>
        </w:trPr>
        <w:tc>
          <w:tcPr>
            <w:tcW w:w="420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F3BE9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2130135</w:t>
            </w:r>
          </w:p>
        </w:tc>
        <w:tc>
          <w:tcPr>
            <w:tcW w:w="43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C309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农业生态资源保护</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58D16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518.66</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9D6A72">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62BC9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518.66</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6C20F7">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EA96E7">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150658">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4DB6E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45" w:hRule="atLeast"/>
          <w:jc w:val="center"/>
        </w:trPr>
        <w:tc>
          <w:tcPr>
            <w:tcW w:w="420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18C4C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2130153</w:t>
            </w:r>
          </w:p>
        </w:tc>
        <w:tc>
          <w:tcPr>
            <w:tcW w:w="43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4122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耕地建设与利用</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0AAE1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2,040.96</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54D808">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A3D81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2,040.96</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ABA987">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B2A8FA">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64291C">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015B3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45" w:hRule="atLeast"/>
          <w:jc w:val="center"/>
        </w:trPr>
        <w:tc>
          <w:tcPr>
            <w:tcW w:w="420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27948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43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B3BF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其他农业农村支出</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8E127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975.06</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F5C16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43.63</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2A298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931.43</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8E7A1C">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29DF07">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C4DA7E">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7EDC1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45" w:hRule="atLeast"/>
          <w:jc w:val="center"/>
        </w:trPr>
        <w:tc>
          <w:tcPr>
            <w:tcW w:w="420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73368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43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6D97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2236E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12,940.96</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2D847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358.30</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91955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12,582.65</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B54B65">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714C48">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DA0BB3">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5B1DF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45" w:hRule="atLeast"/>
          <w:jc w:val="center"/>
        </w:trPr>
        <w:tc>
          <w:tcPr>
            <w:tcW w:w="420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1F128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2130501</w:t>
            </w:r>
          </w:p>
        </w:tc>
        <w:tc>
          <w:tcPr>
            <w:tcW w:w="43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32F2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184A1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192.28</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D6149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192.28</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7C71B1">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1B0B9C">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DFCD2D">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F014F3">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311E1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45" w:hRule="atLeast"/>
          <w:jc w:val="center"/>
        </w:trPr>
        <w:tc>
          <w:tcPr>
            <w:tcW w:w="420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81635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2130504</w:t>
            </w:r>
          </w:p>
        </w:tc>
        <w:tc>
          <w:tcPr>
            <w:tcW w:w="43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B9E7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67BA6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153.17</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A7B921">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8998C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153.17</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ACE4BD">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E513BC">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20C960">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01FEA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45" w:hRule="atLeast"/>
          <w:jc w:val="center"/>
        </w:trPr>
        <w:tc>
          <w:tcPr>
            <w:tcW w:w="420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20BC5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2130505</w:t>
            </w:r>
          </w:p>
        </w:tc>
        <w:tc>
          <w:tcPr>
            <w:tcW w:w="43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E3E6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生产发展</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4A612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2,499.44</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796212">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CC876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2,499.44</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6B3494">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04DA2F">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B4D2B1">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2480C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45" w:hRule="atLeast"/>
          <w:jc w:val="center"/>
        </w:trPr>
        <w:tc>
          <w:tcPr>
            <w:tcW w:w="420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EEA20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2130507</w:t>
            </w:r>
          </w:p>
        </w:tc>
        <w:tc>
          <w:tcPr>
            <w:tcW w:w="43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8EFB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贷款奖补和贴息</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23D65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165.86</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6CCCE2">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B59E8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165.86</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52ACAE">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DBA7E4">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7F49C7">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3E431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45" w:hRule="atLeast"/>
          <w:jc w:val="center"/>
        </w:trPr>
        <w:tc>
          <w:tcPr>
            <w:tcW w:w="420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8FBD9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43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6582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C0027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9,930.21</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F61C5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166.02</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CB8F8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9,764.19</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CAE54A">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E84AFA">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DE8326">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39830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45" w:hRule="atLeast"/>
          <w:jc w:val="center"/>
        </w:trPr>
        <w:tc>
          <w:tcPr>
            <w:tcW w:w="420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541A4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21309</w:t>
            </w:r>
          </w:p>
        </w:tc>
        <w:tc>
          <w:tcPr>
            <w:tcW w:w="43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B8AB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目标价格补贴</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49605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1,436.11</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CCB238">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3D83E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1,436.11</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32B7FC">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DE417D">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ACAACF">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46A37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45" w:hRule="atLeast"/>
          <w:jc w:val="center"/>
        </w:trPr>
        <w:tc>
          <w:tcPr>
            <w:tcW w:w="420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A3B47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2130999</w:t>
            </w:r>
          </w:p>
        </w:tc>
        <w:tc>
          <w:tcPr>
            <w:tcW w:w="43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4FF1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其他目标价格补贴</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2FD98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1,436.11</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EF0681">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E993D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1,436.11</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DFB10C">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3272EE">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606F47">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3430C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45" w:hRule="atLeast"/>
          <w:jc w:val="center"/>
        </w:trPr>
        <w:tc>
          <w:tcPr>
            <w:tcW w:w="420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356C4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43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7AA3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商业服务业等支出</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252CA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D0C14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17945E">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4DD348">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210995">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461C56">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1163B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45" w:hRule="atLeast"/>
          <w:jc w:val="center"/>
        </w:trPr>
        <w:tc>
          <w:tcPr>
            <w:tcW w:w="420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6EBF2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w:t>
            </w:r>
          </w:p>
        </w:tc>
        <w:tc>
          <w:tcPr>
            <w:tcW w:w="43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88D6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商业流通事务</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94B06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BAFC7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046B0E">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F2FA47">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D15A1C">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593E6D">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7AD9C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45" w:hRule="atLeast"/>
          <w:jc w:val="center"/>
        </w:trPr>
        <w:tc>
          <w:tcPr>
            <w:tcW w:w="420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FD6FD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2160299</w:t>
            </w:r>
          </w:p>
        </w:tc>
        <w:tc>
          <w:tcPr>
            <w:tcW w:w="43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630D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其他商业流通事务支出</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D4A40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57CD6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D43559">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12A521">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AA10C3">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E58CB2">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22DFE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45" w:hRule="atLeast"/>
          <w:jc w:val="center"/>
        </w:trPr>
        <w:tc>
          <w:tcPr>
            <w:tcW w:w="420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10CB9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w:t>
            </w:r>
          </w:p>
        </w:tc>
        <w:tc>
          <w:tcPr>
            <w:tcW w:w="43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D7D5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金融支出</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FF8DC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7AFB74">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0DA4E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3FC897">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45A1AD">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E6FD1C">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358C3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45" w:hRule="atLeast"/>
          <w:jc w:val="center"/>
        </w:trPr>
        <w:tc>
          <w:tcPr>
            <w:tcW w:w="420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1A497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21703</w:t>
            </w:r>
          </w:p>
        </w:tc>
        <w:tc>
          <w:tcPr>
            <w:tcW w:w="43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0F53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金融发展支出</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1CEE3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DA0007">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2FE2F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5954DC">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C6D7C1">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17B9DC">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4D7F3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45" w:hRule="atLeast"/>
          <w:jc w:val="center"/>
        </w:trPr>
        <w:tc>
          <w:tcPr>
            <w:tcW w:w="420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3F325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2170399</w:t>
            </w:r>
          </w:p>
        </w:tc>
        <w:tc>
          <w:tcPr>
            <w:tcW w:w="43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7311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其他金融发展支出</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EDA39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BEAE3F">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C8CC3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B2A35E">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F83F03">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8006E7">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1DECE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45" w:hRule="atLeast"/>
          <w:jc w:val="center"/>
        </w:trPr>
        <w:tc>
          <w:tcPr>
            <w:tcW w:w="420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B656A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43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8E49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EC1DE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76.36</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8BC81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76.36</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6B6DB7">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DB8CC5">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B4C019">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A99931">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0E8AA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45" w:hRule="atLeast"/>
          <w:jc w:val="center"/>
        </w:trPr>
        <w:tc>
          <w:tcPr>
            <w:tcW w:w="420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61EE1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43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EE48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E1C0F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76.36</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4F0A5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76.36</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EA7268">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4F2613">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352D83">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AF7A3E">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7EF73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45" w:hRule="atLeast"/>
          <w:jc w:val="center"/>
        </w:trPr>
        <w:tc>
          <w:tcPr>
            <w:tcW w:w="420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CBEE6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43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0A76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C7D53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76.36</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A99F9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76.36</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19FFB9">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5A7BEB">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3928E8">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699266">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62F16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45" w:hRule="atLeast"/>
          <w:jc w:val="center"/>
        </w:trPr>
        <w:tc>
          <w:tcPr>
            <w:tcW w:w="420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93AC4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43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9C26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粮油物资储备支出</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725F5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1,040.90</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855536">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11D70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1,040.90</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0A50E4">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8364F4">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07BDF0">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4B508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45" w:hRule="atLeast"/>
          <w:jc w:val="center"/>
        </w:trPr>
        <w:tc>
          <w:tcPr>
            <w:tcW w:w="420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A2FD2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w:t>
            </w:r>
          </w:p>
        </w:tc>
        <w:tc>
          <w:tcPr>
            <w:tcW w:w="43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5AED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粮油物资事务</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94289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1,040.90</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5517AD">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3DD28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1,040.90</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498F59">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7379A6">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C674A8">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39ED5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45" w:hRule="atLeast"/>
          <w:jc w:val="center"/>
        </w:trPr>
        <w:tc>
          <w:tcPr>
            <w:tcW w:w="420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B2E1D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2220199</w:t>
            </w:r>
          </w:p>
        </w:tc>
        <w:tc>
          <w:tcPr>
            <w:tcW w:w="43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6771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其他粮油物资事务支出</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21BEB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1,040.90</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CF739A">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CD726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1,040.90</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EB6A2A">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10362F">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2FB2A9">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628E1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45" w:hRule="atLeast"/>
          <w:jc w:val="center"/>
        </w:trPr>
        <w:tc>
          <w:tcPr>
            <w:tcW w:w="420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93F2A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43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719A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8E567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3,142.51</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431E85">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7CB0E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3,142.51</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D186DA">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21CEDA">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E0A833">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71878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45" w:hRule="atLeast"/>
          <w:jc w:val="center"/>
        </w:trPr>
        <w:tc>
          <w:tcPr>
            <w:tcW w:w="420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891A3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22904</w:t>
            </w:r>
          </w:p>
        </w:tc>
        <w:tc>
          <w:tcPr>
            <w:tcW w:w="43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89A8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其他政府性基金及对应专项债务收入安排的支出</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B0E46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3,142.51</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948CA1">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A98BB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3,142.51</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46B7AC">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17F26D">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91732C">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5116B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45" w:hRule="atLeast"/>
          <w:jc w:val="center"/>
        </w:trPr>
        <w:tc>
          <w:tcPr>
            <w:tcW w:w="420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E8C5C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2290402</w:t>
            </w:r>
          </w:p>
        </w:tc>
        <w:tc>
          <w:tcPr>
            <w:tcW w:w="43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625F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其他地方自行试点项目收益专项债券收入安排的支出</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2C659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3,142.51</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880D4C">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18613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3,142.51</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C4CE7D">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5450CC">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12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B04512">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3054A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45" w:hRule="atLeast"/>
          <w:jc w:val="center"/>
        </w:trPr>
        <w:tc>
          <w:tcPr>
            <w:tcW w:w="14740" w:type="dxa"/>
            <w:gridSpan w:val="10"/>
            <w:tcBorders>
              <w:top w:val="single" w:color="auto" w:sz="4" w:space="0"/>
              <w:left w:val="nil"/>
              <w:bottom w:val="nil"/>
              <w:right w:val="nil"/>
            </w:tcBorders>
            <w:shd w:val="clear" w:color="auto" w:fill="auto"/>
            <w:noWrap/>
            <w:vAlign w:val="center"/>
          </w:tcPr>
          <w:p w14:paraId="649B80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14:paraId="45953D90">
      <w:pPr>
        <w:rPr>
          <w:rFonts w:hint="eastAsia" w:ascii="方正小标宋_GBK" w:hAnsi="方正小标宋_GBK" w:eastAsia="方正小标宋_GBK" w:cs="方正小标宋_GBK"/>
          <w:color w:val="auto"/>
          <w:sz w:val="72"/>
          <w:szCs w:val="72"/>
        </w:rPr>
      </w:pPr>
      <w:r>
        <w:rPr>
          <w:rFonts w:hint="eastAsia" w:ascii="方正小标宋_GBK" w:hAnsi="方正小标宋_GBK" w:eastAsia="方正小标宋_GBK" w:cs="方正小标宋_GBK"/>
          <w:color w:val="auto"/>
          <w:sz w:val="72"/>
          <w:szCs w:val="72"/>
        </w:rPr>
        <w:br w:type="page"/>
      </w:r>
    </w:p>
    <w:p w14:paraId="7B132D99">
      <w:pPr>
        <w:tabs>
          <w:tab w:val="left" w:pos="3270"/>
          <w:tab w:val="left" w:pos="3840"/>
          <w:tab w:val="left" w:pos="5520"/>
          <w:tab w:val="left" w:pos="9180"/>
          <w:tab w:val="left" w:pos="9750"/>
          <w:tab w:val="left" w:pos="11430"/>
          <w:tab w:val="left" w:pos="13110"/>
          <w:tab w:val="left" w:pos="14790"/>
        </w:tabs>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ab/>
      </w:r>
      <w:r>
        <w:rPr>
          <w:rFonts w:hint="eastAsia" w:ascii="宋体" w:hAnsi="宋体" w:eastAsia="宋体" w:cs="宋体"/>
          <w:i w:val="0"/>
          <w:iCs w:val="0"/>
          <w:color w:val="000000"/>
          <w:sz w:val="22"/>
          <w:szCs w:val="22"/>
          <w:u w:val="none"/>
        </w:rPr>
        <w:tab/>
      </w:r>
      <w:r>
        <w:rPr>
          <w:rFonts w:hint="eastAsia" w:ascii="宋体" w:hAnsi="宋体" w:eastAsia="宋体" w:cs="宋体"/>
          <w:i w:val="0"/>
          <w:iCs w:val="0"/>
          <w:color w:val="000000"/>
          <w:sz w:val="22"/>
          <w:szCs w:val="22"/>
          <w:u w:val="none"/>
        </w:rPr>
        <w:tab/>
      </w:r>
      <w:r>
        <w:rPr>
          <w:rFonts w:hint="eastAsia" w:ascii="黑体" w:hAnsi="宋体" w:eastAsia="黑体" w:cs="黑体"/>
          <w:i w:val="0"/>
          <w:iCs w:val="0"/>
          <w:color w:val="000000"/>
          <w:kern w:val="0"/>
          <w:sz w:val="30"/>
          <w:szCs w:val="30"/>
          <w:u w:val="none"/>
          <w:lang w:val="en-US" w:eastAsia="zh-CN" w:bidi="ar"/>
        </w:rPr>
        <w:t>财政拨款收入支出决算总表</w:t>
      </w:r>
      <w:r>
        <w:rPr>
          <w:rFonts w:ascii="黑体" w:hAnsi="宋体" w:eastAsia="黑体" w:cs="黑体"/>
          <w:i w:val="0"/>
          <w:iCs w:val="0"/>
          <w:color w:val="000000"/>
          <w:sz w:val="30"/>
          <w:szCs w:val="30"/>
          <w:u w:val="none"/>
        </w:rPr>
        <w:tab/>
      </w:r>
      <w:r>
        <w:rPr>
          <w:rFonts w:hint="eastAsia" w:ascii="宋体" w:hAnsi="宋体" w:eastAsia="宋体" w:cs="宋体"/>
          <w:i w:val="0"/>
          <w:iCs w:val="0"/>
          <w:color w:val="000000"/>
          <w:sz w:val="22"/>
          <w:szCs w:val="22"/>
          <w:u w:val="none"/>
        </w:rPr>
        <w:tab/>
      </w:r>
      <w:r>
        <w:rPr>
          <w:rFonts w:hint="eastAsia" w:ascii="宋体" w:hAnsi="宋体" w:eastAsia="宋体" w:cs="宋体"/>
          <w:i w:val="0"/>
          <w:iCs w:val="0"/>
          <w:color w:val="000000"/>
          <w:sz w:val="22"/>
          <w:szCs w:val="22"/>
          <w:u w:val="none"/>
        </w:rPr>
        <w:tab/>
      </w:r>
      <w:r>
        <w:rPr>
          <w:rFonts w:hint="eastAsia" w:ascii="宋体" w:hAnsi="宋体" w:eastAsia="宋体" w:cs="宋体"/>
          <w:i w:val="0"/>
          <w:iCs w:val="0"/>
          <w:color w:val="000000"/>
          <w:sz w:val="22"/>
          <w:szCs w:val="22"/>
          <w:u w:val="none"/>
        </w:rPr>
        <w:tab/>
      </w:r>
      <w:r>
        <w:rPr>
          <w:rFonts w:hint="eastAsia" w:ascii="宋体" w:hAnsi="宋体" w:eastAsia="宋体" w:cs="宋体"/>
          <w:i w:val="0"/>
          <w:iCs w:val="0"/>
          <w:color w:val="000000"/>
          <w:sz w:val="22"/>
          <w:szCs w:val="22"/>
          <w:u w:val="none"/>
        </w:rPr>
        <w:tab/>
      </w:r>
    </w:p>
    <w:tbl>
      <w:tblPr>
        <w:tblStyle w:val="1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28" w:type="dxa"/>
          <w:bottom w:w="0" w:type="dxa"/>
          <w:right w:w="28" w:type="dxa"/>
        </w:tblCellMar>
      </w:tblPr>
      <w:tblGrid>
        <w:gridCol w:w="2692"/>
        <w:gridCol w:w="433"/>
        <w:gridCol w:w="903"/>
        <w:gridCol w:w="2880"/>
        <w:gridCol w:w="433"/>
        <w:gridCol w:w="903"/>
        <w:gridCol w:w="1939"/>
        <w:gridCol w:w="2127"/>
        <w:gridCol w:w="2316"/>
      </w:tblGrid>
      <w:tr w14:paraId="384ED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trHeight w:val="148" w:hRule="atLeast"/>
          <w:jc w:val="center"/>
        </w:trPr>
        <w:tc>
          <w:tcPr>
            <w:tcW w:w="0" w:type="auto"/>
            <w:tcBorders>
              <w:top w:val="nil"/>
              <w:left w:val="nil"/>
              <w:bottom w:val="nil"/>
              <w:right w:val="nil"/>
            </w:tcBorders>
            <w:shd w:val="clear" w:color="auto" w:fill="auto"/>
            <w:noWrap/>
            <w:vAlign w:val="center"/>
          </w:tcPr>
          <w:p w14:paraId="7AAC5D9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0B2688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FB12D2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F088E1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D02BB6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F0854D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0EDD72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3C7A14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2C7CD975">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14:paraId="36491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48" w:hRule="atLeast"/>
          <w:jc w:val="center"/>
        </w:trPr>
        <w:tc>
          <w:tcPr>
            <w:tcW w:w="0" w:type="auto"/>
            <w:tcBorders>
              <w:top w:val="nil"/>
              <w:left w:val="nil"/>
              <w:bottom w:val="single" w:color="auto" w:sz="4" w:space="0"/>
              <w:right w:val="nil"/>
            </w:tcBorders>
            <w:shd w:val="clear" w:color="auto" w:fill="auto"/>
            <w:noWrap/>
            <w:vAlign w:val="bottom"/>
          </w:tcPr>
          <w:p w14:paraId="58701121">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部门：溆浦县农业农村局</w:t>
            </w:r>
          </w:p>
        </w:tc>
        <w:tc>
          <w:tcPr>
            <w:tcW w:w="0" w:type="auto"/>
            <w:tcBorders>
              <w:top w:val="nil"/>
              <w:left w:val="nil"/>
              <w:bottom w:val="single" w:color="auto" w:sz="4" w:space="0"/>
              <w:right w:val="nil"/>
            </w:tcBorders>
            <w:shd w:val="clear" w:color="auto" w:fill="auto"/>
            <w:noWrap/>
            <w:vAlign w:val="center"/>
          </w:tcPr>
          <w:p w14:paraId="58BE2DA0">
            <w:pPr>
              <w:rPr>
                <w:rFonts w:hint="eastAsia" w:ascii="宋体" w:hAnsi="宋体" w:eastAsia="宋体" w:cs="宋体"/>
                <w:i w:val="0"/>
                <w:iCs w:val="0"/>
                <w:color w:val="000000"/>
                <w:sz w:val="22"/>
                <w:szCs w:val="22"/>
                <w:u w:val="none"/>
              </w:rPr>
            </w:pPr>
          </w:p>
        </w:tc>
        <w:tc>
          <w:tcPr>
            <w:tcW w:w="0" w:type="auto"/>
            <w:tcBorders>
              <w:top w:val="nil"/>
              <w:left w:val="nil"/>
              <w:bottom w:val="single" w:color="auto" w:sz="4" w:space="0"/>
              <w:right w:val="nil"/>
            </w:tcBorders>
            <w:shd w:val="clear" w:color="auto" w:fill="auto"/>
            <w:noWrap/>
            <w:vAlign w:val="center"/>
          </w:tcPr>
          <w:p w14:paraId="37E06904">
            <w:pPr>
              <w:rPr>
                <w:rFonts w:hint="eastAsia" w:ascii="宋体" w:hAnsi="宋体" w:eastAsia="宋体" w:cs="宋体"/>
                <w:i w:val="0"/>
                <w:iCs w:val="0"/>
                <w:color w:val="000000"/>
                <w:sz w:val="22"/>
                <w:szCs w:val="22"/>
                <w:u w:val="none"/>
              </w:rPr>
            </w:pPr>
          </w:p>
        </w:tc>
        <w:tc>
          <w:tcPr>
            <w:tcW w:w="0" w:type="auto"/>
            <w:tcBorders>
              <w:top w:val="nil"/>
              <w:left w:val="nil"/>
              <w:bottom w:val="single" w:color="auto" w:sz="4" w:space="0"/>
              <w:right w:val="nil"/>
            </w:tcBorders>
            <w:shd w:val="clear" w:color="auto" w:fill="auto"/>
            <w:noWrap/>
            <w:vAlign w:val="center"/>
          </w:tcPr>
          <w:p w14:paraId="52A8C5D7">
            <w:pPr>
              <w:rPr>
                <w:rFonts w:hint="eastAsia" w:ascii="宋体" w:hAnsi="宋体" w:eastAsia="宋体" w:cs="宋体"/>
                <w:i w:val="0"/>
                <w:iCs w:val="0"/>
                <w:color w:val="000000"/>
                <w:sz w:val="22"/>
                <w:szCs w:val="22"/>
                <w:u w:val="none"/>
              </w:rPr>
            </w:pPr>
          </w:p>
        </w:tc>
        <w:tc>
          <w:tcPr>
            <w:tcW w:w="0" w:type="auto"/>
            <w:tcBorders>
              <w:top w:val="nil"/>
              <w:left w:val="nil"/>
              <w:bottom w:val="single" w:color="auto" w:sz="4" w:space="0"/>
              <w:right w:val="nil"/>
            </w:tcBorders>
            <w:shd w:val="clear" w:color="auto" w:fill="auto"/>
            <w:noWrap/>
            <w:vAlign w:val="center"/>
          </w:tcPr>
          <w:p w14:paraId="1A6455C4">
            <w:pPr>
              <w:rPr>
                <w:rFonts w:hint="eastAsia" w:ascii="宋体" w:hAnsi="宋体" w:eastAsia="宋体" w:cs="宋体"/>
                <w:i w:val="0"/>
                <w:iCs w:val="0"/>
                <w:color w:val="000000"/>
                <w:sz w:val="22"/>
                <w:szCs w:val="22"/>
                <w:u w:val="none"/>
              </w:rPr>
            </w:pPr>
          </w:p>
        </w:tc>
        <w:tc>
          <w:tcPr>
            <w:tcW w:w="0" w:type="auto"/>
            <w:tcBorders>
              <w:top w:val="nil"/>
              <w:left w:val="nil"/>
              <w:bottom w:val="single" w:color="auto" w:sz="4" w:space="0"/>
              <w:right w:val="nil"/>
            </w:tcBorders>
            <w:shd w:val="clear" w:color="auto" w:fill="auto"/>
            <w:noWrap/>
            <w:vAlign w:val="center"/>
          </w:tcPr>
          <w:p w14:paraId="3C5C00E0">
            <w:pPr>
              <w:rPr>
                <w:rFonts w:hint="eastAsia" w:ascii="宋体" w:hAnsi="宋体" w:eastAsia="宋体" w:cs="宋体"/>
                <w:i w:val="0"/>
                <w:iCs w:val="0"/>
                <w:color w:val="000000"/>
                <w:sz w:val="22"/>
                <w:szCs w:val="22"/>
                <w:u w:val="none"/>
              </w:rPr>
            </w:pPr>
          </w:p>
        </w:tc>
        <w:tc>
          <w:tcPr>
            <w:tcW w:w="0" w:type="auto"/>
            <w:tcBorders>
              <w:top w:val="nil"/>
              <w:left w:val="nil"/>
              <w:bottom w:val="single" w:color="auto" w:sz="4" w:space="0"/>
              <w:right w:val="nil"/>
            </w:tcBorders>
            <w:shd w:val="clear" w:color="auto" w:fill="auto"/>
            <w:noWrap/>
            <w:vAlign w:val="center"/>
          </w:tcPr>
          <w:p w14:paraId="74E42A17">
            <w:pPr>
              <w:rPr>
                <w:rFonts w:hint="eastAsia" w:ascii="宋体" w:hAnsi="宋体" w:eastAsia="宋体" w:cs="宋体"/>
                <w:i w:val="0"/>
                <w:iCs w:val="0"/>
                <w:color w:val="000000"/>
                <w:sz w:val="22"/>
                <w:szCs w:val="22"/>
                <w:u w:val="none"/>
              </w:rPr>
            </w:pPr>
          </w:p>
        </w:tc>
        <w:tc>
          <w:tcPr>
            <w:tcW w:w="0" w:type="auto"/>
            <w:tcBorders>
              <w:top w:val="nil"/>
              <w:left w:val="nil"/>
              <w:bottom w:val="single" w:color="auto" w:sz="4" w:space="0"/>
              <w:right w:val="nil"/>
            </w:tcBorders>
            <w:shd w:val="clear" w:color="auto" w:fill="auto"/>
            <w:noWrap/>
            <w:vAlign w:val="center"/>
          </w:tcPr>
          <w:p w14:paraId="34C2646F">
            <w:pPr>
              <w:rPr>
                <w:rFonts w:hint="eastAsia" w:ascii="宋体" w:hAnsi="宋体" w:eastAsia="宋体" w:cs="宋体"/>
                <w:i w:val="0"/>
                <w:iCs w:val="0"/>
                <w:color w:val="000000"/>
                <w:sz w:val="22"/>
                <w:szCs w:val="22"/>
                <w:u w:val="none"/>
              </w:rPr>
            </w:pPr>
          </w:p>
        </w:tc>
        <w:tc>
          <w:tcPr>
            <w:tcW w:w="0" w:type="auto"/>
            <w:tcBorders>
              <w:top w:val="nil"/>
              <w:left w:val="nil"/>
              <w:bottom w:val="single" w:color="auto" w:sz="4" w:space="0"/>
              <w:right w:val="nil"/>
            </w:tcBorders>
            <w:shd w:val="clear" w:color="auto" w:fill="auto"/>
            <w:noWrap/>
            <w:vAlign w:val="bottom"/>
          </w:tcPr>
          <w:p w14:paraId="5D568667">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3BDD9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53"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83648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0" w:type="auto"/>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0CFE20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14:paraId="5AAAD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53"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682DC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A8B988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0ED8D8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C8B8E6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A04788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C02AA7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3B381C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ECA5E3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08E325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14:paraId="6C4B1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53"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FED233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A7B51CB">
            <w:pPr>
              <w:jc w:val="center"/>
              <w:rPr>
                <w:rFonts w:hint="eastAsia" w:ascii="宋体" w:hAnsi="宋体" w:eastAsia="宋体" w:cs="宋体"/>
                <w:i w:val="0"/>
                <w:iCs w:val="0"/>
                <w:color w:val="000000"/>
                <w:kern w:val="2"/>
                <w:sz w:val="22"/>
                <w:szCs w:val="22"/>
                <w:u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6F6E69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1A3609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BC86BB2">
            <w:pPr>
              <w:jc w:val="center"/>
              <w:rPr>
                <w:rFonts w:hint="eastAsia" w:ascii="宋体" w:hAnsi="宋体" w:eastAsia="宋体" w:cs="宋体"/>
                <w:i w:val="0"/>
                <w:iCs w:val="0"/>
                <w:color w:val="000000"/>
                <w:kern w:val="2"/>
                <w:sz w:val="22"/>
                <w:szCs w:val="22"/>
                <w:u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A7D800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266F8F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AB3A01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71091E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r>
      <w:tr w14:paraId="76B52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53"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F7023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F1052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C694D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27,999.46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8124C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2EC8C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19B58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61.25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D3160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61.25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91DE9FE">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CC99AE5">
            <w:pPr>
              <w:jc w:val="right"/>
              <w:rPr>
                <w:rFonts w:hint="eastAsia" w:ascii="宋体" w:hAnsi="宋体" w:eastAsia="宋体" w:cs="宋体"/>
                <w:i w:val="0"/>
                <w:iCs w:val="0"/>
                <w:color w:val="000000"/>
                <w:sz w:val="22"/>
                <w:szCs w:val="22"/>
                <w:u w:val="none"/>
              </w:rPr>
            </w:pPr>
          </w:p>
        </w:tc>
      </w:tr>
      <w:tr w14:paraId="24399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53"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4E1A2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5CC2C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DA426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3,142.51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5DF7A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CB902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41534AB">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DD4DBDD">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D1A2F6F">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375780C">
            <w:pPr>
              <w:jc w:val="right"/>
              <w:rPr>
                <w:rFonts w:hint="eastAsia" w:ascii="宋体" w:hAnsi="宋体" w:eastAsia="宋体" w:cs="宋体"/>
                <w:i w:val="0"/>
                <w:iCs w:val="0"/>
                <w:color w:val="000000"/>
                <w:sz w:val="22"/>
                <w:szCs w:val="22"/>
                <w:u w:val="none"/>
              </w:rPr>
            </w:pPr>
          </w:p>
        </w:tc>
      </w:tr>
      <w:tr w14:paraId="3997F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53"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254AB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AD8F4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67D61D8">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16097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C678C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8CF711A">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85A590F">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19DCE8D">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A6D47D8">
            <w:pPr>
              <w:jc w:val="right"/>
              <w:rPr>
                <w:rFonts w:hint="eastAsia" w:ascii="宋体" w:hAnsi="宋体" w:eastAsia="宋体" w:cs="宋体"/>
                <w:i w:val="0"/>
                <w:iCs w:val="0"/>
                <w:color w:val="000000"/>
                <w:sz w:val="22"/>
                <w:szCs w:val="22"/>
                <w:u w:val="none"/>
              </w:rPr>
            </w:pPr>
          </w:p>
        </w:tc>
      </w:tr>
      <w:tr w14:paraId="2BF18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53"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1E7E5C2">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3F084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CB60C8C">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45B7E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C0CB4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F32CAFE">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7309C4C">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71E64B1">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0D62A80">
            <w:pPr>
              <w:jc w:val="right"/>
              <w:rPr>
                <w:rFonts w:hint="eastAsia" w:ascii="宋体" w:hAnsi="宋体" w:eastAsia="宋体" w:cs="宋体"/>
                <w:i w:val="0"/>
                <w:iCs w:val="0"/>
                <w:color w:val="000000"/>
                <w:sz w:val="22"/>
                <w:szCs w:val="22"/>
                <w:u w:val="none"/>
              </w:rPr>
            </w:pPr>
          </w:p>
        </w:tc>
      </w:tr>
      <w:tr w14:paraId="68DAE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53"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B8041F4">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D1BE5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504532B">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11847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DAEF4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888F9AF">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D1391A9">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1397207">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7F3D11E">
            <w:pPr>
              <w:jc w:val="right"/>
              <w:rPr>
                <w:rFonts w:hint="eastAsia" w:ascii="宋体" w:hAnsi="宋体" w:eastAsia="宋体" w:cs="宋体"/>
                <w:i w:val="0"/>
                <w:iCs w:val="0"/>
                <w:color w:val="000000"/>
                <w:sz w:val="22"/>
                <w:szCs w:val="22"/>
                <w:u w:val="none"/>
              </w:rPr>
            </w:pPr>
          </w:p>
        </w:tc>
      </w:tr>
      <w:tr w14:paraId="76B5D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53"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A5161DC">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22F19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7C34239">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E695A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4B73E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8DAE8D5">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671F7F3">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C96AB93">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0C4F511">
            <w:pPr>
              <w:jc w:val="right"/>
              <w:rPr>
                <w:rFonts w:hint="eastAsia" w:ascii="宋体" w:hAnsi="宋体" w:eastAsia="宋体" w:cs="宋体"/>
                <w:i w:val="0"/>
                <w:iCs w:val="0"/>
                <w:color w:val="000000"/>
                <w:sz w:val="22"/>
                <w:szCs w:val="22"/>
                <w:u w:val="none"/>
              </w:rPr>
            </w:pPr>
          </w:p>
        </w:tc>
      </w:tr>
      <w:tr w14:paraId="3A7C1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53"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E5D988A">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55610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E3B2E6A">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4FD76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497E8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B3A6BAA">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7EAD352">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4AB809F">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E021D69">
            <w:pPr>
              <w:jc w:val="right"/>
              <w:rPr>
                <w:rFonts w:hint="eastAsia" w:ascii="宋体" w:hAnsi="宋体" w:eastAsia="宋体" w:cs="宋体"/>
                <w:i w:val="0"/>
                <w:iCs w:val="0"/>
                <w:color w:val="000000"/>
                <w:sz w:val="22"/>
                <w:szCs w:val="22"/>
                <w:u w:val="none"/>
              </w:rPr>
            </w:pPr>
          </w:p>
        </w:tc>
      </w:tr>
      <w:tr w14:paraId="5CDB2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53"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E77735D">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D123D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3DDB69B">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11806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51794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50F06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958.55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52212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958.55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3DC7BCC">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74D6AD1">
            <w:pPr>
              <w:jc w:val="right"/>
              <w:rPr>
                <w:rFonts w:hint="eastAsia" w:ascii="宋体" w:hAnsi="宋体" w:eastAsia="宋体" w:cs="宋体"/>
                <w:i w:val="0"/>
                <w:iCs w:val="0"/>
                <w:color w:val="000000"/>
                <w:sz w:val="22"/>
                <w:szCs w:val="22"/>
                <w:u w:val="none"/>
              </w:rPr>
            </w:pPr>
          </w:p>
        </w:tc>
      </w:tr>
      <w:tr w14:paraId="212C7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53"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D0832C0">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F91AF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BD5D7B4">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5003B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B05EC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A24F2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77.80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D4D69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77.80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A2C6C3E">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71072F0">
            <w:pPr>
              <w:jc w:val="right"/>
              <w:rPr>
                <w:rFonts w:hint="eastAsia" w:ascii="宋体" w:hAnsi="宋体" w:eastAsia="宋体" w:cs="宋体"/>
                <w:i w:val="0"/>
                <w:iCs w:val="0"/>
                <w:color w:val="000000"/>
                <w:sz w:val="22"/>
                <w:szCs w:val="22"/>
                <w:u w:val="none"/>
              </w:rPr>
            </w:pPr>
          </w:p>
        </w:tc>
      </w:tr>
      <w:tr w14:paraId="11F80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53"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785F102">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99D8A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61FB03D">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107F3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E7716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030D4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75ED8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3671325">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68989D4">
            <w:pPr>
              <w:jc w:val="right"/>
              <w:rPr>
                <w:rFonts w:hint="eastAsia" w:ascii="宋体" w:hAnsi="宋体" w:eastAsia="宋体" w:cs="宋体"/>
                <w:i w:val="0"/>
                <w:iCs w:val="0"/>
                <w:color w:val="000000"/>
                <w:sz w:val="22"/>
                <w:szCs w:val="22"/>
                <w:u w:val="none"/>
              </w:rPr>
            </w:pPr>
          </w:p>
        </w:tc>
      </w:tr>
      <w:tr w14:paraId="0EC9A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53"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8C5741D">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81729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6EE6091">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9B321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DF511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708F803">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5867EB3">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E336714">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3652FDE">
            <w:pPr>
              <w:jc w:val="right"/>
              <w:rPr>
                <w:rFonts w:hint="eastAsia" w:ascii="宋体" w:hAnsi="宋体" w:eastAsia="宋体" w:cs="宋体"/>
                <w:i w:val="0"/>
                <w:iCs w:val="0"/>
                <w:color w:val="000000"/>
                <w:sz w:val="22"/>
                <w:szCs w:val="22"/>
                <w:u w:val="none"/>
              </w:rPr>
            </w:pPr>
          </w:p>
        </w:tc>
      </w:tr>
      <w:tr w14:paraId="121C9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08EEE4A">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54240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5B5970F">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26C54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3054C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F1B81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25,760.53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6BDCA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25,760.53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E47FBB8">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394DF17">
            <w:pPr>
              <w:jc w:val="right"/>
              <w:rPr>
                <w:rFonts w:hint="eastAsia" w:ascii="宋体" w:hAnsi="宋体" w:eastAsia="宋体" w:cs="宋体"/>
                <w:i w:val="0"/>
                <w:iCs w:val="0"/>
                <w:color w:val="000000"/>
                <w:sz w:val="22"/>
                <w:szCs w:val="22"/>
                <w:u w:val="none"/>
              </w:rPr>
            </w:pPr>
          </w:p>
        </w:tc>
      </w:tr>
      <w:tr w14:paraId="116D3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53"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5C507B0">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AACE2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140EB28">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57E2E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81505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562E297">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08DE9CF">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4AEA315">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613C105">
            <w:pPr>
              <w:jc w:val="right"/>
              <w:rPr>
                <w:rFonts w:hint="eastAsia" w:ascii="宋体" w:hAnsi="宋体" w:eastAsia="宋体" w:cs="宋体"/>
                <w:i w:val="0"/>
                <w:iCs w:val="0"/>
                <w:color w:val="000000"/>
                <w:sz w:val="22"/>
                <w:szCs w:val="22"/>
                <w:u w:val="none"/>
              </w:rPr>
            </w:pPr>
          </w:p>
        </w:tc>
      </w:tr>
      <w:tr w14:paraId="10AA8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53"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C047056">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5B127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76DC36A">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E1C52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13E48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D9B42E1">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5F4D6BA">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81BCCA1">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EC2A2D3">
            <w:pPr>
              <w:jc w:val="right"/>
              <w:rPr>
                <w:rFonts w:hint="eastAsia" w:ascii="宋体" w:hAnsi="宋体" w:eastAsia="宋体" w:cs="宋体"/>
                <w:i w:val="0"/>
                <w:iCs w:val="0"/>
                <w:color w:val="000000"/>
                <w:sz w:val="22"/>
                <w:szCs w:val="22"/>
                <w:u w:val="none"/>
              </w:rPr>
            </w:pPr>
          </w:p>
        </w:tc>
      </w:tr>
      <w:tr w14:paraId="68370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53"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87CFD24">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53197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74A0880">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7C71B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41010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342F3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68963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BC916BA">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FC3F324">
            <w:pPr>
              <w:jc w:val="right"/>
              <w:rPr>
                <w:rFonts w:hint="eastAsia" w:ascii="宋体" w:hAnsi="宋体" w:eastAsia="宋体" w:cs="宋体"/>
                <w:i w:val="0"/>
                <w:iCs w:val="0"/>
                <w:color w:val="000000"/>
                <w:sz w:val="22"/>
                <w:szCs w:val="22"/>
                <w:u w:val="none"/>
              </w:rPr>
            </w:pPr>
          </w:p>
        </w:tc>
      </w:tr>
      <w:tr w14:paraId="600AA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53"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91029F0">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5A7EC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6A9F5ED">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3A229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BC2E0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EF8BD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D944D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E8F6CA4">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30712A8">
            <w:pPr>
              <w:jc w:val="right"/>
              <w:rPr>
                <w:rFonts w:hint="eastAsia" w:ascii="宋体" w:hAnsi="宋体" w:eastAsia="宋体" w:cs="宋体"/>
                <w:i w:val="0"/>
                <w:iCs w:val="0"/>
                <w:color w:val="000000"/>
                <w:sz w:val="22"/>
                <w:szCs w:val="22"/>
                <w:u w:val="none"/>
              </w:rPr>
            </w:pPr>
          </w:p>
        </w:tc>
      </w:tr>
      <w:tr w14:paraId="03A70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53"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E6E4BBF">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D3C18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E118B8A">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D6948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6A4BD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BD92B70">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0B471C7">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060540B">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156678B">
            <w:pPr>
              <w:jc w:val="right"/>
              <w:rPr>
                <w:rFonts w:hint="eastAsia" w:ascii="宋体" w:hAnsi="宋体" w:eastAsia="宋体" w:cs="宋体"/>
                <w:i w:val="0"/>
                <w:iCs w:val="0"/>
                <w:color w:val="000000"/>
                <w:sz w:val="22"/>
                <w:szCs w:val="22"/>
                <w:u w:val="none"/>
              </w:rPr>
            </w:pPr>
          </w:p>
        </w:tc>
      </w:tr>
      <w:tr w14:paraId="4248E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53"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4C8DEBA">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EDDD5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0946A02">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9A15E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85087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9A75044">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4D53CBA">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73236C3">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AE5CC19">
            <w:pPr>
              <w:jc w:val="right"/>
              <w:rPr>
                <w:rFonts w:hint="eastAsia" w:ascii="宋体" w:hAnsi="宋体" w:eastAsia="宋体" w:cs="宋体"/>
                <w:i w:val="0"/>
                <w:iCs w:val="0"/>
                <w:color w:val="000000"/>
                <w:sz w:val="22"/>
                <w:szCs w:val="22"/>
                <w:u w:val="none"/>
              </w:rPr>
            </w:pPr>
          </w:p>
        </w:tc>
      </w:tr>
      <w:tr w14:paraId="3286B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53"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6357BAD">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98022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6DFCFD1">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76AC9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17823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220A9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76.36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EB800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76.36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C2392BE">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BA38E47">
            <w:pPr>
              <w:jc w:val="right"/>
              <w:rPr>
                <w:rFonts w:hint="eastAsia" w:ascii="宋体" w:hAnsi="宋体" w:eastAsia="宋体" w:cs="宋体"/>
                <w:i w:val="0"/>
                <w:iCs w:val="0"/>
                <w:color w:val="000000"/>
                <w:sz w:val="22"/>
                <w:szCs w:val="22"/>
                <w:u w:val="none"/>
              </w:rPr>
            </w:pPr>
          </w:p>
        </w:tc>
      </w:tr>
      <w:tr w14:paraId="3C0EA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53"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1C5F9B7">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63988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2232498">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38BCD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13479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37FC0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1,040.90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F1C39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1,040.90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5C684E9">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ABFD3C4">
            <w:pPr>
              <w:jc w:val="right"/>
              <w:rPr>
                <w:rFonts w:hint="eastAsia" w:ascii="宋体" w:hAnsi="宋体" w:eastAsia="宋体" w:cs="宋体"/>
                <w:i w:val="0"/>
                <w:iCs w:val="0"/>
                <w:color w:val="000000"/>
                <w:sz w:val="22"/>
                <w:szCs w:val="22"/>
                <w:u w:val="none"/>
              </w:rPr>
            </w:pPr>
          </w:p>
        </w:tc>
      </w:tr>
      <w:tr w14:paraId="1074C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53"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2815B8C">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30016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595DA6D">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82585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36CF1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DC3789E">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253719A">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2A0342E">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79F7F37">
            <w:pPr>
              <w:jc w:val="right"/>
              <w:rPr>
                <w:rFonts w:hint="eastAsia" w:ascii="宋体" w:hAnsi="宋体" w:eastAsia="宋体" w:cs="宋体"/>
                <w:i w:val="0"/>
                <w:iCs w:val="0"/>
                <w:color w:val="000000"/>
                <w:sz w:val="22"/>
                <w:szCs w:val="22"/>
                <w:u w:val="none"/>
              </w:rPr>
            </w:pPr>
          </w:p>
        </w:tc>
      </w:tr>
      <w:tr w14:paraId="60EEC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53"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4A7AB80">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68979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111749E">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6C68A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EB6E8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ABE52ED">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4E7C75F">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6092765">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3087BBF">
            <w:pPr>
              <w:jc w:val="right"/>
              <w:rPr>
                <w:rFonts w:hint="eastAsia" w:ascii="宋体" w:hAnsi="宋体" w:eastAsia="宋体" w:cs="宋体"/>
                <w:i w:val="0"/>
                <w:iCs w:val="0"/>
                <w:color w:val="000000"/>
                <w:sz w:val="22"/>
                <w:szCs w:val="22"/>
                <w:u w:val="none"/>
              </w:rPr>
            </w:pPr>
          </w:p>
        </w:tc>
      </w:tr>
      <w:tr w14:paraId="65B73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53"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D08310F">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B3A99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DC5D39A">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363C1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766CB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27CAC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3,142.51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B2D7E6F">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215CC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3,142.51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503214B">
            <w:pPr>
              <w:jc w:val="right"/>
              <w:rPr>
                <w:rFonts w:hint="eastAsia" w:ascii="宋体" w:hAnsi="宋体" w:eastAsia="宋体" w:cs="宋体"/>
                <w:i w:val="0"/>
                <w:iCs w:val="0"/>
                <w:color w:val="000000"/>
                <w:sz w:val="22"/>
                <w:szCs w:val="22"/>
                <w:u w:val="none"/>
              </w:rPr>
            </w:pPr>
          </w:p>
        </w:tc>
      </w:tr>
      <w:tr w14:paraId="2056D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53"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108D486">
            <w:pPr>
              <w:jc w:val="center"/>
              <w:rPr>
                <w:rFonts w:hint="eastAsia" w:ascii="宋体" w:hAnsi="宋体" w:eastAsia="宋体" w:cs="宋体"/>
                <w:b/>
                <w:bCs/>
                <w:i w:val="0"/>
                <w:iCs w:val="0"/>
                <w:color w:val="000000"/>
                <w:sz w:val="20"/>
                <w:szCs w:val="20"/>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C59E0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7B3AA8C">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072AC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888C6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6BBAFE0">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66F0EE2">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5864A2B">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C3059A8">
            <w:pPr>
              <w:jc w:val="right"/>
              <w:rPr>
                <w:rFonts w:hint="eastAsia" w:ascii="宋体" w:hAnsi="宋体" w:eastAsia="宋体" w:cs="宋体"/>
                <w:i w:val="0"/>
                <w:iCs w:val="0"/>
                <w:color w:val="000000"/>
                <w:sz w:val="22"/>
                <w:szCs w:val="22"/>
                <w:u w:val="none"/>
              </w:rPr>
            </w:pPr>
          </w:p>
        </w:tc>
      </w:tr>
      <w:tr w14:paraId="39EFC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53"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A8708D0">
            <w:pPr>
              <w:jc w:val="left"/>
              <w:rPr>
                <w:rFonts w:hint="eastAsia" w:ascii="宋体" w:hAnsi="宋体" w:eastAsia="宋体" w:cs="宋体"/>
                <w:i w:val="0"/>
                <w:iCs w:val="0"/>
                <w:color w:val="000000"/>
                <w:sz w:val="20"/>
                <w:szCs w:val="20"/>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CD74A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A037F65">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2C210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51583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DAE23A8">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DCF6506">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64E42FC">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D0A90F2">
            <w:pPr>
              <w:jc w:val="right"/>
              <w:rPr>
                <w:rFonts w:hint="eastAsia" w:ascii="宋体" w:hAnsi="宋体" w:eastAsia="宋体" w:cs="宋体"/>
                <w:i w:val="0"/>
                <w:iCs w:val="0"/>
                <w:color w:val="000000"/>
                <w:sz w:val="22"/>
                <w:szCs w:val="22"/>
                <w:u w:val="none"/>
              </w:rPr>
            </w:pPr>
          </w:p>
        </w:tc>
      </w:tr>
      <w:tr w14:paraId="01378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53"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75C96E0">
            <w:pPr>
              <w:jc w:val="left"/>
              <w:rPr>
                <w:rFonts w:hint="eastAsia" w:ascii="宋体" w:hAnsi="宋体" w:eastAsia="宋体" w:cs="宋体"/>
                <w:i w:val="0"/>
                <w:iCs w:val="0"/>
                <w:color w:val="000000"/>
                <w:sz w:val="20"/>
                <w:szCs w:val="20"/>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428D7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23B14B3">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32040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1FA60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1E06258">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F7073CB">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1264C69">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5927696">
            <w:pPr>
              <w:jc w:val="right"/>
              <w:rPr>
                <w:rFonts w:hint="eastAsia" w:ascii="宋体" w:hAnsi="宋体" w:eastAsia="宋体" w:cs="宋体"/>
                <w:i w:val="0"/>
                <w:iCs w:val="0"/>
                <w:color w:val="000000"/>
                <w:sz w:val="22"/>
                <w:szCs w:val="22"/>
                <w:u w:val="none"/>
              </w:rPr>
            </w:pPr>
          </w:p>
        </w:tc>
      </w:tr>
      <w:tr w14:paraId="115DC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927D2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6DC4A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B51CC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31,141.96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C8414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DF1F8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34FDA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31,141.96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EFA8B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27,999.46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87994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3,142.51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FC21541">
            <w:pPr>
              <w:jc w:val="right"/>
              <w:rPr>
                <w:rFonts w:hint="eastAsia" w:ascii="宋体" w:hAnsi="宋体" w:eastAsia="宋体" w:cs="宋体"/>
                <w:i w:val="0"/>
                <w:iCs w:val="0"/>
                <w:color w:val="000000"/>
                <w:sz w:val="22"/>
                <w:szCs w:val="22"/>
                <w:u w:val="none"/>
              </w:rPr>
            </w:pPr>
          </w:p>
        </w:tc>
      </w:tr>
      <w:tr w14:paraId="1E4D0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53"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62907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F196D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49910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976DE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FFA6E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C0BF6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FEB2C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E6CFF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6729604">
            <w:pPr>
              <w:jc w:val="right"/>
              <w:rPr>
                <w:rFonts w:hint="eastAsia" w:ascii="宋体" w:hAnsi="宋体" w:eastAsia="宋体" w:cs="宋体"/>
                <w:i w:val="0"/>
                <w:iCs w:val="0"/>
                <w:color w:val="000000"/>
                <w:sz w:val="22"/>
                <w:szCs w:val="22"/>
                <w:u w:val="none"/>
              </w:rPr>
            </w:pPr>
          </w:p>
        </w:tc>
      </w:tr>
      <w:tr w14:paraId="5603A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53"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57B08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A246F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AE0DA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AF42D99">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98EB7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1F8B45C">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599B2C4">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DE6B978">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2501272">
            <w:pPr>
              <w:jc w:val="right"/>
              <w:rPr>
                <w:rFonts w:hint="eastAsia" w:ascii="宋体" w:hAnsi="宋体" w:eastAsia="宋体" w:cs="宋体"/>
                <w:i w:val="0"/>
                <w:iCs w:val="0"/>
                <w:color w:val="000000"/>
                <w:sz w:val="22"/>
                <w:szCs w:val="22"/>
                <w:u w:val="none"/>
              </w:rPr>
            </w:pPr>
          </w:p>
        </w:tc>
      </w:tr>
      <w:tr w14:paraId="468C5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53"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8DB9C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9C73E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67983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DAF67EE">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0ED96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ACA7030">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754C90E">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870AF76">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ACCE62B">
            <w:pPr>
              <w:jc w:val="right"/>
              <w:rPr>
                <w:rFonts w:hint="eastAsia" w:ascii="宋体" w:hAnsi="宋体" w:eastAsia="宋体" w:cs="宋体"/>
                <w:i w:val="0"/>
                <w:iCs w:val="0"/>
                <w:color w:val="000000"/>
                <w:sz w:val="22"/>
                <w:szCs w:val="22"/>
                <w:u w:val="none"/>
              </w:rPr>
            </w:pPr>
          </w:p>
        </w:tc>
      </w:tr>
      <w:tr w14:paraId="0F977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53"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82A06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F015D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D761B1D">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76814C8">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74133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6F3712D">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12B7746">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32927E7">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715D3B4">
            <w:pPr>
              <w:jc w:val="right"/>
              <w:rPr>
                <w:rFonts w:hint="eastAsia" w:ascii="宋体" w:hAnsi="宋体" w:eastAsia="宋体" w:cs="宋体"/>
                <w:i w:val="0"/>
                <w:iCs w:val="0"/>
                <w:color w:val="000000"/>
                <w:sz w:val="22"/>
                <w:szCs w:val="22"/>
                <w:u w:val="none"/>
              </w:rPr>
            </w:pPr>
          </w:p>
        </w:tc>
      </w:tr>
      <w:tr w14:paraId="52D80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A3974A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AB72B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08EBA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31,141.96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5777E6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EE926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A7714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31,141.96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0162F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27,999.46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34480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3,142.51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D965356">
            <w:pPr>
              <w:jc w:val="right"/>
              <w:rPr>
                <w:rFonts w:hint="eastAsia" w:ascii="宋体" w:hAnsi="宋体" w:eastAsia="宋体" w:cs="宋体"/>
                <w:i w:val="0"/>
                <w:iCs w:val="0"/>
                <w:color w:val="000000"/>
                <w:sz w:val="22"/>
                <w:szCs w:val="22"/>
                <w:u w:val="none"/>
              </w:rPr>
            </w:pPr>
          </w:p>
        </w:tc>
      </w:tr>
      <w:tr w14:paraId="0B128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53" w:hRule="atLeast"/>
          <w:jc w:val="center"/>
        </w:trPr>
        <w:tc>
          <w:tcPr>
            <w:tcW w:w="0" w:type="auto"/>
            <w:gridSpan w:val="8"/>
            <w:tcBorders>
              <w:top w:val="single" w:color="auto" w:sz="4" w:space="0"/>
              <w:left w:val="nil"/>
              <w:bottom w:val="nil"/>
              <w:right w:val="nil"/>
            </w:tcBorders>
            <w:shd w:val="clear" w:color="auto" w:fill="auto"/>
            <w:noWrap/>
            <w:vAlign w:val="center"/>
          </w:tcPr>
          <w:p w14:paraId="03203E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0" w:type="auto"/>
            <w:tcBorders>
              <w:top w:val="single" w:color="auto" w:sz="4" w:space="0"/>
              <w:left w:val="nil"/>
              <w:bottom w:val="nil"/>
              <w:right w:val="nil"/>
            </w:tcBorders>
            <w:shd w:val="clear" w:color="auto" w:fill="auto"/>
            <w:noWrap/>
            <w:vAlign w:val="center"/>
          </w:tcPr>
          <w:p w14:paraId="12CCC265">
            <w:pPr>
              <w:jc w:val="left"/>
              <w:rPr>
                <w:rFonts w:hint="eastAsia" w:ascii="宋体" w:hAnsi="宋体" w:eastAsia="宋体" w:cs="宋体"/>
                <w:i w:val="0"/>
                <w:iCs w:val="0"/>
                <w:color w:val="000000"/>
                <w:sz w:val="20"/>
                <w:szCs w:val="20"/>
                <w:u w:val="none"/>
              </w:rPr>
            </w:pPr>
          </w:p>
        </w:tc>
      </w:tr>
    </w:tbl>
    <w:p w14:paraId="1BFFB665">
      <w:pPr>
        <w:rPr>
          <w:rFonts w:hint="eastAsia" w:ascii="方正小标宋_GBK" w:hAnsi="方正小标宋_GBK" w:eastAsia="方正小标宋_GBK" w:cs="方正小标宋_GBK"/>
          <w:color w:val="auto"/>
          <w:sz w:val="72"/>
          <w:szCs w:val="72"/>
        </w:rPr>
      </w:pPr>
      <w:r>
        <w:rPr>
          <w:rFonts w:hint="eastAsia" w:ascii="方正小标宋_GBK" w:hAnsi="方正小标宋_GBK" w:eastAsia="方正小标宋_GBK" w:cs="方正小标宋_GBK"/>
          <w:color w:val="auto"/>
          <w:sz w:val="72"/>
          <w:szCs w:val="72"/>
        </w:rPr>
        <w:br w:type="page"/>
      </w:r>
    </w:p>
    <w:p w14:paraId="02088307">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一般公共预算财政拨款支出决算表</w:t>
      </w:r>
    </w:p>
    <w:tbl>
      <w:tblPr>
        <w:tblStyle w:val="11"/>
        <w:tblW w:w="14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953"/>
        <w:gridCol w:w="271"/>
        <w:gridCol w:w="271"/>
        <w:gridCol w:w="4494"/>
        <w:gridCol w:w="2250"/>
        <w:gridCol w:w="2250"/>
        <w:gridCol w:w="2251"/>
      </w:tblGrid>
      <w:tr w14:paraId="173CC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1" w:hRule="atLeast"/>
          <w:jc w:val="center"/>
        </w:trPr>
        <w:tc>
          <w:tcPr>
            <w:tcW w:w="0" w:type="auto"/>
            <w:tcBorders>
              <w:top w:val="nil"/>
              <w:left w:val="nil"/>
              <w:bottom w:val="nil"/>
              <w:right w:val="nil"/>
            </w:tcBorders>
            <w:shd w:val="clear" w:color="auto" w:fill="auto"/>
            <w:noWrap/>
            <w:vAlign w:val="center"/>
          </w:tcPr>
          <w:p w14:paraId="1E6BDDF4">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746A223">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87595CF">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A4B66FC">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5212469">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B2E22BC">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4BA383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14:paraId="31DE8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 w:hRule="atLeast"/>
          <w:jc w:val="center"/>
        </w:trPr>
        <w:tc>
          <w:tcPr>
            <w:tcW w:w="0" w:type="auto"/>
            <w:tcBorders>
              <w:top w:val="nil"/>
              <w:left w:val="nil"/>
              <w:bottom w:val="single" w:color="auto" w:sz="4" w:space="0"/>
              <w:right w:val="nil"/>
            </w:tcBorders>
            <w:shd w:val="clear" w:color="auto" w:fill="auto"/>
            <w:noWrap/>
            <w:vAlign w:val="bottom"/>
          </w:tcPr>
          <w:p w14:paraId="136EFC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部门：溆浦县农业农村局</w:t>
            </w:r>
          </w:p>
        </w:tc>
        <w:tc>
          <w:tcPr>
            <w:tcW w:w="0" w:type="auto"/>
            <w:tcBorders>
              <w:top w:val="nil"/>
              <w:left w:val="nil"/>
              <w:bottom w:val="single" w:color="auto" w:sz="4" w:space="0"/>
              <w:right w:val="nil"/>
            </w:tcBorders>
            <w:shd w:val="clear" w:color="auto" w:fill="auto"/>
            <w:noWrap/>
            <w:vAlign w:val="center"/>
          </w:tcPr>
          <w:p w14:paraId="38631DD4">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0" w:type="auto"/>
            <w:tcBorders>
              <w:top w:val="nil"/>
              <w:left w:val="nil"/>
              <w:bottom w:val="single" w:color="auto" w:sz="4" w:space="0"/>
              <w:right w:val="nil"/>
            </w:tcBorders>
            <w:shd w:val="clear" w:color="auto" w:fill="auto"/>
            <w:noWrap/>
            <w:vAlign w:val="center"/>
          </w:tcPr>
          <w:p w14:paraId="73DA4CFE">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0" w:type="auto"/>
            <w:tcBorders>
              <w:top w:val="nil"/>
              <w:left w:val="nil"/>
              <w:bottom w:val="single" w:color="auto" w:sz="4" w:space="0"/>
              <w:right w:val="nil"/>
            </w:tcBorders>
            <w:shd w:val="clear" w:color="auto" w:fill="auto"/>
            <w:noWrap/>
            <w:vAlign w:val="center"/>
          </w:tcPr>
          <w:p w14:paraId="4D64BABB">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0" w:type="auto"/>
            <w:tcBorders>
              <w:top w:val="nil"/>
              <w:left w:val="nil"/>
              <w:bottom w:val="single" w:color="auto" w:sz="4" w:space="0"/>
              <w:right w:val="nil"/>
            </w:tcBorders>
            <w:shd w:val="clear" w:color="auto" w:fill="auto"/>
            <w:noWrap/>
            <w:vAlign w:val="center"/>
          </w:tcPr>
          <w:p w14:paraId="7B1F74F3">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0" w:type="auto"/>
            <w:tcBorders>
              <w:top w:val="nil"/>
              <w:left w:val="nil"/>
              <w:bottom w:val="single" w:color="auto" w:sz="4" w:space="0"/>
              <w:right w:val="nil"/>
            </w:tcBorders>
            <w:shd w:val="clear" w:color="auto" w:fill="auto"/>
            <w:noWrap/>
            <w:vAlign w:val="center"/>
          </w:tcPr>
          <w:p w14:paraId="2410D4CB">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0" w:type="auto"/>
            <w:tcBorders>
              <w:top w:val="nil"/>
              <w:left w:val="nil"/>
              <w:bottom w:val="single" w:color="auto" w:sz="4" w:space="0"/>
              <w:right w:val="nil"/>
            </w:tcBorders>
            <w:shd w:val="clear" w:color="auto" w:fill="auto"/>
            <w:noWrap/>
            <w:vAlign w:val="bottom"/>
          </w:tcPr>
          <w:p w14:paraId="7981F4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03EDD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609E9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7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85E03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2780E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24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04E25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C0403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2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A2E80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2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3AD77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2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7E8DA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3C233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24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D4DE7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9935B0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22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21D72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22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3FF71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22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7C50A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r>
      <w:tr w14:paraId="175C2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24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4C9DE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B975A3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22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82987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22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2D40D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22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2A23F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r>
      <w:tr w14:paraId="47DB7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D18EA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FF311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32299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08ECA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C0DD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855B2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4854DF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27,999.46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857C82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2,191.57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494D0B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25,807.88</w:t>
            </w:r>
          </w:p>
        </w:tc>
      </w:tr>
      <w:tr w14:paraId="5A9F9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8A2B1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0D218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A75294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61.25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40F140E">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DAB0F6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61.25</w:t>
            </w:r>
          </w:p>
        </w:tc>
      </w:tr>
      <w:tr w14:paraId="65AE2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4A134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01A77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发展与改革事务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E7AB05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DB0154F">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810B87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57.50</w:t>
            </w:r>
          </w:p>
        </w:tc>
      </w:tr>
      <w:tr w14:paraId="22224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E8509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2010499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1C055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其他发展与改革事务支出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CBA138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AB8919B">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F2C753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57.50</w:t>
            </w:r>
          </w:p>
        </w:tc>
      </w:tr>
      <w:tr w14:paraId="58EFA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38C50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E9DEF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纪检监察事务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BE7EA1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E662D3B">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2F2782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r>
      <w:tr w14:paraId="24824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CD779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2011102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575EF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5C42CA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5D8EBF1">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84CC63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r>
      <w:tr w14:paraId="0CEC8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E2EFE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6F391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统战事务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C44315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E0EA014">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F9F2F8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r>
      <w:tr w14:paraId="74A9E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8C664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2013499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34B6D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其他统战事务支出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4EB90F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07E5AB8">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A95462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r>
      <w:tr w14:paraId="500AF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2D255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A2E7F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44FC62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958.55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330786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232.30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8C0FCD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726.25</w:t>
            </w:r>
          </w:p>
        </w:tc>
      </w:tr>
      <w:tr w14:paraId="32238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35C38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0AD18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42C554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180.23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B3BC36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180.23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4C5A066">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373C9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1231A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56A97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65D2B0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180.23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7943F2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180.23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3792D97">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43CC6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2A734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EA010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就业补助</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71D78A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726.25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250E046">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6B9D9D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726.25</w:t>
            </w:r>
          </w:p>
        </w:tc>
      </w:tr>
      <w:tr w14:paraId="5E804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829D9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2080705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BA299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公益性岗位补贴</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E80B06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726.25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54CB779">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9D3685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726.25</w:t>
            </w:r>
          </w:p>
        </w:tc>
      </w:tr>
      <w:tr w14:paraId="75113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13B41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51E0D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7E474B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2B1BEF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78B7EE4">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0DD77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72B4F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2C844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1C8AC0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E06D1F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B4FD157">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321AB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52562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CDBAD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4138E8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77.80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971BEA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77.80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7C5EC4D">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14A47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4CB0A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658A6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578A75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77.80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5A9D4B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77.80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5E6D0E3">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2C49E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E225A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AADE8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3E5E53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77.80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CC8564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77.80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7BA8F51">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10E3D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348BB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40993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节能环保支出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09BE9D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CBB798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57BDA1A">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0C1AE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1A4DD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C83A8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自然生态保护</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896CA6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2C05B2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5EAFB8D">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4FE36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7217D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2110402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04AC7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农村环境保护</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87617E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BAFBEF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3E27B88">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0043A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BF704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B1AB4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7ADA51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25,760.53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04E53D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1,793.05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BC8EF0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23,967.48</w:t>
            </w:r>
          </w:p>
        </w:tc>
      </w:tr>
      <w:tr w14:paraId="7015E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9434D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B2DFD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0E8BEF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11,383.47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904F67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1,434.75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DB137A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9,948.72</w:t>
            </w:r>
          </w:p>
        </w:tc>
      </w:tr>
      <w:tr w14:paraId="1FC31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047D7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676F6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1102B6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1,248.30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AA2664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1,248.30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FF139F1">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213BF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A7569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0FEF9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4BF1F4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DD00A92">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72A25B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15.19</w:t>
            </w:r>
          </w:p>
        </w:tc>
      </w:tr>
      <w:tr w14:paraId="3EFA2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E355F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93058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科技转化与推广服务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7DC1B7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196.35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00EA088">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AFF089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196.35</w:t>
            </w:r>
          </w:p>
        </w:tc>
      </w:tr>
      <w:tr w14:paraId="6B63B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C8F92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61858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病虫害控制</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96236E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9ACC9C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E47B87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r>
      <w:tr w14:paraId="4282B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8A42C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D2E7A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农产品质量安全</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6A6DF6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71.13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9E7EA63">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C5AC8F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71.13</w:t>
            </w:r>
          </w:p>
        </w:tc>
      </w:tr>
      <w:tr w14:paraId="3BE16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B3E19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2130110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5B95C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执法监管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377AE4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E7A1BB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1876E0B">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103E5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15116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2130111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11458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统计监测与信息服务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3B4C59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EA2FE54">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121D5C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7.25</w:t>
            </w:r>
          </w:p>
        </w:tc>
      </w:tr>
      <w:tr w14:paraId="3D2CC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993E2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657B6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稳定农民收入补贴</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832A57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5,841.71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38C10BE">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AE2CB2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5,841.71</w:t>
            </w:r>
          </w:p>
        </w:tc>
      </w:tr>
      <w:tr w14:paraId="48C31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2099B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1DD90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农业结构调整补贴</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30E06B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184.42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1660D28">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D7D096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184.42</w:t>
            </w:r>
          </w:p>
        </w:tc>
      </w:tr>
      <w:tr w14:paraId="59D61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E5677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C23F3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农业生产发展</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2FEEF3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136.62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703A72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6C3C51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134.62</w:t>
            </w:r>
          </w:p>
        </w:tc>
      </w:tr>
      <w:tr w14:paraId="4443A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39EE4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B4A70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农村社会事业</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638CE6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93.76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1A5226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93.76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F616D66">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16815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92E6C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2130135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4F3AB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农业生态资源保护</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B7BCCB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518.66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42A2223">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F2D0A4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518.66</w:t>
            </w:r>
          </w:p>
        </w:tc>
      </w:tr>
      <w:tr w14:paraId="0076C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D2941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2130153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2B10C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耕地建设与利用</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32FAF8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2,040.96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DBFE471">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88E200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2,040.96</w:t>
            </w:r>
          </w:p>
        </w:tc>
      </w:tr>
      <w:tr w14:paraId="195BE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420FE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8608A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其他农业农村支出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1BF4B8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975.06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627923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43.63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353F82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931.43</w:t>
            </w:r>
          </w:p>
        </w:tc>
      </w:tr>
      <w:tr w14:paraId="69267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CD938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563B9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1DC447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12,940.96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AF606D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358.30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209B7A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12,582.65</w:t>
            </w:r>
          </w:p>
        </w:tc>
      </w:tr>
      <w:tr w14:paraId="0B8AC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DE43D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47F12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F493F2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192.28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627061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192.28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484372C">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0CB79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A76D9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66DE0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55B505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153.17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C3E4CD1">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EFC21F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153.17</w:t>
            </w:r>
          </w:p>
        </w:tc>
      </w:tr>
      <w:tr w14:paraId="47841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ACA54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79A64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生产发展</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7D2F9D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2,499.44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53D30FC">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08D73F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2,499.44</w:t>
            </w:r>
          </w:p>
        </w:tc>
      </w:tr>
      <w:tr w14:paraId="5AE5B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1DCD6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C7768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贷款奖补和贴息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037007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165.86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BF86C37">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AC2510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165.86</w:t>
            </w:r>
          </w:p>
        </w:tc>
      </w:tr>
      <w:tr w14:paraId="2361B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1139C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3C5CF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0EAD17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9,930.21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4BBA9A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166.02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7E4C72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9,764.19</w:t>
            </w:r>
          </w:p>
        </w:tc>
      </w:tr>
      <w:tr w14:paraId="0E2B3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8F68B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D5A14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目标价格补贴</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AC4E02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1,436.11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E442383">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200AF7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1,436.11</w:t>
            </w:r>
          </w:p>
        </w:tc>
      </w:tr>
      <w:tr w14:paraId="75608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86687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2130999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EFF28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其他目标价格补贴</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7F2936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1,436.11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808C39D">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1C224B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1,436.11</w:t>
            </w:r>
          </w:p>
        </w:tc>
      </w:tr>
      <w:tr w14:paraId="51451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59CC9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88ACC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商业服务业等支出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5FA6B7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6DAFEA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130DAFF">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779B4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E7C3A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33FD6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商业流通事务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01796B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C87EF1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BFB4D32">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036DC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05464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2160299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9D600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其他商业流通事务支出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1027CA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A3E725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40B6165">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2C67D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2C68A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59227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金融支出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E70E23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95B1398">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65EFF6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r>
      <w:tr w14:paraId="7005D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C228F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21703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9E08D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金融发展支出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3993EC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4ADA1E3">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0F51CA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r>
      <w:tr w14:paraId="5B156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4E2ED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2170399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81A00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其他金融发展支出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99B2BB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92BD68E">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838E1A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r>
      <w:tr w14:paraId="3655B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DD491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2550E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781AEE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76.36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BC1954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76.36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216D59D">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091BC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2E5CE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D8CDF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DF5D9D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76.36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277BD3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76.36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59B3A8B">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18A5A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53A99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248B3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3977BD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76.36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928227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76.36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92A9915">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3A461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3C286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D0ED9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粮油物资储备支出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626556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1,040.90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F056BE8">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1215A2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1,040.90</w:t>
            </w:r>
          </w:p>
        </w:tc>
      </w:tr>
      <w:tr w14:paraId="05811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0CF67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21AE8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粮油物资事务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B66BDD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1,040.90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5285571">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A472B0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1,040.90</w:t>
            </w:r>
          </w:p>
        </w:tc>
      </w:tr>
      <w:tr w14:paraId="28925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2E424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2220199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678B0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其他粮油物资事务支出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371DE6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1,040.90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4B32F64">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F16C9B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1,040.90</w:t>
            </w:r>
          </w:p>
        </w:tc>
      </w:tr>
      <w:tr w14:paraId="22CDF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jc w:val="center"/>
        </w:trPr>
        <w:tc>
          <w:tcPr>
            <w:tcW w:w="0" w:type="auto"/>
            <w:gridSpan w:val="7"/>
            <w:tcBorders>
              <w:top w:val="single" w:color="auto" w:sz="4" w:space="0"/>
              <w:left w:val="nil"/>
              <w:bottom w:val="nil"/>
              <w:right w:val="nil"/>
            </w:tcBorders>
            <w:shd w:val="clear" w:color="auto" w:fill="auto"/>
            <w:noWrap/>
            <w:vAlign w:val="center"/>
          </w:tcPr>
          <w:p w14:paraId="12CA2A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14:paraId="76D4B870">
      <w:pPr>
        <w:rPr>
          <w:rFonts w:hint="eastAsia" w:ascii="方正小标宋_GBK" w:hAnsi="方正小标宋_GBK" w:eastAsia="方正小标宋_GBK" w:cs="方正小标宋_GBK"/>
          <w:color w:val="auto"/>
          <w:sz w:val="72"/>
          <w:szCs w:val="72"/>
        </w:rPr>
      </w:pPr>
      <w:r>
        <w:rPr>
          <w:rFonts w:hint="eastAsia" w:ascii="方正小标宋_GBK" w:hAnsi="方正小标宋_GBK" w:eastAsia="方正小标宋_GBK" w:cs="方正小标宋_GBK"/>
          <w:color w:val="auto"/>
          <w:sz w:val="72"/>
          <w:szCs w:val="72"/>
        </w:rPr>
        <w:br w:type="page"/>
      </w:r>
    </w:p>
    <w:p w14:paraId="2808100C">
      <w:pPr>
        <w:keepNext w:val="0"/>
        <w:keepLines w:val="0"/>
        <w:pageBreakBefore w:val="0"/>
        <w:widowControl/>
        <w:tabs>
          <w:tab w:val="left" w:pos="735"/>
          <w:tab w:val="left" w:pos="4260"/>
          <w:tab w:val="left" w:pos="6060"/>
          <w:tab w:val="left" w:pos="6795"/>
          <w:tab w:val="left" w:pos="9570"/>
          <w:tab w:val="left" w:pos="11370"/>
          <w:tab w:val="left" w:pos="12105"/>
          <w:tab w:val="left" w:pos="1662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0"/>
          <w:szCs w:val="30"/>
          <w:u w:val="none"/>
          <w:lang w:val="en-US" w:eastAsia="zh-CN" w:bidi="ar"/>
        </w:rPr>
        <w:t>一般公共预算财政拨款基本支出决算明细表</w:t>
      </w:r>
    </w:p>
    <w:tbl>
      <w:tblPr>
        <w:tblStyle w:val="11"/>
        <w:tblW w:w="150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28" w:type="dxa"/>
          <w:bottom w:w="0" w:type="dxa"/>
          <w:right w:w="28" w:type="dxa"/>
        </w:tblCellMar>
      </w:tblPr>
      <w:tblGrid>
        <w:gridCol w:w="1107"/>
        <w:gridCol w:w="3228"/>
        <w:gridCol w:w="1019"/>
        <w:gridCol w:w="718"/>
        <w:gridCol w:w="2225"/>
        <w:gridCol w:w="818"/>
        <w:gridCol w:w="718"/>
        <w:gridCol w:w="3111"/>
        <w:gridCol w:w="574"/>
        <w:gridCol w:w="1317"/>
      </w:tblGrid>
      <w:tr w14:paraId="0AA52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trHeight w:val="205" w:hRule="atLeast"/>
          <w:jc w:val="center"/>
        </w:trPr>
        <w:tc>
          <w:tcPr>
            <w:tcW w:w="1107" w:type="dxa"/>
            <w:tcBorders>
              <w:top w:val="nil"/>
              <w:left w:val="nil"/>
              <w:bottom w:val="nil"/>
              <w:right w:val="nil"/>
            </w:tcBorders>
            <w:shd w:val="clear" w:color="auto" w:fill="auto"/>
            <w:noWrap/>
            <w:vAlign w:val="center"/>
          </w:tcPr>
          <w:p w14:paraId="281F3187">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2"/>
                <w:szCs w:val="22"/>
                <w:u w:val="none"/>
              </w:rPr>
            </w:pPr>
          </w:p>
        </w:tc>
        <w:tc>
          <w:tcPr>
            <w:tcW w:w="3228" w:type="dxa"/>
            <w:tcBorders>
              <w:top w:val="nil"/>
              <w:left w:val="nil"/>
              <w:bottom w:val="nil"/>
              <w:right w:val="nil"/>
            </w:tcBorders>
            <w:shd w:val="clear" w:color="auto" w:fill="auto"/>
            <w:noWrap/>
            <w:vAlign w:val="center"/>
          </w:tcPr>
          <w:p w14:paraId="0C63DD00">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2"/>
                <w:szCs w:val="22"/>
                <w:u w:val="none"/>
              </w:rPr>
            </w:pPr>
          </w:p>
        </w:tc>
        <w:tc>
          <w:tcPr>
            <w:tcW w:w="1019" w:type="dxa"/>
            <w:tcBorders>
              <w:top w:val="nil"/>
              <w:left w:val="nil"/>
              <w:bottom w:val="nil"/>
              <w:right w:val="nil"/>
            </w:tcBorders>
            <w:shd w:val="clear" w:color="auto" w:fill="auto"/>
            <w:noWrap/>
            <w:vAlign w:val="center"/>
          </w:tcPr>
          <w:p w14:paraId="428C5BD4">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2"/>
                <w:szCs w:val="22"/>
                <w:u w:val="none"/>
              </w:rPr>
            </w:pPr>
          </w:p>
        </w:tc>
        <w:tc>
          <w:tcPr>
            <w:tcW w:w="718" w:type="dxa"/>
            <w:tcBorders>
              <w:top w:val="nil"/>
              <w:left w:val="nil"/>
              <w:bottom w:val="nil"/>
              <w:right w:val="nil"/>
            </w:tcBorders>
            <w:shd w:val="clear" w:color="auto" w:fill="auto"/>
            <w:noWrap/>
            <w:vAlign w:val="center"/>
          </w:tcPr>
          <w:p w14:paraId="1A3C3F85">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2"/>
                <w:szCs w:val="22"/>
                <w:u w:val="none"/>
              </w:rPr>
            </w:pPr>
          </w:p>
        </w:tc>
        <w:tc>
          <w:tcPr>
            <w:tcW w:w="2225" w:type="dxa"/>
            <w:tcBorders>
              <w:top w:val="nil"/>
              <w:left w:val="nil"/>
              <w:bottom w:val="nil"/>
              <w:right w:val="nil"/>
            </w:tcBorders>
            <w:shd w:val="clear" w:color="auto" w:fill="auto"/>
            <w:noWrap/>
            <w:vAlign w:val="center"/>
          </w:tcPr>
          <w:p w14:paraId="1CFCF51A">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2"/>
                <w:szCs w:val="22"/>
                <w:u w:val="none"/>
              </w:rPr>
            </w:pPr>
          </w:p>
        </w:tc>
        <w:tc>
          <w:tcPr>
            <w:tcW w:w="818" w:type="dxa"/>
            <w:tcBorders>
              <w:top w:val="nil"/>
              <w:left w:val="nil"/>
              <w:bottom w:val="nil"/>
              <w:right w:val="nil"/>
            </w:tcBorders>
            <w:shd w:val="clear" w:color="auto" w:fill="auto"/>
            <w:noWrap/>
            <w:vAlign w:val="center"/>
          </w:tcPr>
          <w:p w14:paraId="35FF1CFE">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2"/>
                <w:szCs w:val="22"/>
                <w:u w:val="none"/>
              </w:rPr>
            </w:pPr>
          </w:p>
        </w:tc>
        <w:tc>
          <w:tcPr>
            <w:tcW w:w="718" w:type="dxa"/>
            <w:tcBorders>
              <w:top w:val="nil"/>
              <w:left w:val="nil"/>
              <w:bottom w:val="nil"/>
              <w:right w:val="nil"/>
            </w:tcBorders>
            <w:shd w:val="clear" w:color="auto" w:fill="auto"/>
            <w:noWrap/>
            <w:vAlign w:val="center"/>
          </w:tcPr>
          <w:p w14:paraId="01A25E00">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2"/>
                <w:szCs w:val="22"/>
                <w:u w:val="none"/>
              </w:rPr>
            </w:pPr>
          </w:p>
        </w:tc>
        <w:tc>
          <w:tcPr>
            <w:tcW w:w="3111" w:type="dxa"/>
            <w:tcBorders>
              <w:top w:val="nil"/>
              <w:left w:val="nil"/>
              <w:bottom w:val="nil"/>
              <w:right w:val="nil"/>
            </w:tcBorders>
            <w:shd w:val="clear" w:color="auto" w:fill="auto"/>
            <w:noWrap/>
            <w:vAlign w:val="center"/>
          </w:tcPr>
          <w:p w14:paraId="5B6C8F26">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2"/>
                <w:szCs w:val="22"/>
                <w:u w:val="none"/>
              </w:rPr>
            </w:pPr>
          </w:p>
        </w:tc>
        <w:tc>
          <w:tcPr>
            <w:tcW w:w="1891" w:type="dxa"/>
            <w:gridSpan w:val="2"/>
            <w:tcBorders>
              <w:top w:val="nil"/>
              <w:left w:val="nil"/>
              <w:bottom w:val="nil"/>
              <w:right w:val="nil"/>
            </w:tcBorders>
            <w:shd w:val="clear" w:color="auto" w:fill="auto"/>
            <w:noWrap/>
            <w:vAlign w:val="bottom"/>
          </w:tcPr>
          <w:p w14:paraId="34603627">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14:paraId="7659B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05" w:hRule="atLeast"/>
          <w:jc w:val="center"/>
        </w:trPr>
        <w:tc>
          <w:tcPr>
            <w:tcW w:w="4335" w:type="dxa"/>
            <w:gridSpan w:val="2"/>
            <w:tcBorders>
              <w:top w:val="nil"/>
              <w:left w:val="nil"/>
              <w:bottom w:val="single" w:color="auto" w:sz="4" w:space="0"/>
              <w:right w:val="nil"/>
            </w:tcBorders>
            <w:shd w:val="clear" w:color="auto" w:fill="auto"/>
            <w:noWrap/>
            <w:vAlign w:val="bottom"/>
          </w:tcPr>
          <w:p w14:paraId="443D1A21">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部门：溆浦县农业农村局</w:t>
            </w:r>
          </w:p>
        </w:tc>
        <w:tc>
          <w:tcPr>
            <w:tcW w:w="1019" w:type="dxa"/>
            <w:tcBorders>
              <w:top w:val="nil"/>
              <w:left w:val="nil"/>
              <w:bottom w:val="single" w:color="auto" w:sz="4" w:space="0"/>
              <w:right w:val="nil"/>
            </w:tcBorders>
            <w:shd w:val="clear" w:color="auto" w:fill="auto"/>
            <w:noWrap/>
            <w:vAlign w:val="center"/>
          </w:tcPr>
          <w:p w14:paraId="7FBF5143">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2"/>
                <w:szCs w:val="22"/>
                <w:u w:val="none"/>
              </w:rPr>
            </w:pPr>
          </w:p>
        </w:tc>
        <w:tc>
          <w:tcPr>
            <w:tcW w:w="718" w:type="dxa"/>
            <w:tcBorders>
              <w:top w:val="nil"/>
              <w:left w:val="nil"/>
              <w:bottom w:val="single" w:color="auto" w:sz="4" w:space="0"/>
              <w:right w:val="nil"/>
            </w:tcBorders>
            <w:shd w:val="clear" w:color="auto" w:fill="auto"/>
            <w:noWrap/>
            <w:vAlign w:val="center"/>
          </w:tcPr>
          <w:p w14:paraId="2C152E0F">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2"/>
                <w:szCs w:val="22"/>
                <w:u w:val="none"/>
              </w:rPr>
            </w:pPr>
          </w:p>
        </w:tc>
        <w:tc>
          <w:tcPr>
            <w:tcW w:w="2225" w:type="dxa"/>
            <w:tcBorders>
              <w:top w:val="nil"/>
              <w:left w:val="nil"/>
              <w:bottom w:val="single" w:color="auto" w:sz="4" w:space="0"/>
              <w:right w:val="nil"/>
            </w:tcBorders>
            <w:shd w:val="clear" w:color="auto" w:fill="auto"/>
            <w:noWrap/>
            <w:vAlign w:val="center"/>
          </w:tcPr>
          <w:p w14:paraId="17A57202">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2"/>
                <w:szCs w:val="22"/>
                <w:u w:val="none"/>
              </w:rPr>
            </w:pPr>
          </w:p>
        </w:tc>
        <w:tc>
          <w:tcPr>
            <w:tcW w:w="818" w:type="dxa"/>
            <w:tcBorders>
              <w:top w:val="nil"/>
              <w:left w:val="nil"/>
              <w:bottom w:val="single" w:color="auto" w:sz="4" w:space="0"/>
              <w:right w:val="nil"/>
            </w:tcBorders>
            <w:shd w:val="clear" w:color="auto" w:fill="auto"/>
            <w:noWrap/>
            <w:vAlign w:val="center"/>
          </w:tcPr>
          <w:p w14:paraId="0A35ABDD">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2"/>
                <w:szCs w:val="22"/>
                <w:u w:val="none"/>
              </w:rPr>
            </w:pPr>
          </w:p>
        </w:tc>
        <w:tc>
          <w:tcPr>
            <w:tcW w:w="718" w:type="dxa"/>
            <w:tcBorders>
              <w:top w:val="nil"/>
              <w:left w:val="nil"/>
              <w:bottom w:val="single" w:color="auto" w:sz="4" w:space="0"/>
              <w:right w:val="nil"/>
            </w:tcBorders>
            <w:shd w:val="clear" w:color="auto" w:fill="auto"/>
            <w:noWrap/>
            <w:vAlign w:val="center"/>
          </w:tcPr>
          <w:p w14:paraId="51DFBB6B">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2"/>
                <w:szCs w:val="22"/>
                <w:u w:val="none"/>
              </w:rPr>
            </w:pPr>
          </w:p>
        </w:tc>
        <w:tc>
          <w:tcPr>
            <w:tcW w:w="3111" w:type="dxa"/>
            <w:tcBorders>
              <w:top w:val="nil"/>
              <w:left w:val="nil"/>
              <w:bottom w:val="single" w:color="auto" w:sz="4" w:space="0"/>
              <w:right w:val="nil"/>
            </w:tcBorders>
            <w:shd w:val="clear" w:color="auto" w:fill="auto"/>
            <w:noWrap/>
            <w:vAlign w:val="center"/>
          </w:tcPr>
          <w:p w14:paraId="67DB247A">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2"/>
                <w:szCs w:val="22"/>
                <w:u w:val="none"/>
              </w:rPr>
            </w:pPr>
          </w:p>
        </w:tc>
        <w:tc>
          <w:tcPr>
            <w:tcW w:w="1891" w:type="dxa"/>
            <w:gridSpan w:val="2"/>
            <w:tcBorders>
              <w:top w:val="nil"/>
              <w:left w:val="nil"/>
              <w:bottom w:val="single" w:color="auto" w:sz="4" w:space="0"/>
              <w:right w:val="nil"/>
            </w:tcBorders>
            <w:shd w:val="clear" w:color="auto" w:fill="auto"/>
            <w:noWrap/>
            <w:vAlign w:val="bottom"/>
          </w:tcPr>
          <w:p w14:paraId="63F342D8">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64AEF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11" w:hRule="atLeast"/>
          <w:jc w:val="center"/>
        </w:trPr>
        <w:tc>
          <w:tcPr>
            <w:tcW w:w="535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AE18DC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9481"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06F1C66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14:paraId="75C74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312" w:hRule="atLeast"/>
          <w:jc w:val="center"/>
        </w:trPr>
        <w:tc>
          <w:tcPr>
            <w:tcW w:w="1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F5073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2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55EF5D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1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D2D62E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7AB81C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2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99EFA8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0AFF27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31E443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685"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91585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758A9C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4197C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312" w:hRule="atLeast"/>
          <w:jc w:val="center"/>
        </w:trPr>
        <w:tc>
          <w:tcPr>
            <w:tcW w:w="1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A2239F">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2"/>
                <w:szCs w:val="22"/>
                <w:u w:val="none"/>
              </w:rPr>
            </w:pPr>
          </w:p>
        </w:tc>
        <w:tc>
          <w:tcPr>
            <w:tcW w:w="32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A28B01">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2"/>
                <w:szCs w:val="22"/>
                <w:u w:val="none"/>
              </w:rPr>
            </w:pPr>
          </w:p>
        </w:tc>
        <w:tc>
          <w:tcPr>
            <w:tcW w:w="10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72886E">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2"/>
                <w:szCs w:val="22"/>
                <w:u w:val="none"/>
              </w:rPr>
            </w:pPr>
          </w:p>
        </w:tc>
        <w:tc>
          <w:tcPr>
            <w:tcW w:w="7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6F3B63">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2"/>
                <w:szCs w:val="22"/>
                <w:u w:val="none"/>
              </w:rPr>
            </w:pPr>
          </w:p>
        </w:tc>
        <w:tc>
          <w:tcPr>
            <w:tcW w:w="22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2AD90A">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2"/>
                <w:szCs w:val="22"/>
                <w:u w:val="none"/>
              </w:rPr>
            </w:pPr>
          </w:p>
        </w:tc>
        <w:tc>
          <w:tcPr>
            <w:tcW w:w="8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2BB7DB">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2"/>
                <w:szCs w:val="22"/>
                <w:u w:val="none"/>
              </w:rPr>
            </w:pPr>
          </w:p>
        </w:tc>
        <w:tc>
          <w:tcPr>
            <w:tcW w:w="7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8A2B4D">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2"/>
                <w:szCs w:val="22"/>
                <w:u w:val="none"/>
              </w:rPr>
            </w:pPr>
          </w:p>
        </w:tc>
        <w:tc>
          <w:tcPr>
            <w:tcW w:w="3685"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40ADE6">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2"/>
                <w:szCs w:val="22"/>
                <w:u w:val="none"/>
              </w:rPr>
            </w:pPr>
          </w:p>
        </w:tc>
        <w:tc>
          <w:tcPr>
            <w:tcW w:w="13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779BD0">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2"/>
                <w:szCs w:val="22"/>
                <w:u w:val="none"/>
              </w:rPr>
            </w:pPr>
          </w:p>
        </w:tc>
      </w:tr>
      <w:tr w14:paraId="678EC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11" w:hRule="atLeast"/>
          <w:jc w:val="center"/>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D05EA3">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32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68D318">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AD203E">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1,732.56</w:t>
            </w:r>
          </w:p>
        </w:tc>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167B2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22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DD1EE8">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8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E17E12">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387.63</w:t>
            </w:r>
          </w:p>
        </w:tc>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D7ED76">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36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B2561BA">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13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EA6A25">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DC04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11" w:hRule="atLeast"/>
          <w:jc w:val="center"/>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1A654B">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2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96D7F8">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AA6CAB">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881.55</w:t>
            </w:r>
          </w:p>
        </w:tc>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BD9A12">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2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F00185">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8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7C53BF">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57.12</w:t>
            </w:r>
          </w:p>
        </w:tc>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B38C2C">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36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085EA65">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13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509BF4">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E708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11" w:hRule="atLeast"/>
          <w:jc w:val="center"/>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6D4B27">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2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C9E268">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CBDD87">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329.80</w:t>
            </w:r>
          </w:p>
        </w:tc>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062B91">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2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E08E18">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8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F06291">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75.08</w:t>
            </w:r>
          </w:p>
        </w:tc>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45689C">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36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CFFDCE0">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13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ACEC86">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6C76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11" w:hRule="atLeast"/>
          <w:jc w:val="center"/>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930F2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2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7AEE5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F8F8E0">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105.24</w:t>
            </w:r>
          </w:p>
        </w:tc>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8D369A">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2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140242">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8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5A43B6">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0BCA0E">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36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67C5AEE">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13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4ECEC3">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6.92</w:t>
            </w:r>
          </w:p>
        </w:tc>
      </w:tr>
      <w:tr w14:paraId="12BE8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11" w:hRule="atLeast"/>
          <w:jc w:val="center"/>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9331FD">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2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4CAAF9">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82F3A6">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36.01</w:t>
            </w:r>
          </w:p>
        </w:tc>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9C14D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2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70706A">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8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8DE806">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00C4B8">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36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E84DC27">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13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46344A">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6889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11" w:hRule="atLeast"/>
          <w:jc w:val="center"/>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4F52C5">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2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E99BDE">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7FA8C0">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59AB9F">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2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79A86A">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8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0D9DAB">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627C35">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36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4A9F69A">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3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9416EF">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6.92</w:t>
            </w:r>
          </w:p>
        </w:tc>
      </w:tr>
      <w:tr w14:paraId="2E9CF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416" w:hRule="atLeast"/>
          <w:jc w:val="center"/>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654088">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2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325DD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826B51">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180.23</w:t>
            </w:r>
          </w:p>
        </w:tc>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9A6B2F">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2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8601F5">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8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B99B59">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10.63</w:t>
            </w:r>
          </w:p>
        </w:tc>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04BA2F">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36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108498C">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3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FC0FC0">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5F04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11" w:hRule="atLeast"/>
          <w:jc w:val="center"/>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BB77F8">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2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569FA7">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4F50DA">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E8FDAB">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2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2B54CA">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8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3A356C">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w:t>
            </w:r>
          </w:p>
        </w:tc>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CCF675">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36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3E169DE">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13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4A60EA">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7233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11" w:hRule="atLeast"/>
          <w:jc w:val="center"/>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27513C">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2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563497">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1F7D34">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80.70</w:t>
            </w:r>
          </w:p>
        </w:tc>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A1A32E">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2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1611C0">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8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C2680D">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6860AD">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36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21A423E">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13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D8257F">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9B6F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11" w:hRule="atLeast"/>
          <w:jc w:val="center"/>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5D2D76">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2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551C31">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AC005B">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CD5426">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2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394249">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8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73DA36">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617BF8">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36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295DA70">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13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85D62E">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1ACC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11" w:hRule="atLeast"/>
          <w:jc w:val="center"/>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0B6377">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2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0E79E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D3816B">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19.70</w:t>
            </w:r>
          </w:p>
        </w:tc>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CAE418">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2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444901">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8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AF703F">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101.90</w:t>
            </w:r>
          </w:p>
        </w:tc>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897150">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36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2E5E93E">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13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258594">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BCD0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11" w:hRule="atLeast"/>
          <w:jc w:val="center"/>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A692F2">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2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C6E0AC">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403FEA">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86.40</w:t>
            </w:r>
          </w:p>
        </w:tc>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1EFBD1">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2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A67B5A">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8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A73FC4">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67FB33">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36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2F88D0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13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540E83">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2944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11" w:hRule="atLeast"/>
          <w:jc w:val="center"/>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B844CF">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2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24FC13">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D2B8D7">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D045AE">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2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7EFDE9">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8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EB6B9E">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6DF330">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36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BDA9AF7">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13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D47165">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0F4C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11" w:hRule="atLeast"/>
          <w:jc w:val="center"/>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26B15D">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2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F325B1">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7523AF">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11.72</w:t>
            </w:r>
          </w:p>
        </w:tc>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BD98A0">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2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A35B09">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8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E6CA53">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2ED783">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36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B6EF5F2">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13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FB316E">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B0C1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11" w:hRule="atLeast"/>
          <w:jc w:val="center"/>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A4F97B">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32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F53225">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C1698E">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64.46</w:t>
            </w:r>
          </w:p>
        </w:tc>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D2F8E2">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2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8FE36D">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8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BC7AD7">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BE1AB3">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36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BC011AE">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13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2522A8">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B2F6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11" w:hRule="atLeast"/>
          <w:jc w:val="center"/>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D02D51">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2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904565">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43D7A0">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852D41">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2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B1CE5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8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5AEC5D">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D48340">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36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40E531C">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3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507847">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D173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11" w:hRule="atLeast"/>
          <w:jc w:val="center"/>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A88D4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2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74DEE9">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1DBFE8">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4D59C5">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2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FF4553">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8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C31048">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7.59</w:t>
            </w:r>
          </w:p>
        </w:tc>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D144E6">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36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D19B6AD">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13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EBCDE6">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2DF8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11" w:hRule="atLeast"/>
          <w:jc w:val="center"/>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39DE50">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2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559C1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A00FD7">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46EA3F">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2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69F41B">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8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C3BFCD">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DD297C">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36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2B397A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13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9C36E8">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928F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11" w:hRule="atLeast"/>
          <w:jc w:val="center"/>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10BA76">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2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893118">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F64768">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25BC9F">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2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F98532">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8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8117EC">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5F6BD6">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36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036363E">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13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B73D20">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A57C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11" w:hRule="atLeast"/>
          <w:jc w:val="center"/>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E4C532">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2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62D943">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6D5EAC">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52.08</w:t>
            </w:r>
          </w:p>
        </w:tc>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76CAF8">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2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6FEBC6">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8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4644AC">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494567">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36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F5EEE52">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13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DB262A">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E3F1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11" w:hRule="atLeast"/>
          <w:jc w:val="center"/>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B53A10">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2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2858D0">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268ED6">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0E99D0">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2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E06AEA">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8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A99C65">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19.29</w:t>
            </w:r>
          </w:p>
        </w:tc>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44AB5B">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36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A46BCA7">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3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0F8832">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9C74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11" w:hRule="atLeast"/>
          <w:jc w:val="center"/>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311678">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2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6A969E">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652495">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373229">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2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D65A7F">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8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5C4D6D">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97DA50">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36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E30480A">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3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46E29B">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4F45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416" w:hRule="atLeast"/>
          <w:jc w:val="center"/>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8907ED">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2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131BF2">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1B15C3">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91C5AC">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2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AD698A">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8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AC775D">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EDC8A2">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36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78BEDB1">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对民间非营利组织和群众性自治组织补贴</w:t>
            </w:r>
          </w:p>
        </w:tc>
        <w:tc>
          <w:tcPr>
            <w:tcW w:w="13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2EB677">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6503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11" w:hRule="atLeast"/>
          <w:jc w:val="center"/>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5EF795">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2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E60A18">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485925">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930288">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2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7BBE9E">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8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67F585">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39DF8E">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36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4FE9851">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13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575422">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E3B4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416" w:hRule="atLeast"/>
          <w:jc w:val="center"/>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842A8F">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2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72EC86">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EF7012">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EA2A3E">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2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9D95FF">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8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9FC57C">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w:t>
            </w:r>
          </w:p>
        </w:tc>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809D78">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36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D142C27">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13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6941B9">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9A6D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11" w:hRule="atLeast"/>
          <w:jc w:val="center"/>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CE7DFB">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2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A35D5D">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79E174">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ECCB30">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2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A859A1">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8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951C4D">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50.31</w:t>
            </w:r>
          </w:p>
        </w:tc>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46F122">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36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CBA02FE">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3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CC35EC">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C117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11" w:hRule="atLeast"/>
          <w:jc w:val="center"/>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C29BBA">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2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554F3E">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CA6A33">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12.38</w:t>
            </w:r>
          </w:p>
        </w:tc>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A587D9">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2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C7DC61">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8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EAAE9F">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F73335">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2"/>
                <w:szCs w:val="22"/>
                <w:u w:val="none"/>
              </w:rPr>
            </w:pPr>
          </w:p>
        </w:tc>
        <w:tc>
          <w:tcPr>
            <w:tcW w:w="36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09B561C">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2"/>
                <w:szCs w:val="22"/>
                <w:u w:val="none"/>
              </w:rPr>
            </w:pPr>
          </w:p>
        </w:tc>
        <w:tc>
          <w:tcPr>
            <w:tcW w:w="13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1B4956">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2"/>
                <w:szCs w:val="22"/>
                <w:u w:val="none"/>
              </w:rPr>
            </w:pPr>
          </w:p>
        </w:tc>
      </w:tr>
      <w:tr w14:paraId="56993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416" w:hRule="atLeast"/>
          <w:jc w:val="center"/>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F6AE14">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2"/>
                <w:szCs w:val="22"/>
                <w:u w:val="none"/>
              </w:rPr>
            </w:pPr>
          </w:p>
        </w:tc>
        <w:tc>
          <w:tcPr>
            <w:tcW w:w="32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313C10">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2"/>
                <w:szCs w:val="22"/>
                <w:u w:val="none"/>
              </w:rPr>
            </w:pP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03C226">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2"/>
                <w:szCs w:val="22"/>
                <w:u w:val="none"/>
              </w:rPr>
            </w:pPr>
          </w:p>
        </w:tc>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8724A6">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2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65DF2E">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8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8692C2">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29.92</w:t>
            </w:r>
          </w:p>
        </w:tc>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4A74B2">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2"/>
                <w:szCs w:val="22"/>
                <w:u w:val="none"/>
              </w:rPr>
            </w:pPr>
          </w:p>
        </w:tc>
        <w:tc>
          <w:tcPr>
            <w:tcW w:w="36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70DFB22">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22"/>
                <w:szCs w:val="22"/>
                <w:u w:val="none"/>
              </w:rPr>
            </w:pPr>
          </w:p>
        </w:tc>
        <w:tc>
          <w:tcPr>
            <w:tcW w:w="13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4DD32A">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2"/>
                <w:szCs w:val="22"/>
                <w:u w:val="none"/>
              </w:rPr>
            </w:pPr>
          </w:p>
        </w:tc>
      </w:tr>
      <w:tr w14:paraId="13B63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11" w:hRule="atLeast"/>
          <w:jc w:val="center"/>
        </w:trPr>
        <w:tc>
          <w:tcPr>
            <w:tcW w:w="433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BE06ED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D6BB98">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1,797.02</w:t>
            </w:r>
          </w:p>
        </w:tc>
        <w:tc>
          <w:tcPr>
            <w:tcW w:w="8164"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1C7A115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13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93B4F0">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394.55</w:t>
            </w:r>
          </w:p>
        </w:tc>
      </w:tr>
      <w:tr w14:paraId="38816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11" w:hRule="atLeast"/>
          <w:jc w:val="center"/>
        </w:trPr>
        <w:tc>
          <w:tcPr>
            <w:tcW w:w="14835" w:type="dxa"/>
            <w:gridSpan w:val="10"/>
            <w:tcBorders>
              <w:top w:val="single" w:color="auto" w:sz="4" w:space="0"/>
              <w:left w:val="nil"/>
              <w:bottom w:val="nil"/>
              <w:right w:val="nil"/>
            </w:tcBorders>
            <w:shd w:val="clear" w:color="auto" w:fill="auto"/>
            <w:noWrap/>
            <w:vAlign w:val="center"/>
          </w:tcPr>
          <w:p w14:paraId="0142773B">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14:paraId="503C31E6">
      <w:pPr>
        <w:tabs>
          <w:tab w:val="left" w:pos="330"/>
          <w:tab w:val="left" w:pos="660"/>
          <w:tab w:val="left" w:pos="990"/>
          <w:tab w:val="left" w:pos="4920"/>
          <w:tab w:val="left" w:pos="6600"/>
          <w:tab w:val="left" w:pos="8280"/>
          <w:tab w:val="left" w:pos="9960"/>
          <w:tab w:val="left" w:pos="11640"/>
          <w:tab w:val="left" w:pos="13320"/>
        </w:tabs>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ab/>
      </w:r>
      <w:r>
        <w:rPr>
          <w:rFonts w:hint="eastAsia" w:ascii="宋体" w:hAnsi="宋体" w:eastAsia="宋体" w:cs="宋体"/>
          <w:i w:val="0"/>
          <w:iCs w:val="0"/>
          <w:color w:val="000000"/>
          <w:sz w:val="22"/>
          <w:szCs w:val="22"/>
          <w:u w:val="none"/>
        </w:rPr>
        <w:tab/>
      </w:r>
      <w:r>
        <w:rPr>
          <w:rFonts w:hint="eastAsia" w:ascii="宋体" w:hAnsi="宋体" w:eastAsia="宋体" w:cs="宋体"/>
          <w:i w:val="0"/>
          <w:iCs w:val="0"/>
          <w:color w:val="000000"/>
          <w:sz w:val="22"/>
          <w:szCs w:val="22"/>
          <w:u w:val="none"/>
        </w:rPr>
        <w:tab/>
      </w:r>
      <w:r>
        <w:rPr>
          <w:rFonts w:hint="eastAsia" w:ascii="宋体" w:hAnsi="宋体" w:eastAsia="宋体" w:cs="宋体"/>
          <w:i w:val="0"/>
          <w:iCs w:val="0"/>
          <w:color w:val="000000"/>
          <w:sz w:val="22"/>
          <w:szCs w:val="22"/>
          <w:u w:val="none"/>
        </w:rPr>
        <w:tab/>
      </w:r>
      <w:r>
        <w:rPr>
          <w:rFonts w:hint="eastAsia" w:ascii="黑体" w:hAnsi="宋体" w:eastAsia="黑体" w:cs="黑体"/>
          <w:i w:val="0"/>
          <w:iCs w:val="0"/>
          <w:color w:val="000000"/>
          <w:kern w:val="0"/>
          <w:sz w:val="30"/>
          <w:szCs w:val="30"/>
          <w:u w:val="none"/>
          <w:lang w:val="en-US" w:eastAsia="zh-CN" w:bidi="ar"/>
        </w:rPr>
        <w:t>政府性基金预算财政拨款收入支出决算表</w:t>
      </w:r>
      <w:r>
        <w:rPr>
          <w:rFonts w:ascii="黑体" w:hAnsi="宋体" w:eastAsia="黑体" w:cs="黑体"/>
          <w:i w:val="0"/>
          <w:iCs w:val="0"/>
          <w:color w:val="000000"/>
          <w:sz w:val="30"/>
          <w:szCs w:val="30"/>
          <w:u w:val="none"/>
        </w:rPr>
        <w:tab/>
      </w:r>
      <w:r>
        <w:rPr>
          <w:rFonts w:hint="eastAsia" w:ascii="宋体" w:hAnsi="宋体" w:eastAsia="宋体" w:cs="宋体"/>
          <w:i w:val="0"/>
          <w:iCs w:val="0"/>
          <w:color w:val="000000"/>
          <w:sz w:val="22"/>
          <w:szCs w:val="22"/>
          <w:u w:val="none"/>
        </w:rPr>
        <w:tab/>
      </w:r>
      <w:r>
        <w:rPr>
          <w:rFonts w:hint="eastAsia" w:ascii="宋体" w:hAnsi="宋体" w:eastAsia="宋体" w:cs="宋体"/>
          <w:i w:val="0"/>
          <w:iCs w:val="0"/>
          <w:color w:val="000000"/>
          <w:sz w:val="22"/>
          <w:szCs w:val="22"/>
          <w:u w:val="none"/>
        </w:rPr>
        <w:tab/>
      </w:r>
      <w:r>
        <w:rPr>
          <w:rFonts w:hint="eastAsia" w:ascii="宋体" w:hAnsi="宋体" w:eastAsia="宋体" w:cs="宋体"/>
          <w:i w:val="0"/>
          <w:iCs w:val="0"/>
          <w:color w:val="000000"/>
          <w:sz w:val="22"/>
          <w:szCs w:val="22"/>
          <w:u w:val="none"/>
        </w:rPr>
        <w:tab/>
      </w:r>
    </w:p>
    <w:tbl>
      <w:tblPr>
        <w:tblStyle w:val="11"/>
        <w:tblW w:w="150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30"/>
        <w:gridCol w:w="330"/>
        <w:gridCol w:w="330"/>
        <w:gridCol w:w="3930"/>
        <w:gridCol w:w="1680"/>
        <w:gridCol w:w="1680"/>
        <w:gridCol w:w="1680"/>
        <w:gridCol w:w="1680"/>
        <w:gridCol w:w="1680"/>
        <w:gridCol w:w="1680"/>
      </w:tblGrid>
      <w:tr w14:paraId="2B8F2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0" w:type="dxa"/>
            <w:tcBorders>
              <w:top w:val="nil"/>
              <w:left w:val="nil"/>
              <w:bottom w:val="nil"/>
              <w:right w:val="nil"/>
            </w:tcBorders>
            <w:shd w:val="clear" w:color="auto" w:fill="auto"/>
            <w:noWrap/>
            <w:vAlign w:val="center"/>
          </w:tcPr>
          <w:p w14:paraId="76B52E03">
            <w:pPr>
              <w:rPr>
                <w:rFonts w:hint="eastAsia" w:ascii="宋体" w:hAnsi="宋体" w:eastAsia="宋体" w:cs="宋体"/>
                <w:i w:val="0"/>
                <w:iCs w:val="0"/>
                <w:color w:val="000000"/>
                <w:sz w:val="22"/>
                <w:szCs w:val="22"/>
                <w:u w:val="none"/>
              </w:rPr>
            </w:pPr>
          </w:p>
        </w:tc>
        <w:tc>
          <w:tcPr>
            <w:tcW w:w="330" w:type="dxa"/>
            <w:tcBorders>
              <w:top w:val="nil"/>
              <w:left w:val="nil"/>
              <w:bottom w:val="nil"/>
              <w:right w:val="nil"/>
            </w:tcBorders>
            <w:shd w:val="clear" w:color="auto" w:fill="auto"/>
            <w:noWrap/>
            <w:vAlign w:val="center"/>
          </w:tcPr>
          <w:p w14:paraId="150030D1">
            <w:pPr>
              <w:rPr>
                <w:rFonts w:hint="eastAsia" w:ascii="宋体" w:hAnsi="宋体" w:eastAsia="宋体" w:cs="宋体"/>
                <w:i w:val="0"/>
                <w:iCs w:val="0"/>
                <w:color w:val="000000"/>
                <w:sz w:val="22"/>
                <w:szCs w:val="22"/>
                <w:u w:val="none"/>
              </w:rPr>
            </w:pPr>
          </w:p>
        </w:tc>
        <w:tc>
          <w:tcPr>
            <w:tcW w:w="330" w:type="dxa"/>
            <w:tcBorders>
              <w:top w:val="nil"/>
              <w:left w:val="nil"/>
              <w:bottom w:val="nil"/>
              <w:right w:val="nil"/>
            </w:tcBorders>
            <w:shd w:val="clear" w:color="auto" w:fill="auto"/>
            <w:noWrap/>
            <w:vAlign w:val="center"/>
          </w:tcPr>
          <w:p w14:paraId="5EC156D9">
            <w:pPr>
              <w:rPr>
                <w:rFonts w:hint="eastAsia" w:ascii="宋体" w:hAnsi="宋体" w:eastAsia="宋体" w:cs="宋体"/>
                <w:i w:val="0"/>
                <w:iCs w:val="0"/>
                <w:color w:val="000000"/>
                <w:sz w:val="22"/>
                <w:szCs w:val="22"/>
                <w:u w:val="none"/>
              </w:rPr>
            </w:pPr>
          </w:p>
        </w:tc>
        <w:tc>
          <w:tcPr>
            <w:tcW w:w="3930" w:type="dxa"/>
            <w:tcBorders>
              <w:top w:val="nil"/>
              <w:left w:val="nil"/>
              <w:bottom w:val="nil"/>
              <w:right w:val="nil"/>
            </w:tcBorders>
            <w:shd w:val="clear" w:color="auto" w:fill="auto"/>
            <w:noWrap/>
            <w:vAlign w:val="center"/>
          </w:tcPr>
          <w:p w14:paraId="0361E7D6">
            <w:pPr>
              <w:rPr>
                <w:rFonts w:hint="eastAsia" w:ascii="宋体" w:hAnsi="宋体" w:eastAsia="宋体" w:cs="宋体"/>
                <w:i w:val="0"/>
                <w:iCs w:val="0"/>
                <w:color w:val="000000"/>
                <w:sz w:val="22"/>
                <w:szCs w:val="22"/>
                <w:u w:val="none"/>
              </w:rPr>
            </w:pPr>
          </w:p>
        </w:tc>
        <w:tc>
          <w:tcPr>
            <w:tcW w:w="1680" w:type="dxa"/>
            <w:tcBorders>
              <w:top w:val="nil"/>
              <w:left w:val="nil"/>
              <w:bottom w:val="nil"/>
              <w:right w:val="nil"/>
            </w:tcBorders>
            <w:shd w:val="clear" w:color="auto" w:fill="auto"/>
            <w:noWrap/>
            <w:vAlign w:val="center"/>
          </w:tcPr>
          <w:p w14:paraId="63294923">
            <w:pPr>
              <w:rPr>
                <w:rFonts w:hint="eastAsia" w:ascii="宋体" w:hAnsi="宋体" w:eastAsia="宋体" w:cs="宋体"/>
                <w:i w:val="0"/>
                <w:iCs w:val="0"/>
                <w:color w:val="000000"/>
                <w:sz w:val="22"/>
                <w:szCs w:val="22"/>
                <w:u w:val="none"/>
              </w:rPr>
            </w:pPr>
          </w:p>
        </w:tc>
        <w:tc>
          <w:tcPr>
            <w:tcW w:w="1680" w:type="dxa"/>
            <w:tcBorders>
              <w:top w:val="nil"/>
              <w:left w:val="nil"/>
              <w:bottom w:val="nil"/>
              <w:right w:val="nil"/>
            </w:tcBorders>
            <w:shd w:val="clear" w:color="auto" w:fill="auto"/>
            <w:noWrap/>
            <w:vAlign w:val="center"/>
          </w:tcPr>
          <w:p w14:paraId="79552EE6">
            <w:pPr>
              <w:rPr>
                <w:rFonts w:hint="eastAsia" w:ascii="宋体" w:hAnsi="宋体" w:eastAsia="宋体" w:cs="宋体"/>
                <w:i w:val="0"/>
                <w:iCs w:val="0"/>
                <w:color w:val="000000"/>
                <w:sz w:val="22"/>
                <w:szCs w:val="22"/>
                <w:u w:val="none"/>
              </w:rPr>
            </w:pPr>
          </w:p>
        </w:tc>
        <w:tc>
          <w:tcPr>
            <w:tcW w:w="1680" w:type="dxa"/>
            <w:tcBorders>
              <w:top w:val="nil"/>
              <w:left w:val="nil"/>
              <w:bottom w:val="nil"/>
              <w:right w:val="nil"/>
            </w:tcBorders>
            <w:shd w:val="clear" w:color="auto" w:fill="auto"/>
            <w:noWrap/>
            <w:vAlign w:val="center"/>
          </w:tcPr>
          <w:p w14:paraId="0628D675">
            <w:pPr>
              <w:rPr>
                <w:rFonts w:hint="eastAsia" w:ascii="宋体" w:hAnsi="宋体" w:eastAsia="宋体" w:cs="宋体"/>
                <w:i w:val="0"/>
                <w:iCs w:val="0"/>
                <w:color w:val="000000"/>
                <w:sz w:val="22"/>
                <w:szCs w:val="22"/>
                <w:u w:val="none"/>
              </w:rPr>
            </w:pPr>
          </w:p>
        </w:tc>
        <w:tc>
          <w:tcPr>
            <w:tcW w:w="1680" w:type="dxa"/>
            <w:tcBorders>
              <w:top w:val="nil"/>
              <w:left w:val="nil"/>
              <w:bottom w:val="nil"/>
              <w:right w:val="nil"/>
            </w:tcBorders>
            <w:shd w:val="clear" w:color="auto" w:fill="auto"/>
            <w:noWrap/>
            <w:vAlign w:val="center"/>
          </w:tcPr>
          <w:p w14:paraId="6BAAEBFF">
            <w:pPr>
              <w:rPr>
                <w:rFonts w:hint="eastAsia" w:ascii="宋体" w:hAnsi="宋体" w:eastAsia="宋体" w:cs="宋体"/>
                <w:i w:val="0"/>
                <w:iCs w:val="0"/>
                <w:color w:val="000000"/>
                <w:sz w:val="22"/>
                <w:szCs w:val="22"/>
                <w:u w:val="none"/>
              </w:rPr>
            </w:pPr>
          </w:p>
        </w:tc>
        <w:tc>
          <w:tcPr>
            <w:tcW w:w="1680" w:type="dxa"/>
            <w:tcBorders>
              <w:top w:val="nil"/>
              <w:left w:val="nil"/>
              <w:bottom w:val="nil"/>
              <w:right w:val="nil"/>
            </w:tcBorders>
            <w:shd w:val="clear" w:color="auto" w:fill="auto"/>
            <w:noWrap/>
            <w:vAlign w:val="center"/>
          </w:tcPr>
          <w:p w14:paraId="784B09CF">
            <w:pPr>
              <w:rPr>
                <w:rFonts w:hint="eastAsia" w:ascii="宋体" w:hAnsi="宋体" w:eastAsia="宋体" w:cs="宋体"/>
                <w:i w:val="0"/>
                <w:iCs w:val="0"/>
                <w:color w:val="000000"/>
                <w:sz w:val="22"/>
                <w:szCs w:val="22"/>
                <w:u w:val="none"/>
              </w:rPr>
            </w:pPr>
          </w:p>
        </w:tc>
        <w:tc>
          <w:tcPr>
            <w:tcW w:w="1680" w:type="dxa"/>
            <w:tcBorders>
              <w:top w:val="nil"/>
              <w:left w:val="nil"/>
              <w:bottom w:val="nil"/>
              <w:right w:val="nil"/>
            </w:tcBorders>
            <w:shd w:val="clear" w:color="auto" w:fill="auto"/>
            <w:noWrap/>
            <w:vAlign w:val="bottom"/>
          </w:tcPr>
          <w:p w14:paraId="5AE5DD27">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14:paraId="2A4B3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0" w:type="dxa"/>
            <w:gridSpan w:val="4"/>
            <w:tcBorders>
              <w:top w:val="nil"/>
              <w:left w:val="nil"/>
              <w:bottom w:val="single" w:color="auto" w:sz="4" w:space="0"/>
              <w:right w:val="nil"/>
            </w:tcBorders>
            <w:shd w:val="clear" w:color="auto" w:fill="auto"/>
            <w:noWrap/>
            <w:vAlign w:val="bottom"/>
          </w:tcPr>
          <w:p w14:paraId="6F43231B">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部门：溆浦县农业农村局</w:t>
            </w:r>
          </w:p>
        </w:tc>
        <w:tc>
          <w:tcPr>
            <w:tcW w:w="1680" w:type="dxa"/>
            <w:tcBorders>
              <w:top w:val="nil"/>
              <w:left w:val="nil"/>
              <w:bottom w:val="single" w:color="auto" w:sz="4" w:space="0"/>
              <w:right w:val="nil"/>
            </w:tcBorders>
            <w:shd w:val="clear" w:color="auto" w:fill="auto"/>
            <w:noWrap/>
            <w:vAlign w:val="center"/>
          </w:tcPr>
          <w:p w14:paraId="0F2BA4AF">
            <w:pPr>
              <w:rPr>
                <w:rFonts w:hint="eastAsia" w:ascii="宋体" w:hAnsi="宋体" w:eastAsia="宋体" w:cs="宋体"/>
                <w:i w:val="0"/>
                <w:iCs w:val="0"/>
                <w:color w:val="000000"/>
                <w:sz w:val="22"/>
                <w:szCs w:val="22"/>
                <w:u w:val="none"/>
              </w:rPr>
            </w:pPr>
          </w:p>
        </w:tc>
        <w:tc>
          <w:tcPr>
            <w:tcW w:w="1680" w:type="dxa"/>
            <w:tcBorders>
              <w:top w:val="nil"/>
              <w:left w:val="nil"/>
              <w:bottom w:val="single" w:color="auto" w:sz="4" w:space="0"/>
              <w:right w:val="nil"/>
            </w:tcBorders>
            <w:shd w:val="clear" w:color="auto" w:fill="auto"/>
            <w:noWrap/>
            <w:vAlign w:val="center"/>
          </w:tcPr>
          <w:p w14:paraId="5A36A93D">
            <w:pPr>
              <w:rPr>
                <w:rFonts w:hint="eastAsia" w:ascii="宋体" w:hAnsi="宋体" w:eastAsia="宋体" w:cs="宋体"/>
                <w:i w:val="0"/>
                <w:iCs w:val="0"/>
                <w:color w:val="000000"/>
                <w:sz w:val="22"/>
                <w:szCs w:val="22"/>
                <w:u w:val="none"/>
              </w:rPr>
            </w:pPr>
          </w:p>
        </w:tc>
        <w:tc>
          <w:tcPr>
            <w:tcW w:w="1680" w:type="dxa"/>
            <w:tcBorders>
              <w:top w:val="nil"/>
              <w:left w:val="nil"/>
              <w:bottom w:val="single" w:color="auto" w:sz="4" w:space="0"/>
              <w:right w:val="nil"/>
            </w:tcBorders>
            <w:shd w:val="clear" w:color="auto" w:fill="auto"/>
            <w:noWrap/>
            <w:vAlign w:val="center"/>
          </w:tcPr>
          <w:p w14:paraId="118922E7">
            <w:pPr>
              <w:rPr>
                <w:rFonts w:hint="eastAsia" w:ascii="宋体" w:hAnsi="宋体" w:eastAsia="宋体" w:cs="宋体"/>
                <w:i w:val="0"/>
                <w:iCs w:val="0"/>
                <w:color w:val="000000"/>
                <w:sz w:val="22"/>
                <w:szCs w:val="22"/>
                <w:u w:val="none"/>
              </w:rPr>
            </w:pPr>
          </w:p>
        </w:tc>
        <w:tc>
          <w:tcPr>
            <w:tcW w:w="1680" w:type="dxa"/>
            <w:tcBorders>
              <w:top w:val="nil"/>
              <w:left w:val="nil"/>
              <w:bottom w:val="single" w:color="auto" w:sz="4" w:space="0"/>
              <w:right w:val="nil"/>
            </w:tcBorders>
            <w:shd w:val="clear" w:color="auto" w:fill="auto"/>
            <w:noWrap/>
            <w:vAlign w:val="center"/>
          </w:tcPr>
          <w:p w14:paraId="7E83B253">
            <w:pPr>
              <w:rPr>
                <w:rFonts w:hint="eastAsia" w:ascii="宋体" w:hAnsi="宋体" w:eastAsia="宋体" w:cs="宋体"/>
                <w:i w:val="0"/>
                <w:iCs w:val="0"/>
                <w:color w:val="000000"/>
                <w:sz w:val="22"/>
                <w:szCs w:val="22"/>
                <w:u w:val="none"/>
              </w:rPr>
            </w:pPr>
          </w:p>
        </w:tc>
        <w:tc>
          <w:tcPr>
            <w:tcW w:w="1680" w:type="dxa"/>
            <w:tcBorders>
              <w:top w:val="nil"/>
              <w:left w:val="nil"/>
              <w:bottom w:val="single" w:color="auto" w:sz="4" w:space="0"/>
              <w:right w:val="nil"/>
            </w:tcBorders>
            <w:shd w:val="clear" w:color="auto" w:fill="auto"/>
            <w:noWrap/>
            <w:vAlign w:val="center"/>
          </w:tcPr>
          <w:p w14:paraId="627477A8">
            <w:pPr>
              <w:rPr>
                <w:rFonts w:hint="eastAsia" w:ascii="宋体" w:hAnsi="宋体" w:eastAsia="宋体" w:cs="宋体"/>
                <w:i w:val="0"/>
                <w:iCs w:val="0"/>
                <w:color w:val="000000"/>
                <w:sz w:val="22"/>
                <w:szCs w:val="22"/>
                <w:u w:val="none"/>
              </w:rPr>
            </w:pPr>
          </w:p>
        </w:tc>
        <w:tc>
          <w:tcPr>
            <w:tcW w:w="1680" w:type="dxa"/>
            <w:tcBorders>
              <w:top w:val="nil"/>
              <w:left w:val="nil"/>
              <w:bottom w:val="single" w:color="auto" w:sz="4" w:space="0"/>
              <w:right w:val="nil"/>
            </w:tcBorders>
            <w:shd w:val="clear" w:color="auto" w:fill="auto"/>
            <w:noWrap/>
            <w:vAlign w:val="bottom"/>
          </w:tcPr>
          <w:p w14:paraId="507D26B1">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5C8D5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2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B18F6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78B84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6D083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5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D2724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07490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14:paraId="54772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EE93A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93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EC53C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C5B7E4">
            <w:pPr>
              <w:jc w:val="center"/>
              <w:rPr>
                <w:rFonts w:hint="eastAsia" w:ascii="宋体" w:hAnsi="宋体" w:eastAsia="宋体" w:cs="宋体"/>
                <w:i w:val="0"/>
                <w:iCs w:val="0"/>
                <w:color w:val="000000"/>
                <w:sz w:val="22"/>
                <w:szCs w:val="22"/>
                <w:u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814B65">
            <w:pPr>
              <w:jc w:val="center"/>
              <w:rPr>
                <w:rFonts w:hint="eastAsia" w:ascii="宋体" w:hAnsi="宋体" w:eastAsia="宋体" w:cs="宋体"/>
                <w:i w:val="0"/>
                <w:iCs w:val="0"/>
                <w:color w:val="000000"/>
                <w:sz w:val="22"/>
                <w:szCs w:val="22"/>
                <w:u w:val="none"/>
              </w:rPr>
            </w:pP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F0DEE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70B1F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F4872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7724F5">
            <w:pPr>
              <w:jc w:val="center"/>
              <w:rPr>
                <w:rFonts w:hint="eastAsia" w:ascii="宋体" w:hAnsi="宋体" w:eastAsia="宋体" w:cs="宋体"/>
                <w:i w:val="0"/>
                <w:iCs w:val="0"/>
                <w:color w:val="000000"/>
                <w:sz w:val="22"/>
                <w:szCs w:val="22"/>
                <w:u w:val="none"/>
              </w:rPr>
            </w:pPr>
          </w:p>
        </w:tc>
      </w:tr>
      <w:tr w14:paraId="0297A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0D6E00">
            <w:pPr>
              <w:jc w:val="center"/>
              <w:rPr>
                <w:rFonts w:hint="eastAsia" w:ascii="宋体" w:hAnsi="宋体" w:eastAsia="宋体" w:cs="宋体"/>
                <w:i w:val="0"/>
                <w:iCs w:val="0"/>
                <w:color w:val="000000"/>
                <w:sz w:val="22"/>
                <w:szCs w:val="22"/>
                <w:u w:val="none"/>
              </w:rPr>
            </w:pPr>
          </w:p>
        </w:tc>
        <w:tc>
          <w:tcPr>
            <w:tcW w:w="393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D6FABA6">
            <w:pPr>
              <w:jc w:val="center"/>
              <w:rPr>
                <w:rFonts w:hint="eastAsia" w:ascii="宋体" w:hAnsi="宋体" w:eastAsia="宋体" w:cs="宋体"/>
                <w:i w:val="0"/>
                <w:iCs w:val="0"/>
                <w:color w:val="000000"/>
                <w:sz w:val="22"/>
                <w:szCs w:val="22"/>
                <w:u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F09BAF">
            <w:pPr>
              <w:jc w:val="center"/>
              <w:rPr>
                <w:rFonts w:hint="eastAsia" w:ascii="宋体" w:hAnsi="宋体" w:eastAsia="宋体" w:cs="宋体"/>
                <w:i w:val="0"/>
                <w:iCs w:val="0"/>
                <w:color w:val="000000"/>
                <w:sz w:val="22"/>
                <w:szCs w:val="22"/>
                <w:u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E585DA">
            <w:pPr>
              <w:jc w:val="center"/>
              <w:rPr>
                <w:rFonts w:hint="eastAsia" w:ascii="宋体" w:hAnsi="宋体" w:eastAsia="宋体" w:cs="宋体"/>
                <w:i w:val="0"/>
                <w:iCs w:val="0"/>
                <w:color w:val="000000"/>
                <w:sz w:val="22"/>
                <w:szCs w:val="22"/>
                <w:u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95FFCB">
            <w:pPr>
              <w:jc w:val="center"/>
              <w:rPr>
                <w:rFonts w:hint="eastAsia" w:ascii="宋体" w:hAnsi="宋体" w:eastAsia="宋体" w:cs="宋体"/>
                <w:i w:val="0"/>
                <w:iCs w:val="0"/>
                <w:color w:val="000000"/>
                <w:sz w:val="22"/>
                <w:szCs w:val="22"/>
                <w:u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7805C5">
            <w:pPr>
              <w:jc w:val="center"/>
              <w:rPr>
                <w:rFonts w:hint="eastAsia" w:ascii="宋体" w:hAnsi="宋体" w:eastAsia="宋体" w:cs="宋体"/>
                <w:i w:val="0"/>
                <w:iCs w:val="0"/>
                <w:color w:val="000000"/>
                <w:sz w:val="22"/>
                <w:szCs w:val="22"/>
                <w:u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D4610F">
            <w:pPr>
              <w:jc w:val="center"/>
              <w:rPr>
                <w:rFonts w:hint="eastAsia" w:ascii="宋体" w:hAnsi="宋体" w:eastAsia="宋体" w:cs="宋体"/>
                <w:i w:val="0"/>
                <w:iCs w:val="0"/>
                <w:color w:val="000000"/>
                <w:sz w:val="22"/>
                <w:szCs w:val="22"/>
                <w:u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C86DA9">
            <w:pPr>
              <w:jc w:val="center"/>
              <w:rPr>
                <w:rFonts w:hint="eastAsia" w:ascii="宋体" w:hAnsi="宋体" w:eastAsia="宋体" w:cs="宋体"/>
                <w:i w:val="0"/>
                <w:iCs w:val="0"/>
                <w:color w:val="000000"/>
                <w:sz w:val="22"/>
                <w:szCs w:val="22"/>
                <w:u w:val="none"/>
              </w:rPr>
            </w:pPr>
          </w:p>
        </w:tc>
      </w:tr>
      <w:tr w14:paraId="32D08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1EE3D3">
            <w:pPr>
              <w:jc w:val="center"/>
              <w:rPr>
                <w:rFonts w:hint="eastAsia" w:ascii="宋体" w:hAnsi="宋体" w:eastAsia="宋体" w:cs="宋体"/>
                <w:i w:val="0"/>
                <w:iCs w:val="0"/>
                <w:color w:val="000000"/>
                <w:sz w:val="22"/>
                <w:szCs w:val="22"/>
                <w:u w:val="none"/>
              </w:rPr>
            </w:pPr>
          </w:p>
        </w:tc>
        <w:tc>
          <w:tcPr>
            <w:tcW w:w="393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ED51C4A">
            <w:pPr>
              <w:jc w:val="center"/>
              <w:rPr>
                <w:rFonts w:hint="eastAsia" w:ascii="宋体" w:hAnsi="宋体" w:eastAsia="宋体" w:cs="宋体"/>
                <w:i w:val="0"/>
                <w:iCs w:val="0"/>
                <w:color w:val="000000"/>
                <w:sz w:val="22"/>
                <w:szCs w:val="22"/>
                <w:u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32FC3F">
            <w:pPr>
              <w:jc w:val="center"/>
              <w:rPr>
                <w:rFonts w:hint="eastAsia" w:ascii="宋体" w:hAnsi="宋体" w:eastAsia="宋体" w:cs="宋体"/>
                <w:i w:val="0"/>
                <w:iCs w:val="0"/>
                <w:color w:val="000000"/>
                <w:sz w:val="22"/>
                <w:szCs w:val="22"/>
                <w:u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22AEEF">
            <w:pPr>
              <w:jc w:val="center"/>
              <w:rPr>
                <w:rFonts w:hint="eastAsia" w:ascii="宋体" w:hAnsi="宋体" w:eastAsia="宋体" w:cs="宋体"/>
                <w:i w:val="0"/>
                <w:iCs w:val="0"/>
                <w:color w:val="000000"/>
                <w:sz w:val="22"/>
                <w:szCs w:val="22"/>
                <w:u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7E8EB1">
            <w:pPr>
              <w:jc w:val="center"/>
              <w:rPr>
                <w:rFonts w:hint="eastAsia" w:ascii="宋体" w:hAnsi="宋体" w:eastAsia="宋体" w:cs="宋体"/>
                <w:i w:val="0"/>
                <w:iCs w:val="0"/>
                <w:color w:val="000000"/>
                <w:sz w:val="22"/>
                <w:szCs w:val="22"/>
                <w:u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60368B">
            <w:pPr>
              <w:jc w:val="center"/>
              <w:rPr>
                <w:rFonts w:hint="eastAsia" w:ascii="宋体" w:hAnsi="宋体" w:eastAsia="宋体" w:cs="宋体"/>
                <w:i w:val="0"/>
                <w:iCs w:val="0"/>
                <w:color w:val="000000"/>
                <w:sz w:val="22"/>
                <w:szCs w:val="22"/>
                <w:u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CDF89F">
            <w:pPr>
              <w:jc w:val="center"/>
              <w:rPr>
                <w:rFonts w:hint="eastAsia" w:ascii="宋体" w:hAnsi="宋体" w:eastAsia="宋体" w:cs="宋体"/>
                <w:i w:val="0"/>
                <w:iCs w:val="0"/>
                <w:color w:val="000000"/>
                <w:sz w:val="22"/>
                <w:szCs w:val="22"/>
                <w:u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5FC4D7">
            <w:pPr>
              <w:jc w:val="center"/>
              <w:rPr>
                <w:rFonts w:hint="eastAsia" w:ascii="宋体" w:hAnsi="宋体" w:eastAsia="宋体" w:cs="宋体"/>
                <w:i w:val="0"/>
                <w:iCs w:val="0"/>
                <w:color w:val="000000"/>
                <w:sz w:val="22"/>
                <w:szCs w:val="22"/>
                <w:u w:val="none"/>
              </w:rPr>
            </w:pPr>
          </w:p>
        </w:tc>
      </w:tr>
      <w:tr w14:paraId="5DA5B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2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491FB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72E9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FBA6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BF28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4D23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39EC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21E2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7E566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2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17B2E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7C965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646C1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3,142.51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9B56B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3,142.51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F3FA85">
            <w:pPr>
              <w:jc w:val="right"/>
              <w:rPr>
                <w:rFonts w:hint="eastAsia" w:ascii="宋体" w:hAnsi="宋体" w:eastAsia="宋体" w:cs="宋体"/>
                <w:b/>
                <w:bCs/>
                <w:i w:val="0"/>
                <w:iCs w:val="0"/>
                <w:color w:val="000000"/>
                <w:sz w:val="22"/>
                <w:szCs w:val="22"/>
                <w:u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A0C72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3,142.51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A0946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20712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D77E9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39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7B1D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560C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37F5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3,142.51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7BE1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3,142.51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0D801F">
            <w:pPr>
              <w:jc w:val="right"/>
              <w:rPr>
                <w:rFonts w:hint="eastAsia" w:ascii="宋体" w:hAnsi="宋体" w:eastAsia="宋体" w:cs="宋体"/>
                <w:i w:val="0"/>
                <w:iCs w:val="0"/>
                <w:color w:val="000000"/>
                <w:sz w:val="22"/>
                <w:szCs w:val="22"/>
                <w:u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A207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3,142.51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2B64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EE7E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D85FA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22904</w:t>
            </w:r>
          </w:p>
        </w:tc>
        <w:tc>
          <w:tcPr>
            <w:tcW w:w="39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4FBA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其他政府性基金及对应专项债务收入安排的支出</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E243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91B9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3,142.51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B7A7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3,142.51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F070FF">
            <w:pPr>
              <w:jc w:val="right"/>
              <w:rPr>
                <w:rFonts w:hint="eastAsia" w:ascii="宋体" w:hAnsi="宋体" w:eastAsia="宋体" w:cs="宋体"/>
                <w:i w:val="0"/>
                <w:iCs w:val="0"/>
                <w:color w:val="000000"/>
                <w:sz w:val="22"/>
                <w:szCs w:val="22"/>
                <w:u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B4FD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3,142.51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2807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6030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BACB9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2290402</w:t>
            </w:r>
          </w:p>
        </w:tc>
        <w:tc>
          <w:tcPr>
            <w:tcW w:w="39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6285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其他地方自行试点项目收益专项债券收入安排的支出</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D581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DEE5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3,142.51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C2A7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3,142.51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A2E217">
            <w:pPr>
              <w:jc w:val="right"/>
              <w:rPr>
                <w:rFonts w:hint="eastAsia" w:ascii="宋体" w:hAnsi="宋体" w:eastAsia="宋体" w:cs="宋体"/>
                <w:i w:val="0"/>
                <w:iCs w:val="0"/>
                <w:color w:val="000000"/>
                <w:sz w:val="22"/>
                <w:szCs w:val="22"/>
                <w:u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C8A4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3,142.51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B412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AA1E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000" w:type="dxa"/>
            <w:gridSpan w:val="10"/>
            <w:tcBorders>
              <w:top w:val="single" w:color="auto" w:sz="4" w:space="0"/>
              <w:left w:val="nil"/>
              <w:bottom w:val="nil"/>
              <w:right w:val="nil"/>
            </w:tcBorders>
            <w:shd w:val="clear" w:color="auto" w:fill="auto"/>
            <w:noWrap/>
            <w:vAlign w:val="center"/>
          </w:tcPr>
          <w:p w14:paraId="4357CE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bl>
    <w:p w14:paraId="29F0AED5">
      <w:pPr>
        <w:rPr>
          <w:rFonts w:hint="eastAsia" w:ascii="方正小标宋_GBK" w:hAnsi="方正小标宋_GBK" w:eastAsia="方正小标宋_GBK" w:cs="方正小标宋_GBK"/>
          <w:color w:val="auto"/>
          <w:sz w:val="72"/>
          <w:szCs w:val="72"/>
        </w:rPr>
      </w:pPr>
      <w:r>
        <w:rPr>
          <w:rFonts w:hint="eastAsia" w:ascii="方正小标宋_GBK" w:hAnsi="方正小标宋_GBK" w:eastAsia="方正小标宋_GBK" w:cs="方正小标宋_GBK"/>
          <w:color w:val="auto"/>
          <w:sz w:val="72"/>
          <w:szCs w:val="72"/>
        </w:rPr>
        <w:br w:type="page"/>
      </w:r>
    </w:p>
    <w:tbl>
      <w:tblPr>
        <w:tblStyle w:val="11"/>
        <w:tblW w:w="147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25"/>
        <w:gridCol w:w="324"/>
        <w:gridCol w:w="324"/>
        <w:gridCol w:w="1599"/>
        <w:gridCol w:w="1544"/>
        <w:gridCol w:w="2256"/>
        <w:gridCol w:w="5218"/>
      </w:tblGrid>
      <w:tr w14:paraId="645F0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790" w:type="dxa"/>
            <w:gridSpan w:val="7"/>
            <w:tcBorders>
              <w:top w:val="nil"/>
              <w:left w:val="nil"/>
              <w:bottom w:val="nil"/>
              <w:right w:val="nil"/>
            </w:tcBorders>
            <w:shd w:val="clear" w:color="auto" w:fill="auto"/>
            <w:noWrap/>
            <w:vAlign w:val="center"/>
          </w:tcPr>
          <w:p w14:paraId="359723EA">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国有资本经营预算财政拨款支出决算表</w:t>
            </w:r>
          </w:p>
        </w:tc>
      </w:tr>
      <w:tr w14:paraId="0CFFA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38E3413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3132D7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39B80B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CC8042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D5B001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06F5AD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0735111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14:paraId="0D1DE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single" w:color="auto" w:sz="4" w:space="0"/>
              <w:right w:val="nil"/>
            </w:tcBorders>
            <w:shd w:val="clear" w:color="auto" w:fill="auto"/>
            <w:noWrap/>
            <w:vAlign w:val="bottom"/>
          </w:tcPr>
          <w:p w14:paraId="6DB9EE1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部门：溆浦县农业农村局</w:t>
            </w:r>
          </w:p>
        </w:tc>
        <w:tc>
          <w:tcPr>
            <w:tcW w:w="0" w:type="auto"/>
            <w:tcBorders>
              <w:top w:val="nil"/>
              <w:left w:val="nil"/>
              <w:bottom w:val="single" w:color="auto" w:sz="4" w:space="0"/>
              <w:right w:val="nil"/>
            </w:tcBorders>
            <w:shd w:val="clear" w:color="auto" w:fill="auto"/>
            <w:noWrap/>
            <w:vAlign w:val="center"/>
          </w:tcPr>
          <w:p w14:paraId="47ACAB24">
            <w:pPr>
              <w:rPr>
                <w:rFonts w:hint="eastAsia" w:ascii="宋体" w:hAnsi="宋体" w:eastAsia="宋体" w:cs="宋体"/>
                <w:i w:val="0"/>
                <w:iCs w:val="0"/>
                <w:color w:val="000000"/>
                <w:sz w:val="22"/>
                <w:szCs w:val="22"/>
                <w:u w:val="none"/>
              </w:rPr>
            </w:pPr>
          </w:p>
        </w:tc>
        <w:tc>
          <w:tcPr>
            <w:tcW w:w="0" w:type="auto"/>
            <w:tcBorders>
              <w:top w:val="nil"/>
              <w:left w:val="nil"/>
              <w:bottom w:val="single" w:color="auto" w:sz="4" w:space="0"/>
              <w:right w:val="nil"/>
            </w:tcBorders>
            <w:shd w:val="clear" w:color="auto" w:fill="auto"/>
            <w:noWrap/>
            <w:vAlign w:val="center"/>
          </w:tcPr>
          <w:p w14:paraId="6C919D3A">
            <w:pPr>
              <w:rPr>
                <w:rFonts w:hint="eastAsia" w:ascii="宋体" w:hAnsi="宋体" w:eastAsia="宋体" w:cs="宋体"/>
                <w:i w:val="0"/>
                <w:iCs w:val="0"/>
                <w:color w:val="000000"/>
                <w:sz w:val="22"/>
                <w:szCs w:val="22"/>
                <w:u w:val="none"/>
              </w:rPr>
            </w:pPr>
          </w:p>
        </w:tc>
        <w:tc>
          <w:tcPr>
            <w:tcW w:w="0" w:type="auto"/>
            <w:tcBorders>
              <w:top w:val="nil"/>
              <w:left w:val="nil"/>
              <w:bottom w:val="single" w:color="auto" w:sz="4" w:space="0"/>
              <w:right w:val="nil"/>
            </w:tcBorders>
            <w:shd w:val="clear" w:color="auto" w:fill="auto"/>
            <w:noWrap/>
            <w:vAlign w:val="center"/>
          </w:tcPr>
          <w:p w14:paraId="736B33E1">
            <w:pPr>
              <w:rPr>
                <w:rFonts w:hint="eastAsia" w:ascii="宋体" w:hAnsi="宋体" w:eastAsia="宋体" w:cs="宋体"/>
                <w:i w:val="0"/>
                <w:iCs w:val="0"/>
                <w:color w:val="000000"/>
                <w:sz w:val="22"/>
                <w:szCs w:val="22"/>
                <w:u w:val="none"/>
              </w:rPr>
            </w:pPr>
          </w:p>
        </w:tc>
        <w:tc>
          <w:tcPr>
            <w:tcW w:w="0" w:type="auto"/>
            <w:tcBorders>
              <w:top w:val="nil"/>
              <w:left w:val="nil"/>
              <w:bottom w:val="single" w:color="auto" w:sz="4" w:space="0"/>
              <w:right w:val="nil"/>
            </w:tcBorders>
            <w:shd w:val="clear" w:color="auto" w:fill="auto"/>
            <w:noWrap/>
            <w:vAlign w:val="center"/>
          </w:tcPr>
          <w:p w14:paraId="04171C4B">
            <w:pPr>
              <w:rPr>
                <w:rFonts w:hint="eastAsia" w:ascii="宋体" w:hAnsi="宋体" w:eastAsia="宋体" w:cs="宋体"/>
                <w:i w:val="0"/>
                <w:iCs w:val="0"/>
                <w:color w:val="000000"/>
                <w:sz w:val="22"/>
                <w:szCs w:val="22"/>
                <w:u w:val="none"/>
              </w:rPr>
            </w:pPr>
          </w:p>
        </w:tc>
        <w:tc>
          <w:tcPr>
            <w:tcW w:w="0" w:type="auto"/>
            <w:tcBorders>
              <w:top w:val="nil"/>
              <w:left w:val="nil"/>
              <w:bottom w:val="single" w:color="auto" w:sz="4" w:space="0"/>
              <w:right w:val="nil"/>
            </w:tcBorders>
            <w:shd w:val="clear" w:color="auto" w:fill="auto"/>
            <w:noWrap/>
            <w:vAlign w:val="center"/>
          </w:tcPr>
          <w:p w14:paraId="1936D919">
            <w:pPr>
              <w:rPr>
                <w:rFonts w:hint="eastAsia" w:ascii="宋体" w:hAnsi="宋体" w:eastAsia="宋体" w:cs="宋体"/>
                <w:i w:val="0"/>
                <w:iCs w:val="0"/>
                <w:color w:val="000000"/>
                <w:sz w:val="22"/>
                <w:szCs w:val="22"/>
                <w:u w:val="none"/>
              </w:rPr>
            </w:pPr>
          </w:p>
        </w:tc>
        <w:tc>
          <w:tcPr>
            <w:tcW w:w="0" w:type="auto"/>
            <w:tcBorders>
              <w:top w:val="nil"/>
              <w:left w:val="nil"/>
              <w:bottom w:val="single" w:color="auto" w:sz="4" w:space="0"/>
              <w:right w:val="nil"/>
            </w:tcBorders>
            <w:shd w:val="clear" w:color="auto" w:fill="auto"/>
            <w:noWrap/>
            <w:vAlign w:val="bottom"/>
          </w:tcPr>
          <w:p w14:paraId="31D1A15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326CC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2E23E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987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F59E6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2EE1E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A727E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CA834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EF1F8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65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722DE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55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89A03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665A5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0C6602">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1FA2A78">
            <w:pPr>
              <w:jc w:val="center"/>
              <w:rPr>
                <w:rFonts w:hint="eastAsia" w:ascii="宋体" w:hAnsi="宋体" w:eastAsia="宋体" w:cs="宋体"/>
                <w:i w:val="0"/>
                <w:iCs w:val="0"/>
                <w:color w:val="000000"/>
                <w:sz w:val="22"/>
                <w:szCs w:val="22"/>
                <w:u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7EF35C">
            <w:pPr>
              <w:jc w:val="center"/>
              <w:rPr>
                <w:rFonts w:hint="eastAsia" w:ascii="宋体" w:hAnsi="宋体" w:eastAsia="宋体" w:cs="宋体"/>
                <w:i w:val="0"/>
                <w:iCs w:val="0"/>
                <w:color w:val="000000"/>
                <w:sz w:val="22"/>
                <w:szCs w:val="22"/>
                <w:u w:val="none"/>
              </w:rPr>
            </w:pPr>
          </w:p>
        </w:tc>
        <w:tc>
          <w:tcPr>
            <w:tcW w:w="26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09E6B9">
            <w:pPr>
              <w:jc w:val="center"/>
              <w:rPr>
                <w:rFonts w:hint="eastAsia" w:ascii="宋体" w:hAnsi="宋体" w:eastAsia="宋体" w:cs="宋体"/>
                <w:i w:val="0"/>
                <w:iCs w:val="0"/>
                <w:color w:val="000000"/>
                <w:sz w:val="22"/>
                <w:szCs w:val="22"/>
                <w:u w:val="none"/>
              </w:rPr>
            </w:pPr>
          </w:p>
        </w:tc>
        <w:tc>
          <w:tcPr>
            <w:tcW w:w="55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55387F">
            <w:pPr>
              <w:jc w:val="center"/>
              <w:rPr>
                <w:rFonts w:hint="eastAsia" w:ascii="宋体" w:hAnsi="宋体" w:eastAsia="宋体" w:cs="宋体"/>
                <w:i w:val="0"/>
                <w:iCs w:val="0"/>
                <w:color w:val="000000"/>
                <w:sz w:val="22"/>
                <w:szCs w:val="22"/>
                <w:u w:val="none"/>
              </w:rPr>
            </w:pPr>
          </w:p>
        </w:tc>
      </w:tr>
      <w:tr w14:paraId="35CD3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FFDBC7">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202F1A5">
            <w:pPr>
              <w:jc w:val="center"/>
              <w:rPr>
                <w:rFonts w:hint="eastAsia" w:ascii="宋体" w:hAnsi="宋体" w:eastAsia="宋体" w:cs="宋体"/>
                <w:i w:val="0"/>
                <w:iCs w:val="0"/>
                <w:color w:val="000000"/>
                <w:sz w:val="22"/>
                <w:szCs w:val="22"/>
                <w:u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CA9889">
            <w:pPr>
              <w:jc w:val="center"/>
              <w:rPr>
                <w:rFonts w:hint="eastAsia" w:ascii="宋体" w:hAnsi="宋体" w:eastAsia="宋体" w:cs="宋体"/>
                <w:i w:val="0"/>
                <w:iCs w:val="0"/>
                <w:color w:val="000000"/>
                <w:sz w:val="22"/>
                <w:szCs w:val="22"/>
                <w:u w:val="none"/>
              </w:rPr>
            </w:pPr>
          </w:p>
        </w:tc>
        <w:tc>
          <w:tcPr>
            <w:tcW w:w="26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82CCC5">
            <w:pPr>
              <w:jc w:val="center"/>
              <w:rPr>
                <w:rFonts w:hint="eastAsia" w:ascii="宋体" w:hAnsi="宋体" w:eastAsia="宋体" w:cs="宋体"/>
                <w:i w:val="0"/>
                <w:iCs w:val="0"/>
                <w:color w:val="000000"/>
                <w:sz w:val="22"/>
                <w:szCs w:val="22"/>
                <w:u w:val="none"/>
              </w:rPr>
            </w:pPr>
          </w:p>
        </w:tc>
        <w:tc>
          <w:tcPr>
            <w:tcW w:w="55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8EA65D">
            <w:pPr>
              <w:jc w:val="center"/>
              <w:rPr>
                <w:rFonts w:hint="eastAsia" w:ascii="宋体" w:hAnsi="宋体" w:eastAsia="宋体" w:cs="宋体"/>
                <w:i w:val="0"/>
                <w:iCs w:val="0"/>
                <w:color w:val="000000"/>
                <w:sz w:val="22"/>
                <w:szCs w:val="22"/>
                <w:u w:val="none"/>
              </w:rPr>
            </w:pPr>
          </w:p>
        </w:tc>
      </w:tr>
      <w:tr w14:paraId="4A5F4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97213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E2667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504CB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89D77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D597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13F1E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61EFE4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我单位没有使用国有资本经营预算安排的支出，故本单位无数据。</w:t>
            </w:r>
          </w:p>
        </w:tc>
      </w:tr>
      <w:tr w14:paraId="42ECB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2440FBC">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89A4F6F">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2B25012">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1320117">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2C2853B">
            <w:pPr>
              <w:jc w:val="right"/>
              <w:rPr>
                <w:rFonts w:hint="eastAsia" w:ascii="宋体" w:hAnsi="宋体" w:eastAsia="宋体" w:cs="宋体"/>
                <w:i w:val="0"/>
                <w:iCs w:val="0"/>
                <w:color w:val="000000"/>
                <w:sz w:val="22"/>
                <w:szCs w:val="22"/>
                <w:u w:val="none"/>
              </w:rPr>
            </w:pPr>
          </w:p>
        </w:tc>
      </w:tr>
      <w:tr w14:paraId="73A29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92DB1D9">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49B808D">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F1395D8">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34F1E74">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D978E28">
            <w:pPr>
              <w:jc w:val="right"/>
              <w:rPr>
                <w:rFonts w:hint="eastAsia" w:ascii="宋体" w:hAnsi="宋体" w:eastAsia="宋体" w:cs="宋体"/>
                <w:i w:val="0"/>
                <w:iCs w:val="0"/>
                <w:color w:val="000000"/>
                <w:sz w:val="22"/>
                <w:szCs w:val="22"/>
                <w:u w:val="none"/>
              </w:rPr>
            </w:pPr>
          </w:p>
        </w:tc>
      </w:tr>
      <w:tr w14:paraId="53FFA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7"/>
            <w:tcBorders>
              <w:top w:val="single" w:color="auto" w:sz="4" w:space="0"/>
              <w:left w:val="nil"/>
              <w:bottom w:val="nil"/>
              <w:right w:val="nil"/>
            </w:tcBorders>
            <w:shd w:val="clear" w:color="auto" w:fill="auto"/>
            <w:noWrap/>
            <w:vAlign w:val="center"/>
          </w:tcPr>
          <w:p w14:paraId="24C34C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注：本表反映部门本年度国有资本经营预算财政拨款支出情况。</w:t>
            </w:r>
          </w:p>
        </w:tc>
      </w:tr>
      <w:tr w14:paraId="45D12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7"/>
            <w:tcBorders>
              <w:top w:val="nil"/>
              <w:left w:val="nil"/>
              <w:bottom w:val="nil"/>
              <w:right w:val="nil"/>
            </w:tcBorders>
            <w:shd w:val="clear" w:color="auto" w:fill="auto"/>
            <w:noWrap/>
            <w:vAlign w:val="center"/>
          </w:tcPr>
          <w:p w14:paraId="133B05B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说明：我单位没有使用国有资本经营预算安排的支出，故本单位无数据。</w:t>
            </w:r>
          </w:p>
        </w:tc>
      </w:tr>
    </w:tbl>
    <w:p w14:paraId="154756E4">
      <w:pPr>
        <w:rPr>
          <w:rFonts w:hint="eastAsia" w:ascii="方正小标宋_GBK" w:hAnsi="方正小标宋_GBK" w:eastAsia="方正小标宋_GBK" w:cs="方正小标宋_GBK"/>
          <w:color w:val="auto"/>
          <w:sz w:val="72"/>
          <w:szCs w:val="72"/>
        </w:rPr>
      </w:pPr>
      <w:r>
        <w:rPr>
          <w:rFonts w:hint="eastAsia" w:ascii="方正小标宋_GBK" w:hAnsi="方正小标宋_GBK" w:eastAsia="方正小标宋_GBK" w:cs="方正小标宋_GBK"/>
          <w:color w:val="auto"/>
          <w:sz w:val="72"/>
          <w:szCs w:val="72"/>
        </w:rPr>
        <w:br w:type="page"/>
      </w:r>
    </w:p>
    <w:p w14:paraId="219ED4BF">
      <w:pPr>
        <w:tabs>
          <w:tab w:val="left" w:pos="1410"/>
          <w:tab w:val="left" w:pos="2820"/>
          <w:tab w:val="left" w:pos="4230"/>
          <w:tab w:val="left" w:pos="5640"/>
          <w:tab w:val="left" w:pos="7050"/>
          <w:tab w:val="left" w:pos="8460"/>
          <w:tab w:val="left" w:pos="9870"/>
          <w:tab w:val="left" w:pos="11280"/>
          <w:tab w:val="left" w:pos="12690"/>
          <w:tab w:val="left" w:pos="14100"/>
          <w:tab w:val="left" w:pos="15510"/>
        </w:tabs>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44"/>
          <w:szCs w:val="44"/>
          <w:u w:val="none"/>
          <w:lang w:val="en-US" w:eastAsia="zh-CN" w:bidi="ar"/>
        </w:rPr>
        <w:t>财政拨款“三公”经费支出决算表</w:t>
      </w:r>
    </w:p>
    <w:tbl>
      <w:tblPr>
        <w:tblStyle w:val="11"/>
        <w:tblW w:w="14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16"/>
        <w:gridCol w:w="1162"/>
        <w:gridCol w:w="1060"/>
        <w:gridCol w:w="958"/>
        <w:gridCol w:w="1061"/>
        <w:gridCol w:w="1061"/>
        <w:gridCol w:w="1112"/>
        <w:gridCol w:w="1163"/>
        <w:gridCol w:w="1061"/>
        <w:gridCol w:w="959"/>
        <w:gridCol w:w="1061"/>
        <w:gridCol w:w="1666"/>
      </w:tblGrid>
      <w:tr w14:paraId="11DB1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46D306B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A7E41F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C06B76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B61313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594207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4DD256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9D2463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6DC20C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5A0E65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73ECCA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2CC539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110135B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公开09表</w:t>
            </w:r>
          </w:p>
        </w:tc>
      </w:tr>
      <w:tr w14:paraId="65C44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nil"/>
              <w:left w:val="nil"/>
              <w:bottom w:val="single" w:color="auto" w:sz="4" w:space="0"/>
              <w:right w:val="nil"/>
            </w:tcBorders>
            <w:shd w:val="clear" w:color="auto" w:fill="auto"/>
            <w:noWrap/>
            <w:vAlign w:val="bottom"/>
          </w:tcPr>
          <w:p w14:paraId="57E2B35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部门：溆浦县农业农村局</w:t>
            </w:r>
          </w:p>
        </w:tc>
        <w:tc>
          <w:tcPr>
            <w:tcW w:w="0" w:type="auto"/>
            <w:tcBorders>
              <w:top w:val="nil"/>
              <w:left w:val="nil"/>
              <w:bottom w:val="single" w:color="auto" w:sz="4" w:space="0"/>
              <w:right w:val="nil"/>
            </w:tcBorders>
            <w:shd w:val="clear" w:color="auto" w:fill="auto"/>
            <w:noWrap/>
            <w:vAlign w:val="center"/>
          </w:tcPr>
          <w:p w14:paraId="32E0CF2E">
            <w:pPr>
              <w:rPr>
                <w:rFonts w:hint="eastAsia" w:ascii="宋体" w:hAnsi="宋体" w:eastAsia="宋体" w:cs="宋体"/>
                <w:i w:val="0"/>
                <w:iCs w:val="0"/>
                <w:color w:val="000000"/>
                <w:sz w:val="22"/>
                <w:szCs w:val="22"/>
                <w:u w:val="none"/>
              </w:rPr>
            </w:pPr>
          </w:p>
        </w:tc>
        <w:tc>
          <w:tcPr>
            <w:tcW w:w="0" w:type="auto"/>
            <w:tcBorders>
              <w:top w:val="nil"/>
              <w:left w:val="nil"/>
              <w:bottom w:val="single" w:color="auto" w:sz="4" w:space="0"/>
              <w:right w:val="nil"/>
            </w:tcBorders>
            <w:shd w:val="clear" w:color="auto" w:fill="auto"/>
            <w:noWrap/>
            <w:vAlign w:val="center"/>
          </w:tcPr>
          <w:p w14:paraId="07CF10A8">
            <w:pPr>
              <w:rPr>
                <w:rFonts w:hint="eastAsia" w:ascii="宋体" w:hAnsi="宋体" w:eastAsia="宋体" w:cs="宋体"/>
                <w:i w:val="0"/>
                <w:iCs w:val="0"/>
                <w:color w:val="000000"/>
                <w:sz w:val="22"/>
                <w:szCs w:val="22"/>
                <w:u w:val="none"/>
              </w:rPr>
            </w:pPr>
          </w:p>
        </w:tc>
        <w:tc>
          <w:tcPr>
            <w:tcW w:w="0" w:type="auto"/>
            <w:tcBorders>
              <w:top w:val="nil"/>
              <w:left w:val="nil"/>
              <w:bottom w:val="single" w:color="auto" w:sz="4" w:space="0"/>
              <w:right w:val="nil"/>
            </w:tcBorders>
            <w:shd w:val="clear" w:color="auto" w:fill="auto"/>
            <w:noWrap/>
            <w:vAlign w:val="center"/>
          </w:tcPr>
          <w:p w14:paraId="17E86FCE">
            <w:pPr>
              <w:rPr>
                <w:rFonts w:hint="eastAsia" w:ascii="宋体" w:hAnsi="宋体" w:eastAsia="宋体" w:cs="宋体"/>
                <w:i w:val="0"/>
                <w:iCs w:val="0"/>
                <w:color w:val="000000"/>
                <w:sz w:val="22"/>
                <w:szCs w:val="22"/>
                <w:u w:val="none"/>
              </w:rPr>
            </w:pPr>
          </w:p>
        </w:tc>
        <w:tc>
          <w:tcPr>
            <w:tcW w:w="0" w:type="auto"/>
            <w:tcBorders>
              <w:top w:val="nil"/>
              <w:left w:val="nil"/>
              <w:bottom w:val="single" w:color="auto" w:sz="4" w:space="0"/>
              <w:right w:val="nil"/>
            </w:tcBorders>
            <w:shd w:val="clear" w:color="auto" w:fill="auto"/>
            <w:noWrap/>
            <w:vAlign w:val="center"/>
          </w:tcPr>
          <w:p w14:paraId="10CF8101">
            <w:pPr>
              <w:rPr>
                <w:rFonts w:hint="eastAsia" w:ascii="宋体" w:hAnsi="宋体" w:eastAsia="宋体" w:cs="宋体"/>
                <w:i w:val="0"/>
                <w:iCs w:val="0"/>
                <w:color w:val="000000"/>
                <w:sz w:val="22"/>
                <w:szCs w:val="22"/>
                <w:u w:val="none"/>
              </w:rPr>
            </w:pPr>
          </w:p>
        </w:tc>
        <w:tc>
          <w:tcPr>
            <w:tcW w:w="0" w:type="auto"/>
            <w:tcBorders>
              <w:top w:val="nil"/>
              <w:left w:val="nil"/>
              <w:bottom w:val="single" w:color="auto" w:sz="4" w:space="0"/>
              <w:right w:val="nil"/>
            </w:tcBorders>
            <w:shd w:val="clear" w:color="auto" w:fill="auto"/>
            <w:noWrap/>
            <w:vAlign w:val="center"/>
          </w:tcPr>
          <w:p w14:paraId="7C78325C">
            <w:pPr>
              <w:rPr>
                <w:rFonts w:hint="eastAsia" w:ascii="宋体" w:hAnsi="宋体" w:eastAsia="宋体" w:cs="宋体"/>
                <w:i w:val="0"/>
                <w:iCs w:val="0"/>
                <w:color w:val="000000"/>
                <w:sz w:val="22"/>
                <w:szCs w:val="22"/>
                <w:u w:val="none"/>
              </w:rPr>
            </w:pPr>
          </w:p>
        </w:tc>
        <w:tc>
          <w:tcPr>
            <w:tcW w:w="0" w:type="auto"/>
            <w:tcBorders>
              <w:top w:val="nil"/>
              <w:left w:val="nil"/>
              <w:bottom w:val="single" w:color="auto" w:sz="4" w:space="0"/>
              <w:right w:val="nil"/>
            </w:tcBorders>
            <w:shd w:val="clear" w:color="auto" w:fill="auto"/>
            <w:noWrap/>
            <w:vAlign w:val="center"/>
          </w:tcPr>
          <w:p w14:paraId="46CFF7A8">
            <w:pPr>
              <w:rPr>
                <w:rFonts w:hint="eastAsia" w:ascii="宋体" w:hAnsi="宋体" w:eastAsia="宋体" w:cs="宋体"/>
                <w:i w:val="0"/>
                <w:iCs w:val="0"/>
                <w:color w:val="000000"/>
                <w:sz w:val="22"/>
                <w:szCs w:val="22"/>
                <w:u w:val="none"/>
              </w:rPr>
            </w:pPr>
          </w:p>
        </w:tc>
        <w:tc>
          <w:tcPr>
            <w:tcW w:w="0" w:type="auto"/>
            <w:tcBorders>
              <w:top w:val="nil"/>
              <w:left w:val="nil"/>
              <w:bottom w:val="single" w:color="auto" w:sz="4" w:space="0"/>
              <w:right w:val="nil"/>
            </w:tcBorders>
            <w:shd w:val="clear" w:color="auto" w:fill="auto"/>
            <w:noWrap/>
            <w:vAlign w:val="center"/>
          </w:tcPr>
          <w:p w14:paraId="4562ADEF">
            <w:pPr>
              <w:rPr>
                <w:rFonts w:hint="eastAsia" w:ascii="宋体" w:hAnsi="宋体" w:eastAsia="宋体" w:cs="宋体"/>
                <w:i w:val="0"/>
                <w:iCs w:val="0"/>
                <w:color w:val="000000"/>
                <w:sz w:val="22"/>
                <w:szCs w:val="22"/>
                <w:u w:val="none"/>
              </w:rPr>
            </w:pPr>
          </w:p>
        </w:tc>
        <w:tc>
          <w:tcPr>
            <w:tcW w:w="0" w:type="auto"/>
            <w:tcBorders>
              <w:top w:val="nil"/>
              <w:left w:val="nil"/>
              <w:bottom w:val="single" w:color="auto" w:sz="4" w:space="0"/>
              <w:right w:val="nil"/>
            </w:tcBorders>
            <w:shd w:val="clear" w:color="auto" w:fill="auto"/>
            <w:noWrap/>
            <w:vAlign w:val="center"/>
          </w:tcPr>
          <w:p w14:paraId="50BF92E7">
            <w:pPr>
              <w:rPr>
                <w:rFonts w:hint="eastAsia" w:ascii="宋体" w:hAnsi="宋体" w:eastAsia="宋体" w:cs="宋体"/>
                <w:i w:val="0"/>
                <w:iCs w:val="0"/>
                <w:color w:val="000000"/>
                <w:sz w:val="22"/>
                <w:szCs w:val="22"/>
                <w:u w:val="none"/>
              </w:rPr>
            </w:pPr>
          </w:p>
        </w:tc>
        <w:tc>
          <w:tcPr>
            <w:tcW w:w="0" w:type="auto"/>
            <w:tcBorders>
              <w:top w:val="nil"/>
              <w:left w:val="nil"/>
              <w:bottom w:val="single" w:color="auto" w:sz="4" w:space="0"/>
              <w:right w:val="nil"/>
            </w:tcBorders>
            <w:shd w:val="clear" w:color="auto" w:fill="auto"/>
            <w:noWrap/>
            <w:vAlign w:val="center"/>
          </w:tcPr>
          <w:p w14:paraId="1B66C627">
            <w:pPr>
              <w:rPr>
                <w:rFonts w:hint="eastAsia" w:ascii="宋体" w:hAnsi="宋体" w:eastAsia="宋体" w:cs="宋体"/>
                <w:i w:val="0"/>
                <w:iCs w:val="0"/>
                <w:color w:val="000000"/>
                <w:sz w:val="22"/>
                <w:szCs w:val="22"/>
                <w:u w:val="none"/>
              </w:rPr>
            </w:pPr>
          </w:p>
        </w:tc>
        <w:tc>
          <w:tcPr>
            <w:tcW w:w="0" w:type="auto"/>
            <w:tcBorders>
              <w:top w:val="nil"/>
              <w:left w:val="nil"/>
              <w:bottom w:val="single" w:color="auto" w:sz="4" w:space="0"/>
              <w:right w:val="nil"/>
            </w:tcBorders>
            <w:shd w:val="clear" w:color="auto" w:fill="auto"/>
            <w:noWrap/>
            <w:vAlign w:val="center"/>
          </w:tcPr>
          <w:p w14:paraId="212F8BAA">
            <w:pPr>
              <w:rPr>
                <w:rFonts w:hint="eastAsia" w:ascii="宋体" w:hAnsi="宋体" w:eastAsia="宋体" w:cs="宋体"/>
                <w:i w:val="0"/>
                <w:iCs w:val="0"/>
                <w:color w:val="000000"/>
                <w:sz w:val="22"/>
                <w:szCs w:val="22"/>
                <w:u w:val="none"/>
              </w:rPr>
            </w:pPr>
          </w:p>
        </w:tc>
        <w:tc>
          <w:tcPr>
            <w:tcW w:w="0" w:type="auto"/>
            <w:tcBorders>
              <w:top w:val="nil"/>
              <w:left w:val="nil"/>
              <w:bottom w:val="single" w:color="auto" w:sz="4" w:space="0"/>
              <w:right w:val="nil"/>
            </w:tcBorders>
            <w:shd w:val="clear" w:color="auto" w:fill="auto"/>
            <w:noWrap/>
            <w:vAlign w:val="bottom"/>
          </w:tcPr>
          <w:p w14:paraId="0E5A81E9">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6C04B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46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CE140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876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9AB95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1270E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4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6F6D4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7BEC7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42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C473A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4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B7F2B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4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B9F45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818D5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42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391C1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7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A1F84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14:paraId="53FAE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4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CDCA06">
            <w:pPr>
              <w:jc w:val="center"/>
              <w:rPr>
                <w:rFonts w:hint="eastAsia" w:ascii="宋体" w:hAnsi="宋体" w:eastAsia="宋体" w:cs="宋体"/>
                <w:i w:val="0"/>
                <w:iCs w:val="0"/>
                <w:color w:val="000000"/>
                <w:sz w:val="22"/>
                <w:szCs w:val="22"/>
                <w:u w:val="none"/>
              </w:rPr>
            </w:pPr>
          </w:p>
        </w:tc>
        <w:tc>
          <w:tcPr>
            <w:tcW w:w="14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CBFC2D">
            <w:pPr>
              <w:jc w:val="center"/>
              <w:rPr>
                <w:rFonts w:hint="eastAsia" w:ascii="宋体" w:hAnsi="宋体" w:eastAsia="宋体" w:cs="宋体"/>
                <w:i w:val="0"/>
                <w:iCs w:val="0"/>
                <w:color w:val="000000"/>
                <w:sz w:val="22"/>
                <w:szCs w:val="22"/>
                <w:u w:val="none"/>
              </w:rPr>
            </w:pP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14:paraId="50B149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14:paraId="25B6AA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14:paraId="1C1C4E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4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689507">
            <w:pPr>
              <w:jc w:val="center"/>
              <w:rPr>
                <w:rFonts w:hint="eastAsia" w:ascii="宋体" w:hAnsi="宋体" w:eastAsia="宋体" w:cs="宋体"/>
                <w:i w:val="0"/>
                <w:iCs w:val="0"/>
                <w:color w:val="000000"/>
                <w:sz w:val="22"/>
                <w:szCs w:val="22"/>
                <w:u w:val="none"/>
              </w:rPr>
            </w:pPr>
          </w:p>
        </w:tc>
        <w:tc>
          <w:tcPr>
            <w:tcW w:w="14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7D5BC2">
            <w:pPr>
              <w:jc w:val="center"/>
              <w:rPr>
                <w:rFonts w:hint="eastAsia" w:ascii="宋体" w:hAnsi="宋体" w:eastAsia="宋体" w:cs="宋体"/>
                <w:i w:val="0"/>
                <w:iCs w:val="0"/>
                <w:color w:val="000000"/>
                <w:sz w:val="22"/>
                <w:szCs w:val="22"/>
                <w:u w:val="none"/>
              </w:rPr>
            </w:pPr>
          </w:p>
        </w:tc>
        <w:tc>
          <w:tcPr>
            <w:tcW w:w="14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A0EE63">
            <w:pPr>
              <w:jc w:val="center"/>
              <w:rPr>
                <w:rFonts w:hint="eastAsia" w:ascii="宋体" w:hAnsi="宋体" w:eastAsia="宋体" w:cs="宋体"/>
                <w:i w:val="0"/>
                <w:iCs w:val="0"/>
                <w:color w:val="000000"/>
                <w:sz w:val="22"/>
                <w:szCs w:val="22"/>
                <w:u w:val="none"/>
              </w:rPr>
            </w:pP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14:paraId="45BFFD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14:paraId="6A9A67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14:paraId="4DDFF4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7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60F264">
            <w:pPr>
              <w:jc w:val="center"/>
              <w:rPr>
                <w:rFonts w:hint="eastAsia" w:ascii="宋体" w:hAnsi="宋体" w:eastAsia="宋体" w:cs="宋体"/>
                <w:i w:val="0"/>
                <w:iCs w:val="0"/>
                <w:color w:val="000000"/>
                <w:sz w:val="22"/>
                <w:szCs w:val="22"/>
                <w:u w:val="none"/>
              </w:rPr>
            </w:pPr>
          </w:p>
        </w:tc>
      </w:tr>
      <w:tr w14:paraId="2D8D1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14:paraId="3FA5DA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14:paraId="0883DE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14:paraId="5BFE49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14:paraId="66AAF7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14:paraId="560280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14:paraId="5C7E7B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14:paraId="20F4BE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14:paraId="538D0A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14:paraId="707E12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14:paraId="1141E0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14:paraId="7DDF0E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14:paraId="5BFA0D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16A01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6EB31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F591EBE">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CBE69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FCA90AD">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35288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92F26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8E86E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013CE61">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8B233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C490A59">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E730B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5B734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7.59</w:t>
            </w:r>
          </w:p>
        </w:tc>
      </w:tr>
      <w:tr w14:paraId="670C3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7220" w:type="dxa"/>
            <w:gridSpan w:val="12"/>
            <w:tcBorders>
              <w:top w:val="single" w:color="auto" w:sz="4" w:space="0"/>
              <w:left w:val="nil"/>
              <w:bottom w:val="nil"/>
              <w:right w:val="nil"/>
            </w:tcBorders>
            <w:shd w:val="clear" w:color="auto" w:fill="auto"/>
            <w:vAlign w:val="center"/>
          </w:tcPr>
          <w:p w14:paraId="0DCEAB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6D154259">
      <w:pPr>
        <w:rPr>
          <w:rFonts w:hint="eastAsia" w:ascii="方正小标宋_GBK" w:hAnsi="方正小标宋_GBK" w:eastAsia="方正小标宋_GBK" w:cs="方正小标宋_GBK"/>
          <w:color w:val="auto"/>
          <w:sz w:val="72"/>
          <w:szCs w:val="72"/>
        </w:rPr>
      </w:pPr>
    </w:p>
    <w:p w14:paraId="764B14F0">
      <w:pPr>
        <w:rPr>
          <w:rFonts w:hint="eastAsia" w:ascii="方正小标宋_GBK" w:hAnsi="方正小标宋_GBK" w:eastAsia="方正小标宋_GBK" w:cs="方正小标宋_GBK"/>
          <w:color w:val="auto"/>
          <w:sz w:val="72"/>
          <w:szCs w:val="72"/>
        </w:rPr>
      </w:pPr>
      <w:r>
        <w:rPr>
          <w:rFonts w:hint="eastAsia" w:ascii="方正小标宋_GBK" w:hAnsi="方正小标宋_GBK" w:eastAsia="方正小标宋_GBK" w:cs="方正小标宋_GBK"/>
          <w:color w:val="auto"/>
          <w:sz w:val="72"/>
          <w:szCs w:val="72"/>
        </w:rPr>
        <w:br w:type="page"/>
      </w:r>
    </w:p>
    <w:p w14:paraId="2E13F988">
      <w:pPr>
        <w:pStyle w:val="16"/>
        <w:jc w:val="center"/>
        <w:rPr>
          <w:rFonts w:hint="eastAsia" w:ascii="方正小标宋_GBK" w:hAnsi="方正小标宋_GBK" w:eastAsia="方正小标宋_GBK" w:cs="方正小标宋_GBK"/>
          <w:color w:val="auto"/>
          <w:sz w:val="72"/>
          <w:szCs w:val="72"/>
        </w:rPr>
      </w:pPr>
      <w:r>
        <w:rPr>
          <w:rFonts w:hint="eastAsia" w:ascii="方正小标宋_GBK" w:hAnsi="方正小标宋_GBK" w:eastAsia="方正小标宋_GBK" w:cs="方正小标宋_GBK"/>
          <w:color w:val="auto"/>
          <w:sz w:val="72"/>
          <w:szCs w:val="72"/>
        </w:rPr>
        <w:t>第三部分</w:t>
      </w:r>
    </w:p>
    <w:p w14:paraId="31888E76">
      <w:pPr>
        <w:pStyle w:val="16"/>
        <w:jc w:val="center"/>
        <w:rPr>
          <w:rFonts w:hint="eastAsia" w:ascii="方正小标宋_GBK" w:hAnsi="方正小标宋_GBK" w:eastAsia="方正小标宋_GBK" w:cs="方正小标宋_GBK"/>
          <w:color w:val="auto"/>
          <w:sz w:val="70"/>
          <w:szCs w:val="70"/>
        </w:rPr>
      </w:pPr>
      <w:r>
        <w:rPr>
          <w:rFonts w:hint="eastAsia" w:ascii="方正小标宋_GBK" w:hAnsi="方正小标宋_GBK" w:eastAsia="方正小标宋_GBK" w:cs="方正小标宋_GBK"/>
          <w:color w:val="auto"/>
          <w:sz w:val="70"/>
          <w:szCs w:val="70"/>
        </w:rPr>
        <w:t>202</w:t>
      </w:r>
      <w:r>
        <w:rPr>
          <w:rFonts w:hint="eastAsia" w:ascii="方正小标宋_GBK" w:hAnsi="方正小标宋_GBK" w:eastAsia="方正小标宋_GBK" w:cs="方正小标宋_GBK"/>
          <w:color w:val="auto"/>
          <w:sz w:val="70"/>
          <w:szCs w:val="70"/>
          <w:lang w:val="en-US" w:eastAsia="zh-CN"/>
        </w:rPr>
        <w:t>4</w:t>
      </w:r>
      <w:r>
        <w:rPr>
          <w:rFonts w:hint="eastAsia" w:ascii="方正小标宋_GBK" w:hAnsi="方正小标宋_GBK" w:eastAsia="方正小标宋_GBK" w:cs="方正小标宋_GBK"/>
          <w:color w:val="auto"/>
          <w:sz w:val="70"/>
          <w:szCs w:val="70"/>
        </w:rPr>
        <w:t>年度部门决算情况说明</w:t>
      </w:r>
    </w:p>
    <w:p w14:paraId="42ADF6EF">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一、收入支出决算总体情况说明</w:t>
      </w:r>
    </w:p>
    <w:p w14:paraId="7CFFC5BF">
      <w:pPr>
        <w:pStyle w:val="16"/>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年度收、支总计</w:t>
      </w:r>
      <w:r>
        <w:rPr>
          <w:rFonts w:hint="eastAsia" w:ascii="Times New Roman" w:hAnsi="Times New Roman" w:eastAsia="仿宋_GB2312"/>
          <w:color w:val="auto"/>
          <w:sz w:val="32"/>
          <w:szCs w:val="32"/>
          <w:lang w:val="en-US" w:eastAsia="zh-CN"/>
        </w:rPr>
        <w:t>31,141.96</w:t>
      </w:r>
      <w:r>
        <w:rPr>
          <w:rFonts w:hint="eastAsia" w:ascii="Times New Roman" w:hAnsi="Times New Roman" w:eastAsia="仿宋_GB2312"/>
          <w:color w:val="auto"/>
          <w:sz w:val="32"/>
          <w:szCs w:val="32"/>
        </w:rPr>
        <w:t>万元。与上年相比，</w:t>
      </w:r>
      <w:r>
        <w:rPr>
          <w:rFonts w:hint="eastAsia" w:ascii="Times New Roman" w:hAnsi="Times New Roman" w:eastAsia="仿宋_GB2312"/>
          <w:color w:val="auto"/>
          <w:sz w:val="32"/>
          <w:szCs w:val="32"/>
          <w:lang w:eastAsia="zh-CN"/>
        </w:rPr>
        <w:t>增加</w:t>
      </w:r>
      <w:r>
        <w:rPr>
          <w:rFonts w:hint="eastAsia" w:ascii="Times New Roman" w:hAnsi="Times New Roman" w:eastAsia="仿宋_GB2312"/>
          <w:color w:val="auto"/>
          <w:sz w:val="32"/>
          <w:szCs w:val="32"/>
          <w:lang w:val="en-US" w:eastAsia="zh-CN"/>
        </w:rPr>
        <w:t>1596.67</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eastAsia="zh-CN"/>
        </w:rPr>
        <w:t>增加</w:t>
      </w:r>
      <w:r>
        <w:rPr>
          <w:rFonts w:hint="eastAsia" w:ascii="Times New Roman" w:hAnsi="Times New Roman" w:eastAsia="仿宋_GB2312"/>
          <w:color w:val="auto"/>
          <w:sz w:val="32"/>
          <w:szCs w:val="32"/>
          <w:lang w:val="en-US" w:eastAsia="zh-CN"/>
        </w:rPr>
        <w:t>5.4</w:t>
      </w:r>
      <w:r>
        <w:rPr>
          <w:rFonts w:hint="eastAsia" w:ascii="Times New Roman" w:hAnsi="Times New Roman" w:eastAsia="仿宋_GB2312"/>
          <w:color w:val="auto"/>
          <w:sz w:val="32"/>
          <w:szCs w:val="32"/>
        </w:rPr>
        <w:t>%，主要是因为</w:t>
      </w:r>
      <w:r>
        <w:rPr>
          <w:rFonts w:hint="eastAsia" w:ascii="Times New Roman" w:hAnsi="Times New Roman" w:eastAsia="仿宋_GB2312"/>
          <w:color w:val="auto"/>
          <w:sz w:val="32"/>
          <w:szCs w:val="32"/>
          <w:lang w:val="en-US" w:eastAsia="zh-CN"/>
        </w:rPr>
        <w:t>本年度项目支出有所增加。</w:t>
      </w:r>
    </w:p>
    <w:p w14:paraId="4D6504C2">
      <w:pPr>
        <w:pStyle w:val="16"/>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二、收入决算情况说明</w:t>
      </w:r>
    </w:p>
    <w:p w14:paraId="01BE5BAA">
      <w:pPr>
        <w:pStyle w:val="16"/>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年度收入合计</w:t>
      </w:r>
      <w:r>
        <w:rPr>
          <w:rFonts w:hint="eastAsia" w:ascii="Times New Roman" w:hAnsi="Times New Roman" w:eastAsia="仿宋_GB2312"/>
          <w:color w:val="auto"/>
          <w:sz w:val="32"/>
          <w:szCs w:val="32"/>
          <w:lang w:val="en-US" w:eastAsia="zh-CN"/>
        </w:rPr>
        <w:t>31,141.96</w:t>
      </w:r>
      <w:r>
        <w:rPr>
          <w:rFonts w:hint="eastAsia" w:ascii="Times New Roman" w:hAnsi="Times New Roman" w:eastAsia="仿宋_GB2312"/>
          <w:color w:val="auto"/>
          <w:sz w:val="32"/>
          <w:szCs w:val="32"/>
        </w:rPr>
        <w:t>万元，其中：财政拨款收入</w:t>
      </w:r>
      <w:r>
        <w:rPr>
          <w:rFonts w:hint="eastAsia" w:ascii="Times New Roman" w:hAnsi="Times New Roman" w:eastAsia="仿宋_GB2312"/>
          <w:color w:val="auto"/>
          <w:sz w:val="32"/>
          <w:szCs w:val="32"/>
          <w:lang w:val="en-US" w:eastAsia="zh-CN"/>
        </w:rPr>
        <w:t>31,141.96</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%；上级补助收入</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%；事业收入</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%；经营收入</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%；附属单位上缴收入</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%；其他收入</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w:t>
      </w:r>
    </w:p>
    <w:p w14:paraId="501C5367">
      <w:pPr>
        <w:pStyle w:val="16"/>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三、支出决算情况说明</w:t>
      </w:r>
    </w:p>
    <w:p w14:paraId="1901272D">
      <w:pPr>
        <w:pStyle w:val="16"/>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年度支出合计</w:t>
      </w:r>
      <w:r>
        <w:rPr>
          <w:rFonts w:hint="eastAsia" w:ascii="Times New Roman" w:hAnsi="Times New Roman" w:eastAsia="仿宋_GB2312"/>
          <w:color w:val="auto"/>
          <w:sz w:val="32"/>
          <w:szCs w:val="32"/>
          <w:lang w:val="en-US" w:eastAsia="zh-CN"/>
        </w:rPr>
        <w:t>31,141.96</w:t>
      </w:r>
      <w:r>
        <w:rPr>
          <w:rFonts w:hint="eastAsia" w:ascii="Times New Roman" w:hAnsi="Times New Roman" w:eastAsia="仿宋_GB2312"/>
          <w:color w:val="auto"/>
          <w:sz w:val="32"/>
          <w:szCs w:val="32"/>
        </w:rPr>
        <w:t>万元，其中：基本支出</w:t>
      </w:r>
      <w:r>
        <w:rPr>
          <w:rFonts w:hint="eastAsia" w:ascii="Times New Roman" w:hAnsi="Times New Roman" w:eastAsia="仿宋_GB2312"/>
          <w:color w:val="auto"/>
          <w:sz w:val="32"/>
          <w:szCs w:val="32"/>
          <w:lang w:val="en-US" w:eastAsia="zh-CN"/>
        </w:rPr>
        <w:t>2,191.56</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7.04</w:t>
      </w:r>
      <w:r>
        <w:rPr>
          <w:rFonts w:hint="eastAsia" w:ascii="Times New Roman" w:hAnsi="Times New Roman" w:eastAsia="仿宋_GB2312"/>
          <w:color w:val="auto"/>
          <w:sz w:val="32"/>
          <w:szCs w:val="32"/>
        </w:rPr>
        <w:t>%；项目支出</w:t>
      </w:r>
      <w:r>
        <w:rPr>
          <w:rFonts w:hint="eastAsia" w:ascii="Times New Roman" w:hAnsi="Times New Roman" w:eastAsia="仿宋_GB2312"/>
          <w:color w:val="auto"/>
          <w:sz w:val="32"/>
          <w:szCs w:val="32"/>
          <w:lang w:val="en-US" w:eastAsia="zh-CN"/>
        </w:rPr>
        <w:t>28,950.39</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92.96</w:t>
      </w:r>
      <w:r>
        <w:rPr>
          <w:rFonts w:hint="eastAsia" w:ascii="Times New Roman" w:hAnsi="Times New Roman" w:eastAsia="仿宋_GB2312"/>
          <w:color w:val="auto"/>
          <w:sz w:val="32"/>
          <w:szCs w:val="32"/>
        </w:rPr>
        <w:t>%；上缴上级支出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%；经营支出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%；对附属单位补助支出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w:t>
      </w:r>
    </w:p>
    <w:p w14:paraId="0CF87E82">
      <w:pPr>
        <w:pStyle w:val="16"/>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四、财政拨款收入支出决算总体情况说明</w:t>
      </w:r>
    </w:p>
    <w:p w14:paraId="616F26CE">
      <w:pPr>
        <w:pStyle w:val="16"/>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年度财政拨款收、支总计</w:t>
      </w:r>
      <w:r>
        <w:rPr>
          <w:rFonts w:hint="eastAsia" w:ascii="Times New Roman" w:hAnsi="Times New Roman" w:eastAsia="仿宋_GB2312"/>
          <w:color w:val="auto"/>
          <w:sz w:val="32"/>
          <w:szCs w:val="32"/>
          <w:lang w:val="en-US" w:eastAsia="zh-CN"/>
        </w:rPr>
        <w:t>31,141.96</w:t>
      </w:r>
      <w:r>
        <w:rPr>
          <w:rFonts w:hint="eastAsia" w:ascii="Times New Roman" w:hAnsi="Times New Roman" w:eastAsia="仿宋_GB2312"/>
          <w:color w:val="auto"/>
          <w:sz w:val="32"/>
          <w:szCs w:val="32"/>
        </w:rPr>
        <w:t>万元，与上年相比，</w:t>
      </w:r>
      <w:r>
        <w:rPr>
          <w:rFonts w:hint="eastAsia" w:ascii="Times New Roman" w:hAnsi="Times New Roman" w:eastAsia="仿宋_GB2312"/>
          <w:color w:val="auto"/>
          <w:sz w:val="32"/>
          <w:szCs w:val="32"/>
          <w:lang w:eastAsia="zh-CN"/>
        </w:rPr>
        <w:t>增加</w:t>
      </w:r>
      <w:r>
        <w:rPr>
          <w:rFonts w:hint="eastAsia" w:ascii="Times New Roman" w:hAnsi="Times New Roman" w:eastAsia="仿宋_GB2312"/>
          <w:color w:val="auto"/>
          <w:sz w:val="32"/>
          <w:szCs w:val="32"/>
          <w:lang w:val="en-US" w:eastAsia="zh-CN"/>
        </w:rPr>
        <w:t>1,596.67</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eastAsia="zh-CN"/>
        </w:rPr>
        <w:t>增加</w:t>
      </w:r>
      <w:r>
        <w:rPr>
          <w:rFonts w:hint="eastAsia" w:ascii="Times New Roman" w:hAnsi="Times New Roman" w:eastAsia="仿宋_GB2312"/>
          <w:color w:val="auto"/>
          <w:sz w:val="32"/>
          <w:szCs w:val="32"/>
          <w:lang w:val="en-US" w:eastAsia="zh-CN"/>
        </w:rPr>
        <w:t>5.4</w:t>
      </w:r>
      <w:r>
        <w:rPr>
          <w:rFonts w:hint="eastAsia" w:ascii="Times New Roman" w:hAnsi="Times New Roman" w:eastAsia="仿宋_GB2312"/>
          <w:color w:val="auto"/>
          <w:sz w:val="32"/>
          <w:szCs w:val="32"/>
        </w:rPr>
        <w:t>%，主要是因为</w:t>
      </w:r>
      <w:r>
        <w:rPr>
          <w:rFonts w:hint="eastAsia" w:ascii="Times New Roman" w:hAnsi="Times New Roman" w:eastAsia="仿宋_GB2312"/>
          <w:color w:val="auto"/>
          <w:sz w:val="32"/>
          <w:szCs w:val="32"/>
          <w:lang w:val="en-US" w:eastAsia="zh-CN"/>
        </w:rPr>
        <w:t>本年度项目支出有所增加。</w:t>
      </w:r>
    </w:p>
    <w:p w14:paraId="7411A83E">
      <w:pPr>
        <w:pStyle w:val="16"/>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五、一般公共预算财政拨款支出决算情况说明</w:t>
      </w:r>
    </w:p>
    <w:p w14:paraId="3AF4EE4A">
      <w:pPr>
        <w:pStyle w:val="16"/>
        <w:keepNext w:val="0"/>
        <w:keepLines w:val="0"/>
        <w:pageBreakBefore w:val="0"/>
        <w:widowControl w:val="0"/>
        <w:kinsoku/>
        <w:wordWrap/>
        <w:overflowPunct/>
        <w:topLinePunct w:val="0"/>
        <w:bidi w:val="0"/>
        <w:snapToGrid/>
        <w:spacing w:line="560" w:lineRule="exact"/>
        <w:ind w:firstLine="643" w:firstLineChars="200"/>
        <w:jc w:val="both"/>
        <w:textAlignment w:val="auto"/>
        <w:rPr>
          <w:rFonts w:hint="eastAsia" w:ascii="楷体" w:hAnsi="楷体" w:eastAsia="楷体" w:cs="楷体"/>
          <w:b/>
          <w:bCs w:val="0"/>
          <w:color w:val="auto"/>
          <w:sz w:val="32"/>
          <w:szCs w:val="32"/>
        </w:rPr>
      </w:pPr>
      <w:r>
        <w:rPr>
          <w:rFonts w:hint="eastAsia" w:ascii="楷体" w:hAnsi="楷体" w:eastAsia="楷体" w:cs="楷体"/>
          <w:b/>
          <w:bCs w:val="0"/>
          <w:color w:val="auto"/>
          <w:sz w:val="32"/>
          <w:szCs w:val="32"/>
        </w:rPr>
        <w:t>（一）财政拨款支出决算总体情况</w:t>
      </w:r>
    </w:p>
    <w:p w14:paraId="76AF4D82">
      <w:pPr>
        <w:pStyle w:val="16"/>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年度财政拨款支出</w:t>
      </w:r>
      <w:r>
        <w:rPr>
          <w:rFonts w:hint="eastAsia" w:ascii="Times New Roman" w:hAnsi="Times New Roman" w:eastAsia="仿宋_GB2312"/>
          <w:color w:val="auto"/>
          <w:sz w:val="32"/>
          <w:szCs w:val="32"/>
          <w:lang w:val="en-US" w:eastAsia="zh-CN"/>
        </w:rPr>
        <w:t>27,999.46万</w:t>
      </w:r>
      <w:r>
        <w:rPr>
          <w:rFonts w:hint="eastAsia" w:ascii="Times New Roman" w:hAnsi="Times New Roman" w:eastAsia="仿宋_GB2312"/>
          <w:color w:val="auto"/>
          <w:sz w:val="32"/>
          <w:szCs w:val="32"/>
        </w:rPr>
        <w:t>元，占本年支出合计的</w:t>
      </w:r>
      <w:r>
        <w:rPr>
          <w:rFonts w:hint="eastAsia" w:ascii="Times New Roman" w:hAnsi="Times New Roman" w:eastAsia="仿宋_GB2312"/>
          <w:color w:val="auto"/>
          <w:sz w:val="32"/>
          <w:szCs w:val="32"/>
          <w:lang w:val="en-US" w:eastAsia="zh-CN"/>
        </w:rPr>
        <w:t>89.91</w:t>
      </w:r>
      <w:r>
        <w:rPr>
          <w:rFonts w:hint="eastAsia" w:ascii="Times New Roman" w:hAnsi="Times New Roman" w:eastAsia="仿宋_GB2312"/>
          <w:color w:val="auto"/>
          <w:sz w:val="32"/>
          <w:szCs w:val="32"/>
        </w:rPr>
        <w:t>%，与上年相比，财政拨款支出</w:t>
      </w:r>
      <w:r>
        <w:rPr>
          <w:rFonts w:hint="eastAsia" w:ascii="Times New Roman" w:hAnsi="Times New Roman" w:eastAsia="仿宋_GB2312"/>
          <w:color w:val="auto"/>
          <w:sz w:val="32"/>
          <w:szCs w:val="32"/>
          <w:lang w:val="en-US" w:eastAsia="zh-CN"/>
        </w:rPr>
        <w:t>增加4,840.37</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val="en-US" w:eastAsia="zh-CN"/>
        </w:rPr>
        <w:t>增加20.9</w:t>
      </w:r>
      <w:r>
        <w:rPr>
          <w:rFonts w:hint="eastAsia" w:ascii="Times New Roman" w:hAnsi="Times New Roman" w:eastAsia="仿宋_GB2312"/>
          <w:color w:val="auto"/>
          <w:sz w:val="32"/>
          <w:szCs w:val="32"/>
        </w:rPr>
        <w:t>%，主要是因为</w:t>
      </w:r>
      <w:r>
        <w:rPr>
          <w:rFonts w:hint="eastAsia" w:ascii="Times New Roman" w:hAnsi="Times New Roman" w:eastAsia="仿宋_GB2312"/>
          <w:color w:val="auto"/>
          <w:sz w:val="32"/>
          <w:szCs w:val="32"/>
          <w:lang w:val="en-US" w:eastAsia="zh-CN"/>
        </w:rPr>
        <w:t>本年度项目支出增加。</w:t>
      </w:r>
    </w:p>
    <w:p w14:paraId="65CB52F6">
      <w:pPr>
        <w:pStyle w:val="16"/>
        <w:keepNext w:val="0"/>
        <w:keepLines w:val="0"/>
        <w:pageBreakBefore w:val="0"/>
        <w:widowControl w:val="0"/>
        <w:kinsoku/>
        <w:wordWrap/>
        <w:overflowPunct/>
        <w:topLinePunct w:val="0"/>
        <w:bidi w:val="0"/>
        <w:snapToGrid/>
        <w:spacing w:line="560" w:lineRule="exact"/>
        <w:ind w:firstLine="643" w:firstLineChars="200"/>
        <w:jc w:val="both"/>
        <w:textAlignment w:val="auto"/>
        <w:rPr>
          <w:rFonts w:hint="eastAsia" w:ascii="楷体" w:hAnsi="楷体" w:eastAsia="楷体" w:cs="楷体"/>
          <w:b/>
          <w:bCs w:val="0"/>
          <w:color w:val="auto"/>
          <w:sz w:val="32"/>
          <w:szCs w:val="32"/>
        </w:rPr>
      </w:pPr>
      <w:r>
        <w:rPr>
          <w:rFonts w:hint="eastAsia" w:ascii="楷体" w:hAnsi="楷体" w:eastAsia="楷体" w:cs="楷体"/>
          <w:b/>
          <w:bCs w:val="0"/>
          <w:color w:val="auto"/>
          <w:sz w:val="32"/>
          <w:szCs w:val="32"/>
        </w:rPr>
        <w:t>（二）财政拨款支出决算结构情况</w:t>
      </w:r>
    </w:p>
    <w:p w14:paraId="5882D52F">
      <w:pPr>
        <w:pStyle w:val="16"/>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highlight w:val="none"/>
        </w:rPr>
        <w:t>202</w:t>
      </w:r>
      <w:r>
        <w:rPr>
          <w:rFonts w:hint="eastAsia" w:ascii="Times New Roman" w:hAnsi="Times New Roman" w:eastAsia="仿宋_GB2312"/>
          <w:color w:val="auto"/>
          <w:sz w:val="32"/>
          <w:szCs w:val="32"/>
          <w:highlight w:val="none"/>
          <w:lang w:val="en-US" w:eastAsia="zh-CN"/>
        </w:rPr>
        <w:t>4</w:t>
      </w:r>
      <w:r>
        <w:rPr>
          <w:rFonts w:hint="eastAsia" w:ascii="Times New Roman" w:hAnsi="Times New Roman" w:eastAsia="仿宋_GB2312"/>
          <w:color w:val="auto"/>
          <w:sz w:val="32"/>
          <w:szCs w:val="32"/>
          <w:highlight w:val="none"/>
        </w:rPr>
        <w:t>年度财政拨款支出</w:t>
      </w:r>
      <w:r>
        <w:rPr>
          <w:rFonts w:hint="eastAsia" w:ascii="Times New Roman" w:hAnsi="Times New Roman" w:eastAsia="仿宋_GB2312"/>
          <w:color w:val="auto"/>
          <w:sz w:val="32"/>
          <w:szCs w:val="32"/>
          <w:lang w:val="en-US" w:eastAsia="zh-CN"/>
        </w:rPr>
        <w:t>27,999.46</w:t>
      </w:r>
      <w:r>
        <w:rPr>
          <w:rFonts w:hint="eastAsia" w:ascii="Times New Roman" w:hAnsi="Times New Roman" w:eastAsia="仿宋_GB2312"/>
          <w:color w:val="auto"/>
          <w:sz w:val="32"/>
          <w:szCs w:val="32"/>
          <w:highlight w:val="none"/>
        </w:rPr>
        <w:t>万元，主要用于以下方面：一般公共服务（类）支出</w:t>
      </w:r>
      <w:r>
        <w:rPr>
          <w:rFonts w:hint="eastAsia" w:ascii="Times New Roman" w:hAnsi="Times New Roman" w:eastAsia="仿宋_GB2312"/>
          <w:color w:val="auto"/>
          <w:sz w:val="32"/>
          <w:szCs w:val="32"/>
          <w:highlight w:val="none"/>
          <w:lang w:val="en-US" w:eastAsia="zh-CN"/>
        </w:rPr>
        <w:t>61.25</w:t>
      </w:r>
      <w:r>
        <w:rPr>
          <w:rFonts w:hint="eastAsia" w:ascii="Times New Roman" w:hAnsi="Times New Roman" w:eastAsia="仿宋_GB2312"/>
          <w:color w:val="auto"/>
          <w:sz w:val="32"/>
          <w:szCs w:val="32"/>
          <w:highlight w:val="none"/>
        </w:rPr>
        <w:t>万元，占</w:t>
      </w:r>
      <w:r>
        <w:rPr>
          <w:rFonts w:hint="eastAsia" w:ascii="Times New Roman" w:hAnsi="Times New Roman" w:eastAsia="仿宋_GB2312"/>
          <w:color w:val="auto"/>
          <w:sz w:val="32"/>
          <w:szCs w:val="32"/>
          <w:highlight w:val="none"/>
          <w:lang w:val="en-US" w:eastAsia="zh-CN"/>
        </w:rPr>
        <w:t>0.22</w:t>
      </w:r>
      <w:r>
        <w:rPr>
          <w:rFonts w:hint="eastAsia" w:ascii="Times New Roman" w:hAnsi="Times New Roman" w:eastAsia="仿宋_GB2312"/>
          <w:color w:val="auto"/>
          <w:sz w:val="32"/>
          <w:szCs w:val="32"/>
          <w:highlight w:val="none"/>
        </w:rPr>
        <w:t>%；社会保障和就业（类）支出</w:t>
      </w:r>
      <w:r>
        <w:rPr>
          <w:rFonts w:hint="eastAsia" w:ascii="Times New Roman" w:hAnsi="Times New Roman" w:eastAsia="仿宋_GB2312"/>
          <w:color w:val="auto"/>
          <w:sz w:val="32"/>
          <w:szCs w:val="32"/>
          <w:highlight w:val="none"/>
          <w:lang w:val="en-US" w:eastAsia="zh-CN"/>
        </w:rPr>
        <w:t>958.55</w:t>
      </w:r>
      <w:r>
        <w:rPr>
          <w:rFonts w:hint="eastAsia" w:ascii="Times New Roman" w:hAnsi="Times New Roman" w:eastAsia="仿宋_GB2312"/>
          <w:color w:val="auto"/>
          <w:sz w:val="32"/>
          <w:szCs w:val="32"/>
          <w:highlight w:val="none"/>
        </w:rPr>
        <w:t>万元，占</w:t>
      </w:r>
      <w:r>
        <w:rPr>
          <w:rFonts w:hint="eastAsia" w:ascii="Times New Roman" w:hAnsi="Times New Roman" w:eastAsia="仿宋_GB2312"/>
          <w:color w:val="auto"/>
          <w:sz w:val="32"/>
          <w:szCs w:val="32"/>
          <w:highlight w:val="none"/>
          <w:lang w:val="en-US" w:eastAsia="zh-CN"/>
        </w:rPr>
        <w:t>3.42</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卫生健康（类）支出</w:t>
      </w:r>
      <w:r>
        <w:rPr>
          <w:rFonts w:hint="eastAsia" w:ascii="Times New Roman" w:hAnsi="Times New Roman" w:eastAsia="仿宋_GB2312"/>
          <w:color w:val="auto"/>
          <w:sz w:val="32"/>
          <w:szCs w:val="32"/>
          <w:highlight w:val="none"/>
          <w:lang w:val="en-US" w:eastAsia="zh-CN"/>
        </w:rPr>
        <w:t>77.8</w:t>
      </w:r>
      <w:r>
        <w:rPr>
          <w:rFonts w:hint="eastAsia" w:ascii="Times New Roman" w:hAnsi="Times New Roman" w:eastAsia="仿宋_GB2312"/>
          <w:color w:val="auto"/>
          <w:sz w:val="32"/>
          <w:szCs w:val="32"/>
          <w:highlight w:val="none"/>
        </w:rPr>
        <w:t>万元，占</w:t>
      </w:r>
      <w:r>
        <w:rPr>
          <w:rFonts w:hint="eastAsia" w:ascii="Times New Roman" w:hAnsi="Times New Roman" w:eastAsia="仿宋_GB2312"/>
          <w:color w:val="auto"/>
          <w:sz w:val="32"/>
          <w:szCs w:val="32"/>
          <w:highlight w:val="none"/>
          <w:lang w:val="en-US" w:eastAsia="zh-CN"/>
        </w:rPr>
        <w:t>0.28</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节能环保（类）支出</w:t>
      </w:r>
      <w:r>
        <w:rPr>
          <w:rFonts w:hint="eastAsia" w:ascii="Times New Roman" w:hAnsi="Times New Roman" w:eastAsia="仿宋_GB2312"/>
          <w:color w:val="auto"/>
          <w:sz w:val="32"/>
          <w:szCs w:val="32"/>
          <w:highlight w:val="none"/>
          <w:lang w:val="en-US" w:eastAsia="zh-CN"/>
        </w:rPr>
        <w:t>6.06</w:t>
      </w:r>
      <w:r>
        <w:rPr>
          <w:rFonts w:hint="eastAsia" w:ascii="Times New Roman" w:hAnsi="Times New Roman" w:eastAsia="仿宋_GB2312"/>
          <w:color w:val="auto"/>
          <w:sz w:val="32"/>
          <w:szCs w:val="32"/>
          <w:highlight w:val="none"/>
        </w:rPr>
        <w:t>万元，占</w:t>
      </w:r>
      <w:r>
        <w:rPr>
          <w:rFonts w:hint="eastAsia" w:ascii="Times New Roman" w:hAnsi="Times New Roman" w:eastAsia="仿宋_GB2312"/>
          <w:color w:val="auto"/>
          <w:sz w:val="32"/>
          <w:szCs w:val="32"/>
          <w:highlight w:val="none"/>
          <w:lang w:val="en-US" w:eastAsia="zh-CN"/>
        </w:rPr>
        <w:t>0.02</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农林水</w:t>
      </w:r>
      <w:r>
        <w:rPr>
          <w:rFonts w:hint="eastAsia" w:ascii="Times New Roman" w:hAnsi="Times New Roman" w:eastAsia="仿宋_GB2312"/>
          <w:color w:val="auto"/>
          <w:sz w:val="32"/>
          <w:szCs w:val="32"/>
          <w:highlight w:val="none"/>
          <w:lang w:val="en-US" w:eastAsia="zh-CN"/>
        </w:rPr>
        <w:t>支出</w:t>
      </w:r>
      <w:r>
        <w:rPr>
          <w:rFonts w:hint="eastAsia" w:ascii="Times New Roman" w:hAnsi="Times New Roman" w:eastAsia="仿宋_GB2312"/>
          <w:color w:val="auto"/>
          <w:sz w:val="32"/>
          <w:szCs w:val="32"/>
          <w:highlight w:val="none"/>
        </w:rPr>
        <w:t>（类）</w:t>
      </w:r>
      <w:r>
        <w:rPr>
          <w:rFonts w:hint="eastAsia" w:ascii="Times New Roman" w:hAnsi="Times New Roman" w:eastAsia="仿宋_GB2312"/>
          <w:color w:val="auto"/>
          <w:sz w:val="32"/>
          <w:szCs w:val="32"/>
          <w:highlight w:val="none"/>
          <w:lang w:val="en-US" w:eastAsia="zh-CN"/>
        </w:rPr>
        <w:t>25,760.53</w:t>
      </w:r>
      <w:r>
        <w:rPr>
          <w:rFonts w:hint="eastAsia" w:ascii="Times New Roman" w:hAnsi="Times New Roman" w:eastAsia="仿宋_GB2312"/>
          <w:color w:val="auto"/>
          <w:sz w:val="32"/>
          <w:szCs w:val="32"/>
          <w:highlight w:val="none"/>
        </w:rPr>
        <w:t>万元，占</w:t>
      </w:r>
      <w:r>
        <w:rPr>
          <w:rFonts w:hint="eastAsia" w:ascii="Times New Roman" w:hAnsi="Times New Roman" w:eastAsia="仿宋_GB2312"/>
          <w:color w:val="auto"/>
          <w:sz w:val="32"/>
          <w:szCs w:val="32"/>
          <w:highlight w:val="none"/>
          <w:lang w:val="en-US" w:eastAsia="zh-CN"/>
        </w:rPr>
        <w:t>92.0</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lang w:val="en-US" w:eastAsia="zh-CN"/>
        </w:rPr>
        <w:t>商业服务业等支出</w:t>
      </w:r>
      <w:r>
        <w:rPr>
          <w:rFonts w:hint="eastAsia" w:ascii="Times New Roman" w:hAnsi="Times New Roman" w:eastAsia="仿宋_GB2312"/>
          <w:color w:val="auto"/>
          <w:sz w:val="32"/>
          <w:szCs w:val="32"/>
          <w:highlight w:val="none"/>
        </w:rPr>
        <w:t>（类）</w:t>
      </w:r>
      <w:r>
        <w:rPr>
          <w:rFonts w:hint="eastAsia" w:ascii="Times New Roman" w:hAnsi="Times New Roman" w:eastAsia="仿宋_GB2312"/>
          <w:color w:val="auto"/>
          <w:sz w:val="32"/>
          <w:szCs w:val="32"/>
          <w:highlight w:val="none"/>
          <w:lang w:val="en-US" w:eastAsia="zh-CN"/>
        </w:rPr>
        <w:t>6.0</w:t>
      </w:r>
      <w:r>
        <w:rPr>
          <w:rFonts w:hint="eastAsia" w:ascii="Times New Roman" w:hAnsi="Times New Roman" w:eastAsia="仿宋_GB2312"/>
          <w:color w:val="auto"/>
          <w:sz w:val="32"/>
          <w:szCs w:val="32"/>
          <w:highlight w:val="none"/>
        </w:rPr>
        <w:t>万元，占</w:t>
      </w:r>
      <w:r>
        <w:rPr>
          <w:rFonts w:hint="eastAsia" w:ascii="Times New Roman" w:hAnsi="Times New Roman" w:eastAsia="仿宋_GB2312"/>
          <w:color w:val="auto"/>
          <w:sz w:val="32"/>
          <w:szCs w:val="32"/>
          <w:highlight w:val="none"/>
          <w:lang w:val="en-US" w:eastAsia="zh-CN"/>
        </w:rPr>
        <w:t>0.02</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lang w:val="en-US" w:eastAsia="zh-CN"/>
        </w:rPr>
        <w:t>金融支出</w:t>
      </w:r>
      <w:r>
        <w:rPr>
          <w:rFonts w:hint="eastAsia" w:ascii="Times New Roman" w:hAnsi="Times New Roman" w:eastAsia="仿宋_GB2312"/>
          <w:color w:val="auto"/>
          <w:sz w:val="32"/>
          <w:szCs w:val="32"/>
          <w:highlight w:val="none"/>
        </w:rPr>
        <w:t>（类）</w:t>
      </w:r>
      <w:r>
        <w:rPr>
          <w:rFonts w:hint="eastAsia" w:ascii="Times New Roman" w:hAnsi="Times New Roman" w:eastAsia="仿宋_GB2312"/>
          <w:color w:val="auto"/>
          <w:sz w:val="32"/>
          <w:szCs w:val="32"/>
          <w:highlight w:val="none"/>
          <w:lang w:val="en-US" w:eastAsia="zh-CN"/>
        </w:rPr>
        <w:t>12.0</w:t>
      </w:r>
      <w:r>
        <w:rPr>
          <w:rFonts w:hint="eastAsia" w:ascii="Times New Roman" w:hAnsi="Times New Roman" w:eastAsia="仿宋_GB2312"/>
          <w:color w:val="auto"/>
          <w:sz w:val="32"/>
          <w:szCs w:val="32"/>
          <w:highlight w:val="none"/>
        </w:rPr>
        <w:t>万元，占</w:t>
      </w:r>
      <w:r>
        <w:rPr>
          <w:rFonts w:hint="eastAsia" w:ascii="Times New Roman" w:hAnsi="Times New Roman" w:eastAsia="仿宋_GB2312"/>
          <w:color w:val="auto"/>
          <w:sz w:val="32"/>
          <w:szCs w:val="32"/>
          <w:highlight w:val="none"/>
          <w:lang w:val="en-US" w:eastAsia="zh-CN"/>
        </w:rPr>
        <w:t>0.04</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住房保障（类）支出</w:t>
      </w:r>
      <w:r>
        <w:rPr>
          <w:rFonts w:hint="eastAsia" w:ascii="Times New Roman" w:hAnsi="Times New Roman" w:eastAsia="仿宋_GB2312"/>
          <w:color w:val="auto"/>
          <w:sz w:val="32"/>
          <w:szCs w:val="32"/>
          <w:highlight w:val="none"/>
          <w:lang w:val="en-US" w:eastAsia="zh-CN"/>
        </w:rPr>
        <w:t>76.36</w:t>
      </w:r>
      <w:r>
        <w:rPr>
          <w:rFonts w:hint="eastAsia" w:ascii="Times New Roman" w:hAnsi="Times New Roman" w:eastAsia="仿宋_GB2312"/>
          <w:color w:val="auto"/>
          <w:sz w:val="32"/>
          <w:szCs w:val="32"/>
          <w:highlight w:val="none"/>
        </w:rPr>
        <w:t>万元，占</w:t>
      </w:r>
      <w:r>
        <w:rPr>
          <w:rFonts w:hint="eastAsia" w:ascii="Times New Roman" w:hAnsi="Times New Roman" w:eastAsia="仿宋_GB2312"/>
          <w:color w:val="auto"/>
          <w:sz w:val="32"/>
          <w:szCs w:val="32"/>
          <w:highlight w:val="none"/>
          <w:lang w:val="en-US" w:eastAsia="zh-CN"/>
        </w:rPr>
        <w:t>0.27</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粮油物资储备（类）支出</w:t>
      </w:r>
      <w:r>
        <w:rPr>
          <w:rFonts w:hint="eastAsia" w:ascii="Times New Roman" w:hAnsi="Times New Roman" w:eastAsia="仿宋_GB2312"/>
          <w:color w:val="auto"/>
          <w:sz w:val="32"/>
          <w:szCs w:val="32"/>
          <w:highlight w:val="none"/>
          <w:lang w:val="en-US" w:eastAsia="zh-CN"/>
        </w:rPr>
        <w:t>1040.9</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3.72</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w:t>
      </w:r>
    </w:p>
    <w:p w14:paraId="094AD9F5">
      <w:pPr>
        <w:pStyle w:val="16"/>
        <w:keepNext w:val="0"/>
        <w:keepLines w:val="0"/>
        <w:pageBreakBefore w:val="0"/>
        <w:widowControl w:val="0"/>
        <w:kinsoku/>
        <w:wordWrap/>
        <w:overflowPunct/>
        <w:topLinePunct w:val="0"/>
        <w:bidi w:val="0"/>
        <w:snapToGrid/>
        <w:spacing w:line="560" w:lineRule="exact"/>
        <w:ind w:firstLine="643" w:firstLineChars="200"/>
        <w:jc w:val="both"/>
        <w:textAlignment w:val="auto"/>
        <w:rPr>
          <w:rFonts w:hint="eastAsia" w:ascii="楷体" w:hAnsi="楷体" w:eastAsia="楷体" w:cs="楷体"/>
          <w:b/>
          <w:bCs w:val="0"/>
          <w:color w:val="auto"/>
          <w:sz w:val="32"/>
          <w:szCs w:val="32"/>
        </w:rPr>
      </w:pPr>
      <w:r>
        <w:rPr>
          <w:rFonts w:hint="eastAsia" w:ascii="楷体" w:hAnsi="楷体" w:eastAsia="楷体" w:cs="楷体"/>
          <w:b/>
          <w:bCs w:val="0"/>
          <w:color w:val="auto"/>
          <w:sz w:val="32"/>
          <w:szCs w:val="32"/>
        </w:rPr>
        <w:t>（三）财政拨款支出决算具体情况</w:t>
      </w:r>
    </w:p>
    <w:p w14:paraId="674BA2E2">
      <w:pPr>
        <w:pStyle w:val="16"/>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年度财政拨款支出年初预算数为</w:t>
      </w:r>
      <w:r>
        <w:rPr>
          <w:rFonts w:hint="eastAsia" w:ascii="Times New Roman" w:hAnsi="Times New Roman" w:eastAsia="仿宋_GB2312"/>
          <w:color w:val="auto"/>
          <w:sz w:val="32"/>
          <w:szCs w:val="32"/>
          <w:lang w:val="en-US" w:eastAsia="zh-CN"/>
        </w:rPr>
        <w:t>27,999.46</w:t>
      </w:r>
      <w:r>
        <w:rPr>
          <w:rFonts w:hint="eastAsia" w:ascii="Times New Roman" w:hAnsi="Times New Roman" w:eastAsia="仿宋_GB2312"/>
          <w:color w:val="auto"/>
          <w:sz w:val="32"/>
          <w:szCs w:val="32"/>
        </w:rPr>
        <w:t>万元，支出决算数为</w:t>
      </w:r>
      <w:r>
        <w:rPr>
          <w:rFonts w:hint="eastAsia" w:ascii="Times New Roman" w:hAnsi="Times New Roman" w:eastAsia="仿宋_GB2312"/>
          <w:color w:val="auto"/>
          <w:sz w:val="32"/>
          <w:szCs w:val="32"/>
          <w:lang w:val="en-US" w:eastAsia="zh-CN"/>
        </w:rPr>
        <w:t>27,999.46</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%，其中：</w:t>
      </w:r>
    </w:p>
    <w:p w14:paraId="3C1735B1">
      <w:pPr>
        <w:pStyle w:val="16"/>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1、</w:t>
      </w:r>
      <w:r>
        <w:rPr>
          <w:rFonts w:hint="eastAsia" w:ascii="Times New Roman" w:hAnsi="Times New Roman" w:eastAsia="仿宋_GB2312"/>
          <w:color w:val="auto"/>
          <w:sz w:val="32"/>
          <w:szCs w:val="32"/>
          <w:lang w:eastAsia="zh-CN"/>
        </w:rPr>
        <w:t>卫生健康支出</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eastAsia="zh-CN"/>
        </w:rPr>
        <w:t>行政事业单位医疗</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款</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行政单位医疗</w:t>
      </w:r>
      <w:r>
        <w:rPr>
          <w:rFonts w:hint="eastAsia" w:ascii="Times New Roman" w:hAnsi="Times New Roman" w:eastAsia="仿宋_GB2312"/>
          <w:color w:val="auto"/>
          <w:sz w:val="32"/>
          <w:szCs w:val="32"/>
        </w:rPr>
        <w:t>（项）。</w:t>
      </w:r>
    </w:p>
    <w:p w14:paraId="0416922C">
      <w:pPr>
        <w:pStyle w:val="16"/>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77.8</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77.8</w:t>
      </w:r>
      <w:r>
        <w:rPr>
          <w:rFonts w:hint="eastAsia" w:ascii="Times New Roman" w:hAnsi="Times New Roman" w:eastAsia="仿宋_GB2312"/>
          <w:color w:val="auto"/>
          <w:sz w:val="32"/>
          <w:szCs w:val="32"/>
        </w:rPr>
        <w:t>万元，完成年初预算的100%，</w:t>
      </w:r>
      <w:r>
        <w:rPr>
          <w:rFonts w:hint="eastAsia" w:ascii="Times New Roman" w:hAnsi="Times New Roman" w:eastAsia="仿宋_GB2312"/>
          <w:color w:val="auto"/>
          <w:sz w:val="32"/>
          <w:szCs w:val="32"/>
          <w:lang w:eastAsia="zh-CN"/>
        </w:rPr>
        <w:t>决算数等于年初预算数。</w:t>
      </w:r>
    </w:p>
    <w:p w14:paraId="1A8547E9">
      <w:pPr>
        <w:pStyle w:val="16"/>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农林水</w:t>
      </w:r>
      <w:r>
        <w:rPr>
          <w:rFonts w:hint="eastAsia" w:ascii="Times New Roman" w:hAnsi="Times New Roman" w:eastAsia="仿宋_GB2312"/>
          <w:color w:val="auto"/>
          <w:sz w:val="32"/>
          <w:szCs w:val="32"/>
        </w:rPr>
        <w:t>支出（类）</w:t>
      </w:r>
      <w:r>
        <w:rPr>
          <w:rFonts w:hint="eastAsia" w:ascii="Times New Roman" w:hAnsi="Times New Roman" w:eastAsia="仿宋_GB2312"/>
          <w:color w:val="auto"/>
          <w:sz w:val="32"/>
          <w:szCs w:val="32"/>
          <w:lang w:eastAsia="zh-CN"/>
        </w:rPr>
        <w:t>农业农村</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val="en-US" w:eastAsia="zh-CN"/>
        </w:rPr>
        <w:t>行政运行</w:t>
      </w:r>
      <w:r>
        <w:rPr>
          <w:rFonts w:hint="eastAsia" w:ascii="Times New Roman" w:hAnsi="Times New Roman" w:eastAsia="仿宋_GB2312"/>
          <w:color w:val="auto"/>
          <w:sz w:val="32"/>
          <w:szCs w:val="32"/>
        </w:rPr>
        <w:t>（项）。</w:t>
      </w:r>
    </w:p>
    <w:p w14:paraId="2DBFE019">
      <w:pPr>
        <w:pStyle w:val="16"/>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1,248.3</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1,248.3</w:t>
      </w:r>
      <w:r>
        <w:rPr>
          <w:rFonts w:hint="eastAsia" w:ascii="Times New Roman" w:hAnsi="Times New Roman" w:eastAsia="仿宋_GB2312"/>
          <w:color w:val="auto"/>
          <w:sz w:val="32"/>
          <w:szCs w:val="32"/>
        </w:rPr>
        <w:t>万元，完成年初预算的100%，</w:t>
      </w:r>
      <w:r>
        <w:rPr>
          <w:rFonts w:hint="eastAsia" w:ascii="Times New Roman" w:hAnsi="Times New Roman" w:eastAsia="仿宋_GB2312"/>
          <w:color w:val="auto"/>
          <w:sz w:val="32"/>
          <w:szCs w:val="32"/>
          <w:lang w:eastAsia="zh-CN"/>
        </w:rPr>
        <w:t>决算数等于年初预算数。</w:t>
      </w:r>
    </w:p>
    <w:p w14:paraId="1633928C">
      <w:pPr>
        <w:pStyle w:val="16"/>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农林水</w:t>
      </w:r>
      <w:r>
        <w:rPr>
          <w:rFonts w:hint="eastAsia" w:ascii="Times New Roman" w:hAnsi="Times New Roman" w:eastAsia="仿宋_GB2312"/>
          <w:color w:val="auto"/>
          <w:sz w:val="32"/>
          <w:szCs w:val="32"/>
        </w:rPr>
        <w:t>支出（类）</w:t>
      </w:r>
      <w:r>
        <w:rPr>
          <w:rFonts w:hint="eastAsia" w:ascii="Times New Roman" w:hAnsi="Times New Roman" w:eastAsia="仿宋_GB2312"/>
          <w:color w:val="auto"/>
          <w:sz w:val="32"/>
          <w:szCs w:val="32"/>
          <w:lang w:eastAsia="zh-CN"/>
        </w:rPr>
        <w:t>农业农村</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val="en-US" w:eastAsia="zh-CN"/>
        </w:rPr>
        <w:t>一般行政管理事务</w:t>
      </w:r>
      <w:r>
        <w:rPr>
          <w:rFonts w:hint="eastAsia" w:ascii="Times New Roman" w:hAnsi="Times New Roman" w:eastAsia="仿宋_GB2312"/>
          <w:color w:val="auto"/>
          <w:sz w:val="32"/>
          <w:szCs w:val="32"/>
        </w:rPr>
        <w:t>（项）。</w:t>
      </w:r>
    </w:p>
    <w:p w14:paraId="1D0ED6EB">
      <w:pPr>
        <w:pStyle w:val="16"/>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15.19</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15.19</w:t>
      </w:r>
      <w:r>
        <w:rPr>
          <w:rFonts w:hint="eastAsia" w:ascii="Times New Roman" w:hAnsi="Times New Roman" w:eastAsia="仿宋_GB2312"/>
          <w:color w:val="auto"/>
          <w:sz w:val="32"/>
          <w:szCs w:val="32"/>
        </w:rPr>
        <w:t>万元，完成年初预算的100%，</w:t>
      </w:r>
      <w:r>
        <w:rPr>
          <w:rFonts w:hint="eastAsia" w:ascii="Times New Roman" w:hAnsi="Times New Roman" w:eastAsia="仿宋_GB2312"/>
          <w:color w:val="auto"/>
          <w:sz w:val="32"/>
          <w:szCs w:val="32"/>
          <w:lang w:eastAsia="zh-CN"/>
        </w:rPr>
        <w:t>决算数等于年初预算数。</w:t>
      </w:r>
    </w:p>
    <w:p w14:paraId="449D79E0">
      <w:pPr>
        <w:pStyle w:val="16"/>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农林水</w:t>
      </w:r>
      <w:r>
        <w:rPr>
          <w:rFonts w:hint="eastAsia" w:ascii="Times New Roman" w:hAnsi="Times New Roman" w:eastAsia="仿宋_GB2312"/>
          <w:color w:val="auto"/>
          <w:sz w:val="32"/>
          <w:szCs w:val="32"/>
        </w:rPr>
        <w:t>支出（类）</w:t>
      </w:r>
      <w:r>
        <w:rPr>
          <w:rFonts w:hint="eastAsia" w:ascii="Times New Roman" w:hAnsi="Times New Roman" w:eastAsia="仿宋_GB2312"/>
          <w:color w:val="auto"/>
          <w:sz w:val="32"/>
          <w:szCs w:val="32"/>
          <w:lang w:eastAsia="zh-CN"/>
        </w:rPr>
        <w:t>农业农村</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val="en-US" w:eastAsia="zh-CN"/>
        </w:rPr>
        <w:t>科技转化与推广服务</w:t>
      </w:r>
      <w:r>
        <w:rPr>
          <w:rFonts w:hint="eastAsia" w:ascii="Times New Roman" w:hAnsi="Times New Roman" w:eastAsia="仿宋_GB2312"/>
          <w:color w:val="auto"/>
          <w:sz w:val="32"/>
          <w:szCs w:val="32"/>
        </w:rPr>
        <w:t>（项）。</w:t>
      </w:r>
    </w:p>
    <w:p w14:paraId="544260C2">
      <w:pPr>
        <w:pStyle w:val="16"/>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196.35</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196.35</w:t>
      </w:r>
      <w:r>
        <w:rPr>
          <w:rFonts w:hint="eastAsia" w:ascii="Times New Roman" w:hAnsi="Times New Roman" w:eastAsia="仿宋_GB2312"/>
          <w:color w:val="auto"/>
          <w:sz w:val="32"/>
          <w:szCs w:val="32"/>
        </w:rPr>
        <w:t>万元，完成年初预算的100%，</w:t>
      </w:r>
      <w:r>
        <w:rPr>
          <w:rFonts w:hint="eastAsia" w:ascii="Times New Roman" w:hAnsi="Times New Roman" w:eastAsia="仿宋_GB2312"/>
          <w:color w:val="auto"/>
          <w:sz w:val="32"/>
          <w:szCs w:val="32"/>
          <w:lang w:eastAsia="zh-CN"/>
        </w:rPr>
        <w:t>决算数等于年初预算数。</w:t>
      </w:r>
    </w:p>
    <w:p w14:paraId="3B793CD3">
      <w:pPr>
        <w:pStyle w:val="16"/>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5</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农林水</w:t>
      </w:r>
      <w:r>
        <w:rPr>
          <w:rFonts w:hint="eastAsia" w:ascii="Times New Roman" w:hAnsi="Times New Roman" w:eastAsia="仿宋_GB2312"/>
          <w:color w:val="auto"/>
          <w:sz w:val="32"/>
          <w:szCs w:val="32"/>
        </w:rPr>
        <w:t>支出（类）</w:t>
      </w:r>
      <w:r>
        <w:rPr>
          <w:rFonts w:hint="eastAsia" w:ascii="Times New Roman" w:hAnsi="Times New Roman" w:eastAsia="仿宋_GB2312"/>
          <w:color w:val="auto"/>
          <w:sz w:val="32"/>
          <w:szCs w:val="32"/>
          <w:lang w:eastAsia="zh-CN"/>
        </w:rPr>
        <w:t>农业农村</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val="en-US" w:eastAsia="zh-CN"/>
        </w:rPr>
        <w:t>病虫害防控</w:t>
      </w:r>
      <w:r>
        <w:rPr>
          <w:rFonts w:hint="eastAsia" w:ascii="Times New Roman" w:hAnsi="Times New Roman" w:eastAsia="仿宋_GB2312"/>
          <w:color w:val="auto"/>
          <w:sz w:val="32"/>
          <w:szCs w:val="32"/>
        </w:rPr>
        <w:t>（项）。</w:t>
      </w:r>
    </w:p>
    <w:p w14:paraId="21F3B51A">
      <w:pPr>
        <w:pStyle w:val="16"/>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31.94</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31.94</w:t>
      </w:r>
      <w:r>
        <w:rPr>
          <w:rFonts w:hint="eastAsia" w:ascii="Times New Roman" w:hAnsi="Times New Roman" w:eastAsia="仿宋_GB2312"/>
          <w:color w:val="auto"/>
          <w:sz w:val="32"/>
          <w:szCs w:val="32"/>
        </w:rPr>
        <w:t>万元，完成年初预算的100%，</w:t>
      </w:r>
      <w:r>
        <w:rPr>
          <w:rFonts w:hint="eastAsia" w:ascii="Times New Roman" w:hAnsi="Times New Roman" w:eastAsia="仿宋_GB2312"/>
          <w:color w:val="auto"/>
          <w:sz w:val="32"/>
          <w:szCs w:val="32"/>
          <w:lang w:eastAsia="zh-CN"/>
        </w:rPr>
        <w:t>决算数等于年初预算数。</w:t>
      </w:r>
    </w:p>
    <w:p w14:paraId="44F13625">
      <w:pPr>
        <w:pStyle w:val="16"/>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6</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农林水</w:t>
      </w:r>
      <w:r>
        <w:rPr>
          <w:rFonts w:hint="eastAsia" w:ascii="Times New Roman" w:hAnsi="Times New Roman" w:eastAsia="仿宋_GB2312"/>
          <w:color w:val="auto"/>
          <w:sz w:val="32"/>
          <w:szCs w:val="32"/>
        </w:rPr>
        <w:t>支出（类）</w:t>
      </w:r>
      <w:r>
        <w:rPr>
          <w:rFonts w:hint="eastAsia" w:ascii="Times New Roman" w:hAnsi="Times New Roman" w:eastAsia="仿宋_GB2312"/>
          <w:color w:val="auto"/>
          <w:sz w:val="32"/>
          <w:szCs w:val="32"/>
          <w:lang w:eastAsia="zh-CN"/>
        </w:rPr>
        <w:t>农业农村</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val="en-US" w:eastAsia="zh-CN"/>
        </w:rPr>
        <w:t>农产品质量安全</w:t>
      </w:r>
      <w:r>
        <w:rPr>
          <w:rFonts w:hint="eastAsia" w:ascii="Times New Roman" w:hAnsi="Times New Roman" w:eastAsia="仿宋_GB2312"/>
          <w:color w:val="auto"/>
          <w:sz w:val="32"/>
          <w:szCs w:val="32"/>
        </w:rPr>
        <w:t>（项）。</w:t>
      </w:r>
    </w:p>
    <w:p w14:paraId="5D717F30">
      <w:pPr>
        <w:pStyle w:val="16"/>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71.13</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71.13</w:t>
      </w:r>
      <w:r>
        <w:rPr>
          <w:rFonts w:hint="eastAsia" w:ascii="Times New Roman" w:hAnsi="Times New Roman" w:eastAsia="仿宋_GB2312"/>
          <w:color w:val="auto"/>
          <w:sz w:val="32"/>
          <w:szCs w:val="32"/>
        </w:rPr>
        <w:t>万元，完成年初预算的100%，</w:t>
      </w:r>
      <w:r>
        <w:rPr>
          <w:rFonts w:hint="eastAsia" w:ascii="Times New Roman" w:hAnsi="Times New Roman" w:eastAsia="仿宋_GB2312"/>
          <w:color w:val="auto"/>
          <w:sz w:val="32"/>
          <w:szCs w:val="32"/>
          <w:lang w:eastAsia="zh-CN"/>
        </w:rPr>
        <w:t>决算数等于年初预算数。</w:t>
      </w:r>
    </w:p>
    <w:p w14:paraId="4F1C2CB3">
      <w:pPr>
        <w:pStyle w:val="16"/>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7</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农林水</w:t>
      </w:r>
      <w:r>
        <w:rPr>
          <w:rFonts w:hint="eastAsia" w:ascii="Times New Roman" w:hAnsi="Times New Roman" w:eastAsia="仿宋_GB2312"/>
          <w:color w:val="auto"/>
          <w:sz w:val="32"/>
          <w:szCs w:val="32"/>
        </w:rPr>
        <w:t>支出（类）</w:t>
      </w:r>
      <w:r>
        <w:rPr>
          <w:rFonts w:hint="eastAsia" w:ascii="Times New Roman" w:hAnsi="Times New Roman" w:eastAsia="仿宋_GB2312"/>
          <w:color w:val="auto"/>
          <w:sz w:val="32"/>
          <w:szCs w:val="32"/>
          <w:lang w:eastAsia="zh-CN"/>
        </w:rPr>
        <w:t>农业农村</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val="en-US" w:eastAsia="zh-CN"/>
        </w:rPr>
        <w:t>执法监管</w:t>
      </w:r>
      <w:r>
        <w:rPr>
          <w:rFonts w:hint="eastAsia" w:ascii="Times New Roman" w:hAnsi="Times New Roman" w:eastAsia="仿宋_GB2312"/>
          <w:color w:val="auto"/>
          <w:sz w:val="32"/>
          <w:szCs w:val="32"/>
        </w:rPr>
        <w:t>（项）。</w:t>
      </w:r>
    </w:p>
    <w:p w14:paraId="4847FAC4">
      <w:pPr>
        <w:pStyle w:val="16"/>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22.11</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22.11</w:t>
      </w:r>
      <w:r>
        <w:rPr>
          <w:rFonts w:hint="eastAsia" w:ascii="Times New Roman" w:hAnsi="Times New Roman" w:eastAsia="仿宋_GB2312"/>
          <w:color w:val="auto"/>
          <w:sz w:val="32"/>
          <w:szCs w:val="32"/>
        </w:rPr>
        <w:t>万元，完成年初预算的100%，</w:t>
      </w:r>
      <w:r>
        <w:rPr>
          <w:rFonts w:hint="eastAsia" w:ascii="Times New Roman" w:hAnsi="Times New Roman" w:eastAsia="仿宋_GB2312"/>
          <w:color w:val="auto"/>
          <w:sz w:val="32"/>
          <w:szCs w:val="32"/>
          <w:lang w:eastAsia="zh-CN"/>
        </w:rPr>
        <w:t>决算数等于年初预算数。</w:t>
      </w:r>
    </w:p>
    <w:p w14:paraId="7FE3C68E">
      <w:pPr>
        <w:pStyle w:val="16"/>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8</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农林水</w:t>
      </w:r>
      <w:r>
        <w:rPr>
          <w:rFonts w:hint="eastAsia" w:ascii="Times New Roman" w:hAnsi="Times New Roman" w:eastAsia="仿宋_GB2312"/>
          <w:color w:val="auto"/>
          <w:sz w:val="32"/>
          <w:szCs w:val="32"/>
        </w:rPr>
        <w:t>支出（类）</w:t>
      </w:r>
      <w:r>
        <w:rPr>
          <w:rFonts w:hint="eastAsia" w:ascii="Times New Roman" w:hAnsi="Times New Roman" w:eastAsia="仿宋_GB2312"/>
          <w:color w:val="auto"/>
          <w:sz w:val="32"/>
          <w:szCs w:val="32"/>
          <w:lang w:eastAsia="zh-CN"/>
        </w:rPr>
        <w:t>农业农村</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val="en-US" w:eastAsia="zh-CN"/>
        </w:rPr>
        <w:t>统计监测与信息服务</w:t>
      </w:r>
      <w:r>
        <w:rPr>
          <w:rFonts w:hint="eastAsia" w:ascii="Times New Roman" w:hAnsi="Times New Roman" w:eastAsia="仿宋_GB2312"/>
          <w:color w:val="auto"/>
          <w:sz w:val="32"/>
          <w:szCs w:val="32"/>
        </w:rPr>
        <w:t>（项）。</w:t>
      </w:r>
    </w:p>
    <w:p w14:paraId="3550F6EE">
      <w:pPr>
        <w:pStyle w:val="16"/>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7.25</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7.25</w:t>
      </w:r>
      <w:r>
        <w:rPr>
          <w:rFonts w:hint="eastAsia" w:ascii="Times New Roman" w:hAnsi="Times New Roman" w:eastAsia="仿宋_GB2312"/>
          <w:color w:val="auto"/>
          <w:sz w:val="32"/>
          <w:szCs w:val="32"/>
        </w:rPr>
        <w:t>万元，完成年初预算的100%，</w:t>
      </w:r>
      <w:r>
        <w:rPr>
          <w:rFonts w:hint="eastAsia" w:ascii="Times New Roman" w:hAnsi="Times New Roman" w:eastAsia="仿宋_GB2312"/>
          <w:color w:val="auto"/>
          <w:sz w:val="32"/>
          <w:szCs w:val="32"/>
          <w:lang w:eastAsia="zh-CN"/>
        </w:rPr>
        <w:t>决算数等于年初预算数。</w:t>
      </w:r>
    </w:p>
    <w:p w14:paraId="2E12E57F">
      <w:pPr>
        <w:pStyle w:val="16"/>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9</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农林水</w:t>
      </w:r>
      <w:r>
        <w:rPr>
          <w:rFonts w:hint="eastAsia" w:ascii="Times New Roman" w:hAnsi="Times New Roman" w:eastAsia="仿宋_GB2312"/>
          <w:color w:val="auto"/>
          <w:sz w:val="32"/>
          <w:szCs w:val="32"/>
        </w:rPr>
        <w:t>支出（类）</w:t>
      </w:r>
      <w:r>
        <w:rPr>
          <w:rFonts w:hint="eastAsia" w:ascii="Times New Roman" w:hAnsi="Times New Roman" w:eastAsia="仿宋_GB2312"/>
          <w:color w:val="auto"/>
          <w:sz w:val="32"/>
          <w:szCs w:val="32"/>
          <w:lang w:eastAsia="zh-CN"/>
        </w:rPr>
        <w:t>农业农村</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val="en-US" w:eastAsia="zh-CN"/>
        </w:rPr>
        <w:t>稳定农民收入补贴</w:t>
      </w:r>
      <w:r>
        <w:rPr>
          <w:rFonts w:hint="eastAsia" w:ascii="Times New Roman" w:hAnsi="Times New Roman" w:eastAsia="仿宋_GB2312"/>
          <w:color w:val="auto"/>
          <w:sz w:val="32"/>
          <w:szCs w:val="32"/>
        </w:rPr>
        <w:t>（项）。</w:t>
      </w:r>
    </w:p>
    <w:p w14:paraId="2E6B0B90">
      <w:pPr>
        <w:pStyle w:val="16"/>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5,841.71</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5,841.71</w:t>
      </w:r>
      <w:r>
        <w:rPr>
          <w:rFonts w:hint="eastAsia" w:ascii="Times New Roman" w:hAnsi="Times New Roman" w:eastAsia="仿宋_GB2312"/>
          <w:color w:val="auto"/>
          <w:sz w:val="32"/>
          <w:szCs w:val="32"/>
        </w:rPr>
        <w:t>万元，完成年初预算的100%，</w:t>
      </w:r>
      <w:r>
        <w:rPr>
          <w:rFonts w:hint="eastAsia" w:ascii="Times New Roman" w:hAnsi="Times New Roman" w:eastAsia="仿宋_GB2312"/>
          <w:color w:val="auto"/>
          <w:sz w:val="32"/>
          <w:szCs w:val="32"/>
          <w:lang w:eastAsia="zh-CN"/>
        </w:rPr>
        <w:t>决算数等于年初预算数。</w:t>
      </w:r>
    </w:p>
    <w:p w14:paraId="0528E1EE">
      <w:pPr>
        <w:pStyle w:val="16"/>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10</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农林水</w:t>
      </w:r>
      <w:r>
        <w:rPr>
          <w:rFonts w:hint="eastAsia" w:ascii="Times New Roman" w:hAnsi="Times New Roman" w:eastAsia="仿宋_GB2312"/>
          <w:color w:val="auto"/>
          <w:sz w:val="32"/>
          <w:szCs w:val="32"/>
        </w:rPr>
        <w:t>支出（类）</w:t>
      </w:r>
      <w:r>
        <w:rPr>
          <w:rFonts w:hint="eastAsia" w:ascii="Times New Roman" w:hAnsi="Times New Roman" w:eastAsia="仿宋_GB2312"/>
          <w:color w:val="auto"/>
          <w:sz w:val="32"/>
          <w:szCs w:val="32"/>
          <w:lang w:eastAsia="zh-CN"/>
        </w:rPr>
        <w:t>农业农村</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val="en-US" w:eastAsia="zh-CN"/>
        </w:rPr>
        <w:t>农业结构调整补贴</w:t>
      </w:r>
      <w:r>
        <w:rPr>
          <w:rFonts w:hint="eastAsia" w:ascii="Times New Roman" w:hAnsi="Times New Roman" w:eastAsia="仿宋_GB2312"/>
          <w:color w:val="auto"/>
          <w:sz w:val="32"/>
          <w:szCs w:val="32"/>
        </w:rPr>
        <w:t>（项）。</w:t>
      </w:r>
    </w:p>
    <w:p w14:paraId="08EC242E">
      <w:pPr>
        <w:pStyle w:val="16"/>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184.42</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184.42</w:t>
      </w:r>
      <w:r>
        <w:rPr>
          <w:rFonts w:hint="eastAsia" w:ascii="Times New Roman" w:hAnsi="Times New Roman" w:eastAsia="仿宋_GB2312"/>
          <w:color w:val="auto"/>
          <w:sz w:val="32"/>
          <w:szCs w:val="32"/>
        </w:rPr>
        <w:t>万元，完成年初预算的100%，</w:t>
      </w:r>
      <w:r>
        <w:rPr>
          <w:rFonts w:hint="eastAsia" w:ascii="Times New Roman" w:hAnsi="Times New Roman" w:eastAsia="仿宋_GB2312"/>
          <w:color w:val="auto"/>
          <w:sz w:val="32"/>
          <w:szCs w:val="32"/>
          <w:lang w:eastAsia="zh-CN"/>
        </w:rPr>
        <w:t>决算数等于年初预算数。</w:t>
      </w:r>
    </w:p>
    <w:p w14:paraId="0151DDEE">
      <w:pPr>
        <w:pStyle w:val="16"/>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11</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农林水</w:t>
      </w:r>
      <w:r>
        <w:rPr>
          <w:rFonts w:hint="eastAsia" w:ascii="Times New Roman" w:hAnsi="Times New Roman" w:eastAsia="仿宋_GB2312"/>
          <w:color w:val="auto"/>
          <w:sz w:val="32"/>
          <w:szCs w:val="32"/>
        </w:rPr>
        <w:t>支出（类）</w:t>
      </w:r>
      <w:r>
        <w:rPr>
          <w:rFonts w:hint="eastAsia" w:ascii="Times New Roman" w:hAnsi="Times New Roman" w:eastAsia="仿宋_GB2312"/>
          <w:color w:val="auto"/>
          <w:sz w:val="32"/>
          <w:szCs w:val="32"/>
          <w:lang w:eastAsia="zh-CN"/>
        </w:rPr>
        <w:t>农业农村</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val="en-US" w:eastAsia="zh-CN"/>
        </w:rPr>
        <w:t>农业生产发展</w:t>
      </w:r>
      <w:r>
        <w:rPr>
          <w:rFonts w:hint="eastAsia" w:ascii="Times New Roman" w:hAnsi="Times New Roman" w:eastAsia="仿宋_GB2312"/>
          <w:color w:val="auto"/>
          <w:sz w:val="32"/>
          <w:szCs w:val="32"/>
        </w:rPr>
        <w:t>（项）。</w:t>
      </w:r>
    </w:p>
    <w:p w14:paraId="55484F17">
      <w:pPr>
        <w:pStyle w:val="16"/>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136.62</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136.62</w:t>
      </w:r>
      <w:r>
        <w:rPr>
          <w:rFonts w:hint="eastAsia" w:ascii="Times New Roman" w:hAnsi="Times New Roman" w:eastAsia="仿宋_GB2312"/>
          <w:color w:val="auto"/>
          <w:sz w:val="32"/>
          <w:szCs w:val="32"/>
        </w:rPr>
        <w:t>万元，完成年初预算的100%，</w:t>
      </w:r>
      <w:r>
        <w:rPr>
          <w:rFonts w:hint="eastAsia" w:ascii="Times New Roman" w:hAnsi="Times New Roman" w:eastAsia="仿宋_GB2312"/>
          <w:color w:val="auto"/>
          <w:sz w:val="32"/>
          <w:szCs w:val="32"/>
          <w:lang w:eastAsia="zh-CN"/>
        </w:rPr>
        <w:t>决算数等于年初预算数。</w:t>
      </w:r>
    </w:p>
    <w:p w14:paraId="7068C14A">
      <w:pPr>
        <w:pStyle w:val="16"/>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12</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农林水</w:t>
      </w:r>
      <w:r>
        <w:rPr>
          <w:rFonts w:hint="eastAsia" w:ascii="Times New Roman" w:hAnsi="Times New Roman" w:eastAsia="仿宋_GB2312"/>
          <w:color w:val="auto"/>
          <w:sz w:val="32"/>
          <w:szCs w:val="32"/>
        </w:rPr>
        <w:t>支出（类）</w:t>
      </w:r>
      <w:r>
        <w:rPr>
          <w:rFonts w:hint="eastAsia" w:ascii="Times New Roman" w:hAnsi="Times New Roman" w:eastAsia="仿宋_GB2312"/>
          <w:color w:val="auto"/>
          <w:sz w:val="32"/>
          <w:szCs w:val="32"/>
          <w:lang w:eastAsia="zh-CN"/>
        </w:rPr>
        <w:t>农业农村</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val="en-US" w:eastAsia="zh-CN"/>
        </w:rPr>
        <w:t>农村社会事务</w:t>
      </w:r>
      <w:r>
        <w:rPr>
          <w:rFonts w:hint="eastAsia" w:ascii="Times New Roman" w:hAnsi="Times New Roman" w:eastAsia="仿宋_GB2312"/>
          <w:color w:val="auto"/>
          <w:sz w:val="32"/>
          <w:szCs w:val="32"/>
        </w:rPr>
        <w:t>（项）。</w:t>
      </w:r>
    </w:p>
    <w:p w14:paraId="2CBFFE83">
      <w:pPr>
        <w:pStyle w:val="16"/>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93.76</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93.76</w:t>
      </w:r>
      <w:r>
        <w:rPr>
          <w:rFonts w:hint="eastAsia" w:ascii="Times New Roman" w:hAnsi="Times New Roman" w:eastAsia="仿宋_GB2312"/>
          <w:color w:val="auto"/>
          <w:sz w:val="32"/>
          <w:szCs w:val="32"/>
        </w:rPr>
        <w:t>万元，完成年初预算的100%，</w:t>
      </w:r>
      <w:r>
        <w:rPr>
          <w:rFonts w:hint="eastAsia" w:ascii="Times New Roman" w:hAnsi="Times New Roman" w:eastAsia="仿宋_GB2312"/>
          <w:color w:val="auto"/>
          <w:sz w:val="32"/>
          <w:szCs w:val="32"/>
          <w:lang w:eastAsia="zh-CN"/>
        </w:rPr>
        <w:t>决算数等于年初预算数。</w:t>
      </w:r>
    </w:p>
    <w:p w14:paraId="1B8AF022">
      <w:pPr>
        <w:pStyle w:val="16"/>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13</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农林水</w:t>
      </w:r>
      <w:r>
        <w:rPr>
          <w:rFonts w:hint="eastAsia" w:ascii="Times New Roman" w:hAnsi="Times New Roman" w:eastAsia="仿宋_GB2312"/>
          <w:color w:val="auto"/>
          <w:sz w:val="32"/>
          <w:szCs w:val="32"/>
        </w:rPr>
        <w:t>支出（类）</w:t>
      </w:r>
      <w:r>
        <w:rPr>
          <w:rFonts w:hint="eastAsia" w:ascii="Times New Roman" w:hAnsi="Times New Roman" w:eastAsia="仿宋_GB2312"/>
          <w:color w:val="auto"/>
          <w:sz w:val="32"/>
          <w:szCs w:val="32"/>
          <w:lang w:eastAsia="zh-CN"/>
        </w:rPr>
        <w:t>农业农村</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val="en-US" w:eastAsia="zh-CN"/>
        </w:rPr>
        <w:t>农业生态资源保护</w:t>
      </w:r>
      <w:r>
        <w:rPr>
          <w:rFonts w:hint="eastAsia" w:ascii="Times New Roman" w:hAnsi="Times New Roman" w:eastAsia="仿宋_GB2312"/>
          <w:color w:val="auto"/>
          <w:sz w:val="32"/>
          <w:szCs w:val="32"/>
        </w:rPr>
        <w:t>（项）。</w:t>
      </w:r>
    </w:p>
    <w:p w14:paraId="6AE626D5">
      <w:pPr>
        <w:pStyle w:val="16"/>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518.66</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518.66</w:t>
      </w:r>
      <w:r>
        <w:rPr>
          <w:rFonts w:hint="eastAsia" w:ascii="Times New Roman" w:hAnsi="Times New Roman" w:eastAsia="仿宋_GB2312"/>
          <w:color w:val="auto"/>
          <w:sz w:val="32"/>
          <w:szCs w:val="32"/>
        </w:rPr>
        <w:t>万元，完成年初预算的100%，</w:t>
      </w:r>
      <w:r>
        <w:rPr>
          <w:rFonts w:hint="eastAsia" w:ascii="Times New Roman" w:hAnsi="Times New Roman" w:eastAsia="仿宋_GB2312"/>
          <w:color w:val="auto"/>
          <w:sz w:val="32"/>
          <w:szCs w:val="32"/>
          <w:lang w:eastAsia="zh-CN"/>
        </w:rPr>
        <w:t>决算数等于年初预算数。</w:t>
      </w:r>
    </w:p>
    <w:p w14:paraId="75113CC2">
      <w:pPr>
        <w:pStyle w:val="16"/>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14</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农林水</w:t>
      </w:r>
      <w:r>
        <w:rPr>
          <w:rFonts w:hint="eastAsia" w:ascii="Times New Roman" w:hAnsi="Times New Roman" w:eastAsia="仿宋_GB2312"/>
          <w:color w:val="auto"/>
          <w:sz w:val="32"/>
          <w:szCs w:val="32"/>
        </w:rPr>
        <w:t>支出（类）</w:t>
      </w:r>
      <w:r>
        <w:rPr>
          <w:rFonts w:hint="eastAsia" w:ascii="Times New Roman" w:hAnsi="Times New Roman" w:eastAsia="仿宋_GB2312"/>
          <w:color w:val="auto"/>
          <w:sz w:val="32"/>
          <w:szCs w:val="32"/>
          <w:lang w:eastAsia="zh-CN"/>
        </w:rPr>
        <w:t>农业农村</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val="en-US" w:eastAsia="zh-CN"/>
        </w:rPr>
        <w:t>耕地建设与利用</w:t>
      </w:r>
      <w:r>
        <w:rPr>
          <w:rFonts w:hint="eastAsia" w:ascii="Times New Roman" w:hAnsi="Times New Roman" w:eastAsia="仿宋_GB2312"/>
          <w:color w:val="auto"/>
          <w:sz w:val="32"/>
          <w:szCs w:val="32"/>
        </w:rPr>
        <w:t>（项）。</w:t>
      </w:r>
    </w:p>
    <w:p w14:paraId="14C318EE">
      <w:pPr>
        <w:pStyle w:val="16"/>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2,040.96</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2,040.96</w:t>
      </w:r>
      <w:r>
        <w:rPr>
          <w:rFonts w:hint="eastAsia" w:ascii="Times New Roman" w:hAnsi="Times New Roman" w:eastAsia="仿宋_GB2312"/>
          <w:color w:val="auto"/>
          <w:sz w:val="32"/>
          <w:szCs w:val="32"/>
        </w:rPr>
        <w:t>万元，完成年初预算的100%，</w:t>
      </w:r>
      <w:r>
        <w:rPr>
          <w:rFonts w:hint="eastAsia" w:ascii="Times New Roman" w:hAnsi="Times New Roman" w:eastAsia="仿宋_GB2312"/>
          <w:color w:val="auto"/>
          <w:sz w:val="32"/>
          <w:szCs w:val="32"/>
          <w:lang w:eastAsia="zh-CN"/>
        </w:rPr>
        <w:t>决算数等于年初预算数。</w:t>
      </w:r>
    </w:p>
    <w:p w14:paraId="1B843ECC">
      <w:pPr>
        <w:pStyle w:val="16"/>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15</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农林水</w:t>
      </w:r>
      <w:r>
        <w:rPr>
          <w:rFonts w:hint="eastAsia" w:ascii="Times New Roman" w:hAnsi="Times New Roman" w:eastAsia="仿宋_GB2312"/>
          <w:color w:val="auto"/>
          <w:sz w:val="32"/>
          <w:szCs w:val="32"/>
        </w:rPr>
        <w:t>支出（类）</w:t>
      </w:r>
      <w:r>
        <w:rPr>
          <w:rFonts w:hint="eastAsia" w:ascii="Times New Roman" w:hAnsi="Times New Roman" w:eastAsia="仿宋_GB2312"/>
          <w:color w:val="auto"/>
          <w:sz w:val="32"/>
          <w:szCs w:val="32"/>
          <w:lang w:eastAsia="zh-CN"/>
        </w:rPr>
        <w:t>农业农村</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val="en-US" w:eastAsia="zh-CN"/>
        </w:rPr>
        <w:t>其他农业农村支出</w:t>
      </w:r>
      <w:r>
        <w:rPr>
          <w:rFonts w:hint="eastAsia" w:ascii="Times New Roman" w:hAnsi="Times New Roman" w:eastAsia="仿宋_GB2312"/>
          <w:color w:val="auto"/>
          <w:sz w:val="32"/>
          <w:szCs w:val="32"/>
        </w:rPr>
        <w:t>（项）。</w:t>
      </w:r>
    </w:p>
    <w:p w14:paraId="46389A8A">
      <w:pPr>
        <w:pStyle w:val="16"/>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975.06</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975.06</w:t>
      </w:r>
      <w:r>
        <w:rPr>
          <w:rFonts w:hint="eastAsia" w:ascii="Times New Roman" w:hAnsi="Times New Roman" w:eastAsia="仿宋_GB2312"/>
          <w:color w:val="auto"/>
          <w:sz w:val="32"/>
          <w:szCs w:val="32"/>
        </w:rPr>
        <w:t>万元，完成年初预算的100%，</w:t>
      </w:r>
      <w:r>
        <w:rPr>
          <w:rFonts w:hint="eastAsia" w:ascii="Times New Roman" w:hAnsi="Times New Roman" w:eastAsia="仿宋_GB2312"/>
          <w:color w:val="auto"/>
          <w:sz w:val="32"/>
          <w:szCs w:val="32"/>
          <w:lang w:eastAsia="zh-CN"/>
        </w:rPr>
        <w:t>决算数等于年初预算数。</w:t>
      </w:r>
    </w:p>
    <w:p w14:paraId="707F8A7A">
      <w:pPr>
        <w:pStyle w:val="16"/>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16</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农林水</w:t>
      </w:r>
      <w:r>
        <w:rPr>
          <w:rFonts w:hint="eastAsia" w:ascii="Times New Roman" w:hAnsi="Times New Roman" w:eastAsia="仿宋_GB2312"/>
          <w:color w:val="auto"/>
          <w:sz w:val="32"/>
          <w:szCs w:val="32"/>
        </w:rPr>
        <w:t>支出（类）</w:t>
      </w:r>
      <w:r>
        <w:rPr>
          <w:rFonts w:hint="eastAsia" w:ascii="Times New Roman" w:hAnsi="Times New Roman" w:eastAsia="仿宋_GB2312"/>
          <w:color w:val="auto"/>
          <w:sz w:val="32"/>
          <w:szCs w:val="32"/>
          <w:lang w:eastAsia="zh-CN"/>
        </w:rPr>
        <w:t>巩固脱贫攻坚成果衔接乡村振兴</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val="en-US" w:eastAsia="zh-CN"/>
        </w:rPr>
        <w:t>行政运行</w:t>
      </w:r>
      <w:r>
        <w:rPr>
          <w:rFonts w:hint="eastAsia" w:ascii="Times New Roman" w:hAnsi="Times New Roman" w:eastAsia="仿宋_GB2312"/>
          <w:color w:val="auto"/>
          <w:sz w:val="32"/>
          <w:szCs w:val="32"/>
        </w:rPr>
        <w:t>（项）。</w:t>
      </w:r>
    </w:p>
    <w:p w14:paraId="09341C40">
      <w:pPr>
        <w:pStyle w:val="16"/>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192.28</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192.28</w:t>
      </w:r>
      <w:r>
        <w:rPr>
          <w:rFonts w:hint="eastAsia" w:ascii="Times New Roman" w:hAnsi="Times New Roman" w:eastAsia="仿宋_GB2312"/>
          <w:color w:val="auto"/>
          <w:sz w:val="32"/>
          <w:szCs w:val="32"/>
        </w:rPr>
        <w:t>万元，完成年初预算的100%，</w:t>
      </w:r>
      <w:r>
        <w:rPr>
          <w:rFonts w:hint="eastAsia" w:ascii="Times New Roman" w:hAnsi="Times New Roman" w:eastAsia="仿宋_GB2312"/>
          <w:color w:val="auto"/>
          <w:sz w:val="32"/>
          <w:szCs w:val="32"/>
          <w:lang w:eastAsia="zh-CN"/>
        </w:rPr>
        <w:t>决算数等于年初预算数。</w:t>
      </w:r>
    </w:p>
    <w:p w14:paraId="6E900B97">
      <w:pPr>
        <w:pStyle w:val="16"/>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17</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农林水</w:t>
      </w:r>
      <w:r>
        <w:rPr>
          <w:rFonts w:hint="eastAsia" w:ascii="Times New Roman" w:hAnsi="Times New Roman" w:eastAsia="仿宋_GB2312"/>
          <w:color w:val="auto"/>
          <w:sz w:val="32"/>
          <w:szCs w:val="32"/>
        </w:rPr>
        <w:t>支出（类）</w:t>
      </w:r>
      <w:r>
        <w:rPr>
          <w:rFonts w:hint="eastAsia" w:ascii="Times New Roman" w:hAnsi="Times New Roman" w:eastAsia="仿宋_GB2312"/>
          <w:color w:val="auto"/>
          <w:sz w:val="32"/>
          <w:szCs w:val="32"/>
          <w:lang w:eastAsia="zh-CN"/>
        </w:rPr>
        <w:t>巩固脱贫攻坚成果衔接乡村振兴</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val="en-US" w:eastAsia="zh-CN"/>
        </w:rPr>
        <w:t>农村基础设施建设</w:t>
      </w:r>
      <w:r>
        <w:rPr>
          <w:rFonts w:hint="eastAsia" w:ascii="Times New Roman" w:hAnsi="Times New Roman" w:eastAsia="仿宋_GB2312"/>
          <w:color w:val="auto"/>
          <w:sz w:val="32"/>
          <w:szCs w:val="32"/>
        </w:rPr>
        <w:t>（项）。</w:t>
      </w:r>
    </w:p>
    <w:p w14:paraId="29152F75">
      <w:pPr>
        <w:pStyle w:val="16"/>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153.17</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153.17</w:t>
      </w:r>
      <w:r>
        <w:rPr>
          <w:rFonts w:hint="eastAsia" w:ascii="Times New Roman" w:hAnsi="Times New Roman" w:eastAsia="仿宋_GB2312"/>
          <w:color w:val="auto"/>
          <w:sz w:val="32"/>
          <w:szCs w:val="32"/>
        </w:rPr>
        <w:t>万元，完成年初预算的100%，</w:t>
      </w:r>
      <w:r>
        <w:rPr>
          <w:rFonts w:hint="eastAsia" w:ascii="Times New Roman" w:hAnsi="Times New Roman" w:eastAsia="仿宋_GB2312"/>
          <w:color w:val="auto"/>
          <w:sz w:val="32"/>
          <w:szCs w:val="32"/>
          <w:lang w:eastAsia="zh-CN"/>
        </w:rPr>
        <w:t>决算数等于年初预算数。</w:t>
      </w:r>
    </w:p>
    <w:p w14:paraId="3700DA37">
      <w:pPr>
        <w:pStyle w:val="16"/>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18</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农林水</w:t>
      </w:r>
      <w:r>
        <w:rPr>
          <w:rFonts w:hint="eastAsia" w:ascii="Times New Roman" w:hAnsi="Times New Roman" w:eastAsia="仿宋_GB2312"/>
          <w:color w:val="auto"/>
          <w:sz w:val="32"/>
          <w:szCs w:val="32"/>
        </w:rPr>
        <w:t>支出（类）</w:t>
      </w:r>
      <w:r>
        <w:rPr>
          <w:rFonts w:hint="eastAsia" w:ascii="Times New Roman" w:hAnsi="Times New Roman" w:eastAsia="仿宋_GB2312"/>
          <w:color w:val="auto"/>
          <w:sz w:val="32"/>
          <w:szCs w:val="32"/>
          <w:lang w:eastAsia="zh-CN"/>
        </w:rPr>
        <w:t>巩固脱贫攻坚成果衔接乡村振兴</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val="en-US" w:eastAsia="zh-CN"/>
        </w:rPr>
        <w:t>生产发展</w:t>
      </w:r>
      <w:r>
        <w:rPr>
          <w:rFonts w:hint="eastAsia" w:ascii="Times New Roman" w:hAnsi="Times New Roman" w:eastAsia="仿宋_GB2312"/>
          <w:color w:val="auto"/>
          <w:sz w:val="32"/>
          <w:szCs w:val="32"/>
        </w:rPr>
        <w:t>（项）。</w:t>
      </w:r>
    </w:p>
    <w:p w14:paraId="6D8AB93F">
      <w:pPr>
        <w:pStyle w:val="16"/>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2,499.44</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2,499.44</w:t>
      </w:r>
      <w:r>
        <w:rPr>
          <w:rFonts w:hint="eastAsia" w:ascii="Times New Roman" w:hAnsi="Times New Roman" w:eastAsia="仿宋_GB2312"/>
          <w:color w:val="auto"/>
          <w:sz w:val="32"/>
          <w:szCs w:val="32"/>
        </w:rPr>
        <w:t>万元，完成年初预算的100%，</w:t>
      </w:r>
      <w:r>
        <w:rPr>
          <w:rFonts w:hint="eastAsia" w:ascii="Times New Roman" w:hAnsi="Times New Roman" w:eastAsia="仿宋_GB2312"/>
          <w:color w:val="auto"/>
          <w:sz w:val="32"/>
          <w:szCs w:val="32"/>
          <w:lang w:eastAsia="zh-CN"/>
        </w:rPr>
        <w:t>决算数等于年初预算数。</w:t>
      </w:r>
    </w:p>
    <w:p w14:paraId="68F7643D">
      <w:pPr>
        <w:pStyle w:val="16"/>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19</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农林水</w:t>
      </w:r>
      <w:r>
        <w:rPr>
          <w:rFonts w:hint="eastAsia" w:ascii="Times New Roman" w:hAnsi="Times New Roman" w:eastAsia="仿宋_GB2312"/>
          <w:color w:val="auto"/>
          <w:sz w:val="32"/>
          <w:szCs w:val="32"/>
        </w:rPr>
        <w:t>支出（类）</w:t>
      </w:r>
      <w:r>
        <w:rPr>
          <w:rFonts w:hint="eastAsia" w:ascii="Times New Roman" w:hAnsi="Times New Roman" w:eastAsia="仿宋_GB2312"/>
          <w:color w:val="auto"/>
          <w:sz w:val="32"/>
          <w:szCs w:val="32"/>
          <w:lang w:eastAsia="zh-CN"/>
        </w:rPr>
        <w:t>巩固脱贫攻坚成果衔接乡村振兴</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lang w:val="en-US" w:eastAsia="zh-CN"/>
        </w:rPr>
        <w:t>贷款奖补和贴息</w:t>
      </w:r>
      <w:r>
        <w:rPr>
          <w:rFonts w:hint="eastAsia" w:ascii="Times New Roman" w:hAnsi="Times New Roman" w:eastAsia="仿宋_GB2312"/>
          <w:color w:val="auto"/>
          <w:sz w:val="32"/>
          <w:szCs w:val="32"/>
        </w:rPr>
        <w:t>（项）。</w:t>
      </w:r>
    </w:p>
    <w:p w14:paraId="2B899A80">
      <w:pPr>
        <w:pStyle w:val="16"/>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165.86</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165.86</w:t>
      </w:r>
      <w:r>
        <w:rPr>
          <w:rFonts w:hint="eastAsia" w:ascii="Times New Roman" w:hAnsi="Times New Roman" w:eastAsia="仿宋_GB2312"/>
          <w:color w:val="auto"/>
          <w:sz w:val="32"/>
          <w:szCs w:val="32"/>
        </w:rPr>
        <w:t>万元，完成年初预算的100%，</w:t>
      </w:r>
      <w:r>
        <w:rPr>
          <w:rFonts w:hint="eastAsia" w:ascii="Times New Roman" w:hAnsi="Times New Roman" w:eastAsia="仿宋_GB2312"/>
          <w:color w:val="auto"/>
          <w:sz w:val="32"/>
          <w:szCs w:val="32"/>
          <w:lang w:eastAsia="zh-CN"/>
        </w:rPr>
        <w:t>决算数等于年初预算数。</w:t>
      </w:r>
    </w:p>
    <w:p w14:paraId="0FFCFFF9">
      <w:pPr>
        <w:pStyle w:val="16"/>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20</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农林水</w:t>
      </w:r>
      <w:r>
        <w:rPr>
          <w:rFonts w:hint="eastAsia" w:ascii="Times New Roman" w:hAnsi="Times New Roman" w:eastAsia="仿宋_GB2312"/>
          <w:color w:val="auto"/>
          <w:sz w:val="32"/>
          <w:szCs w:val="32"/>
        </w:rPr>
        <w:t>支出（类）</w:t>
      </w:r>
      <w:r>
        <w:rPr>
          <w:rFonts w:hint="eastAsia" w:ascii="Times New Roman" w:hAnsi="Times New Roman" w:eastAsia="仿宋_GB2312"/>
          <w:color w:val="auto"/>
          <w:sz w:val="32"/>
          <w:szCs w:val="32"/>
          <w:lang w:eastAsia="zh-CN"/>
        </w:rPr>
        <w:t>巩固脱贫攻坚成果衔接乡村振兴</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val="en-US" w:eastAsia="zh-CN"/>
        </w:rPr>
        <w:t>其他巩固脱贫攻坚成果衔接乡村振兴支出</w:t>
      </w:r>
      <w:r>
        <w:rPr>
          <w:rFonts w:hint="eastAsia" w:ascii="Times New Roman" w:hAnsi="Times New Roman" w:eastAsia="仿宋_GB2312"/>
          <w:color w:val="auto"/>
          <w:sz w:val="32"/>
          <w:szCs w:val="32"/>
        </w:rPr>
        <w:t>（项）。</w:t>
      </w:r>
    </w:p>
    <w:p w14:paraId="6DC28995">
      <w:pPr>
        <w:pStyle w:val="16"/>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9,930.21</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9,930.21</w:t>
      </w:r>
      <w:r>
        <w:rPr>
          <w:rFonts w:hint="eastAsia" w:ascii="Times New Roman" w:hAnsi="Times New Roman" w:eastAsia="仿宋_GB2312"/>
          <w:color w:val="auto"/>
          <w:sz w:val="32"/>
          <w:szCs w:val="32"/>
        </w:rPr>
        <w:t>万元，完成年初预算的100%，</w:t>
      </w:r>
      <w:r>
        <w:rPr>
          <w:rFonts w:hint="eastAsia" w:ascii="Times New Roman" w:hAnsi="Times New Roman" w:eastAsia="仿宋_GB2312"/>
          <w:color w:val="auto"/>
          <w:sz w:val="32"/>
          <w:szCs w:val="32"/>
          <w:lang w:eastAsia="zh-CN"/>
        </w:rPr>
        <w:t>决算数等于年初预算数。</w:t>
      </w:r>
    </w:p>
    <w:p w14:paraId="0949A9B7">
      <w:pPr>
        <w:pStyle w:val="16"/>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21</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农林水</w:t>
      </w:r>
      <w:r>
        <w:rPr>
          <w:rFonts w:hint="eastAsia" w:ascii="Times New Roman" w:hAnsi="Times New Roman" w:eastAsia="仿宋_GB2312"/>
          <w:color w:val="auto"/>
          <w:sz w:val="32"/>
          <w:szCs w:val="32"/>
        </w:rPr>
        <w:t>支出（类）</w:t>
      </w:r>
      <w:r>
        <w:rPr>
          <w:rFonts w:hint="eastAsia" w:ascii="Times New Roman" w:hAnsi="Times New Roman" w:eastAsia="仿宋_GB2312"/>
          <w:color w:val="auto"/>
          <w:sz w:val="32"/>
          <w:szCs w:val="32"/>
          <w:lang w:val="en-US" w:eastAsia="zh-CN"/>
        </w:rPr>
        <w:t>目标价格补贴</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val="en-US" w:eastAsia="zh-CN"/>
        </w:rPr>
        <w:t>其他目标价格补贴</w:t>
      </w:r>
      <w:r>
        <w:rPr>
          <w:rFonts w:hint="eastAsia" w:ascii="Times New Roman" w:hAnsi="Times New Roman" w:eastAsia="仿宋_GB2312"/>
          <w:color w:val="auto"/>
          <w:sz w:val="32"/>
          <w:szCs w:val="32"/>
        </w:rPr>
        <w:t>（项）。</w:t>
      </w:r>
    </w:p>
    <w:p w14:paraId="5DBEF4B4">
      <w:pPr>
        <w:pStyle w:val="16"/>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1,436.11</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1,436.11</w:t>
      </w:r>
      <w:r>
        <w:rPr>
          <w:rFonts w:hint="eastAsia" w:ascii="Times New Roman" w:hAnsi="Times New Roman" w:eastAsia="仿宋_GB2312"/>
          <w:color w:val="auto"/>
          <w:sz w:val="32"/>
          <w:szCs w:val="32"/>
        </w:rPr>
        <w:t>万元，完成年初预算的100%，</w:t>
      </w:r>
      <w:r>
        <w:rPr>
          <w:rFonts w:hint="eastAsia" w:ascii="Times New Roman" w:hAnsi="Times New Roman" w:eastAsia="仿宋_GB2312"/>
          <w:color w:val="auto"/>
          <w:sz w:val="32"/>
          <w:szCs w:val="32"/>
          <w:lang w:eastAsia="zh-CN"/>
        </w:rPr>
        <w:t>决算数等于年初预算数。</w:t>
      </w:r>
    </w:p>
    <w:p w14:paraId="1B1DBB57">
      <w:pPr>
        <w:pStyle w:val="16"/>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22</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val="en-US" w:eastAsia="zh-CN"/>
        </w:rPr>
        <w:t>商业服务支出等支出</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val="en-US" w:eastAsia="zh-CN"/>
        </w:rPr>
        <w:t>商业流通事务</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val="en-US" w:eastAsia="zh-CN"/>
        </w:rPr>
        <w:t>其他商业流通事务支出</w:t>
      </w:r>
      <w:r>
        <w:rPr>
          <w:rFonts w:hint="eastAsia" w:ascii="Times New Roman" w:hAnsi="Times New Roman" w:eastAsia="仿宋_GB2312"/>
          <w:color w:val="auto"/>
          <w:sz w:val="32"/>
          <w:szCs w:val="32"/>
        </w:rPr>
        <w:t>（项）。</w:t>
      </w:r>
    </w:p>
    <w:p w14:paraId="747B189C">
      <w:pPr>
        <w:pStyle w:val="16"/>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6</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6</w:t>
      </w:r>
      <w:r>
        <w:rPr>
          <w:rFonts w:hint="eastAsia" w:ascii="Times New Roman" w:hAnsi="Times New Roman" w:eastAsia="仿宋_GB2312"/>
          <w:color w:val="auto"/>
          <w:sz w:val="32"/>
          <w:szCs w:val="32"/>
        </w:rPr>
        <w:t>万元，完成年初预算的100%，</w:t>
      </w:r>
      <w:r>
        <w:rPr>
          <w:rFonts w:hint="eastAsia" w:ascii="Times New Roman" w:hAnsi="Times New Roman" w:eastAsia="仿宋_GB2312"/>
          <w:color w:val="auto"/>
          <w:sz w:val="32"/>
          <w:szCs w:val="32"/>
          <w:lang w:eastAsia="zh-CN"/>
        </w:rPr>
        <w:t>决算数等于年初预算数。</w:t>
      </w:r>
    </w:p>
    <w:p w14:paraId="0DCE84B0">
      <w:pPr>
        <w:pStyle w:val="16"/>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23</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val="en-US" w:eastAsia="zh-CN"/>
        </w:rPr>
        <w:t>金融支出</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val="en-US" w:eastAsia="zh-CN"/>
        </w:rPr>
        <w:t>金融发展支出</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val="en-US" w:eastAsia="zh-CN"/>
        </w:rPr>
        <w:t>其他金融发展支出</w:t>
      </w:r>
      <w:r>
        <w:rPr>
          <w:rFonts w:hint="eastAsia" w:ascii="Times New Roman" w:hAnsi="Times New Roman" w:eastAsia="仿宋_GB2312"/>
          <w:color w:val="auto"/>
          <w:sz w:val="32"/>
          <w:szCs w:val="32"/>
        </w:rPr>
        <w:t>（项）。</w:t>
      </w:r>
    </w:p>
    <w:p w14:paraId="610D3E28">
      <w:pPr>
        <w:pStyle w:val="16"/>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12</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12</w:t>
      </w:r>
      <w:r>
        <w:rPr>
          <w:rFonts w:hint="eastAsia" w:ascii="Times New Roman" w:hAnsi="Times New Roman" w:eastAsia="仿宋_GB2312"/>
          <w:color w:val="auto"/>
          <w:sz w:val="32"/>
          <w:szCs w:val="32"/>
        </w:rPr>
        <w:t>万元，完成年初预算的100%，</w:t>
      </w:r>
      <w:r>
        <w:rPr>
          <w:rFonts w:hint="eastAsia" w:ascii="Times New Roman" w:hAnsi="Times New Roman" w:eastAsia="仿宋_GB2312"/>
          <w:color w:val="auto"/>
          <w:sz w:val="32"/>
          <w:szCs w:val="32"/>
          <w:lang w:eastAsia="zh-CN"/>
        </w:rPr>
        <w:t>决算数等于年初预算数。</w:t>
      </w:r>
    </w:p>
    <w:p w14:paraId="1DEF108B">
      <w:pPr>
        <w:pStyle w:val="16"/>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24、</w:t>
      </w:r>
      <w:r>
        <w:rPr>
          <w:rFonts w:hint="eastAsia" w:ascii="Times New Roman" w:hAnsi="Times New Roman" w:eastAsia="仿宋_GB2312"/>
          <w:color w:val="auto"/>
          <w:sz w:val="32"/>
          <w:szCs w:val="32"/>
          <w:lang w:eastAsia="zh-CN"/>
        </w:rPr>
        <w:t>住房保障支出</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eastAsia="zh-CN"/>
        </w:rPr>
        <w:t>住房改革支出</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eastAsia="zh-CN"/>
        </w:rPr>
        <w:t>住房公积金（</w:t>
      </w:r>
      <w:r>
        <w:rPr>
          <w:rFonts w:hint="eastAsia" w:ascii="Times New Roman" w:hAnsi="Times New Roman" w:eastAsia="仿宋_GB2312"/>
          <w:color w:val="auto"/>
          <w:sz w:val="32"/>
          <w:szCs w:val="32"/>
        </w:rPr>
        <w:t>项）。</w:t>
      </w:r>
    </w:p>
    <w:p w14:paraId="249EB61B">
      <w:pPr>
        <w:pStyle w:val="16"/>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76.36</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76.36</w:t>
      </w:r>
      <w:r>
        <w:rPr>
          <w:rFonts w:hint="eastAsia" w:ascii="Times New Roman" w:hAnsi="Times New Roman" w:eastAsia="仿宋_GB2312"/>
          <w:color w:val="auto"/>
          <w:sz w:val="32"/>
          <w:szCs w:val="32"/>
        </w:rPr>
        <w:t>万元，完成年初预算的100%，</w:t>
      </w:r>
      <w:r>
        <w:rPr>
          <w:rFonts w:hint="eastAsia" w:ascii="Times New Roman" w:hAnsi="Times New Roman" w:eastAsia="仿宋_GB2312"/>
          <w:color w:val="auto"/>
          <w:sz w:val="32"/>
          <w:szCs w:val="32"/>
          <w:lang w:eastAsia="zh-CN"/>
        </w:rPr>
        <w:t>决算数等于年初预算数。</w:t>
      </w:r>
    </w:p>
    <w:p w14:paraId="07264226">
      <w:pPr>
        <w:pStyle w:val="16"/>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2</w:t>
      </w:r>
      <w:r>
        <w:rPr>
          <w:rFonts w:hint="eastAsia" w:ascii="Times New Roman" w:hAnsi="Times New Roman" w:eastAsia="仿宋_GB2312"/>
          <w:color w:val="auto"/>
          <w:sz w:val="32"/>
          <w:szCs w:val="32"/>
          <w:lang w:val="en-US" w:eastAsia="zh-CN"/>
        </w:rPr>
        <w:t>5</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val="en-US" w:eastAsia="zh-CN"/>
        </w:rPr>
        <w:t>粮油物资储备支出</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val="en-US" w:eastAsia="zh-CN"/>
        </w:rPr>
        <w:t>粮油物资事务</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val="en-US" w:eastAsia="zh-CN"/>
        </w:rPr>
        <w:t>其他粮油物资事务支出</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项）。</w:t>
      </w:r>
    </w:p>
    <w:p w14:paraId="51BAA12A">
      <w:pPr>
        <w:pStyle w:val="16"/>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1,040.9</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1,040.9</w:t>
      </w:r>
      <w:r>
        <w:rPr>
          <w:rFonts w:hint="eastAsia" w:ascii="Times New Roman" w:hAnsi="Times New Roman" w:eastAsia="仿宋_GB2312"/>
          <w:color w:val="auto"/>
          <w:sz w:val="32"/>
          <w:szCs w:val="32"/>
        </w:rPr>
        <w:t>万元，完成年初预算的100%，</w:t>
      </w:r>
      <w:r>
        <w:rPr>
          <w:rFonts w:hint="eastAsia" w:ascii="Times New Roman" w:hAnsi="Times New Roman" w:eastAsia="仿宋_GB2312"/>
          <w:color w:val="auto"/>
          <w:sz w:val="32"/>
          <w:szCs w:val="32"/>
          <w:lang w:eastAsia="zh-CN"/>
        </w:rPr>
        <w:t>决算数等于年初预算数。</w:t>
      </w:r>
    </w:p>
    <w:p w14:paraId="2C0902C4">
      <w:pPr>
        <w:pStyle w:val="16"/>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26、</w:t>
      </w:r>
      <w:r>
        <w:rPr>
          <w:rFonts w:hint="eastAsia" w:ascii="Times New Roman" w:hAnsi="Times New Roman" w:eastAsia="仿宋_GB2312"/>
          <w:color w:val="auto"/>
          <w:sz w:val="32"/>
          <w:szCs w:val="32"/>
          <w:lang w:eastAsia="zh-CN"/>
        </w:rPr>
        <w:t>社会保障和就业</w:t>
      </w:r>
      <w:r>
        <w:rPr>
          <w:rFonts w:hint="eastAsia" w:ascii="Times New Roman" w:hAnsi="Times New Roman" w:eastAsia="仿宋_GB2312"/>
          <w:color w:val="auto"/>
          <w:sz w:val="32"/>
          <w:szCs w:val="32"/>
        </w:rPr>
        <w:t>支出（类）行政事业</w:t>
      </w:r>
      <w:r>
        <w:rPr>
          <w:rFonts w:hint="eastAsia" w:ascii="Times New Roman" w:hAnsi="Times New Roman" w:eastAsia="仿宋_GB2312"/>
          <w:color w:val="auto"/>
          <w:sz w:val="32"/>
          <w:szCs w:val="32"/>
          <w:lang w:eastAsia="zh-CN"/>
        </w:rPr>
        <w:t>单位养老支出</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eastAsia="zh-CN"/>
        </w:rPr>
        <w:t>机关事业单位基本养老保险缴费支出</w:t>
      </w:r>
      <w:r>
        <w:rPr>
          <w:rFonts w:hint="eastAsia" w:ascii="Times New Roman" w:hAnsi="Times New Roman" w:eastAsia="仿宋_GB2312"/>
          <w:color w:val="auto"/>
          <w:sz w:val="32"/>
          <w:szCs w:val="32"/>
        </w:rPr>
        <w:t>（项）。</w:t>
      </w:r>
    </w:p>
    <w:p w14:paraId="62098274">
      <w:pPr>
        <w:pStyle w:val="16"/>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180.23</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180.23</w:t>
      </w:r>
      <w:r>
        <w:rPr>
          <w:rFonts w:hint="eastAsia" w:ascii="Times New Roman" w:hAnsi="Times New Roman" w:eastAsia="仿宋_GB2312"/>
          <w:color w:val="auto"/>
          <w:sz w:val="32"/>
          <w:szCs w:val="32"/>
        </w:rPr>
        <w:t>万元，完成年初预算的100%，</w:t>
      </w:r>
      <w:r>
        <w:rPr>
          <w:rFonts w:hint="eastAsia" w:ascii="Times New Roman" w:hAnsi="Times New Roman" w:eastAsia="仿宋_GB2312"/>
          <w:color w:val="auto"/>
          <w:sz w:val="32"/>
          <w:szCs w:val="32"/>
          <w:lang w:eastAsia="zh-CN"/>
        </w:rPr>
        <w:t>决算数等于年初预算数。</w:t>
      </w:r>
    </w:p>
    <w:p w14:paraId="634557D5">
      <w:pPr>
        <w:pStyle w:val="16"/>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27、</w:t>
      </w:r>
      <w:r>
        <w:rPr>
          <w:rFonts w:hint="eastAsia" w:ascii="Times New Roman" w:hAnsi="Times New Roman" w:eastAsia="仿宋_GB2312"/>
          <w:color w:val="auto"/>
          <w:sz w:val="32"/>
          <w:szCs w:val="32"/>
          <w:lang w:eastAsia="zh-CN"/>
        </w:rPr>
        <w:t>社会保障和就业</w:t>
      </w:r>
      <w:r>
        <w:rPr>
          <w:rFonts w:hint="eastAsia" w:ascii="Times New Roman" w:hAnsi="Times New Roman" w:eastAsia="仿宋_GB2312"/>
          <w:color w:val="auto"/>
          <w:sz w:val="32"/>
          <w:szCs w:val="32"/>
        </w:rPr>
        <w:t>支出（类）</w:t>
      </w:r>
      <w:r>
        <w:rPr>
          <w:rFonts w:hint="eastAsia" w:ascii="Times New Roman" w:hAnsi="Times New Roman" w:eastAsia="仿宋_GB2312"/>
          <w:color w:val="auto"/>
          <w:sz w:val="32"/>
          <w:szCs w:val="32"/>
          <w:lang w:val="en-US" w:eastAsia="zh-CN"/>
        </w:rPr>
        <w:t>就业补助</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val="en-US" w:eastAsia="zh-CN"/>
        </w:rPr>
        <w:t>公益性岗位补贴</w:t>
      </w:r>
      <w:r>
        <w:rPr>
          <w:rFonts w:hint="eastAsia" w:ascii="Times New Roman" w:hAnsi="Times New Roman" w:eastAsia="仿宋_GB2312"/>
          <w:color w:val="auto"/>
          <w:sz w:val="32"/>
          <w:szCs w:val="32"/>
        </w:rPr>
        <w:t>（项）。</w:t>
      </w:r>
    </w:p>
    <w:p w14:paraId="4CAB9F64">
      <w:pPr>
        <w:pStyle w:val="16"/>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726.25</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726.25</w:t>
      </w:r>
      <w:r>
        <w:rPr>
          <w:rFonts w:hint="eastAsia" w:ascii="Times New Roman" w:hAnsi="Times New Roman" w:eastAsia="仿宋_GB2312"/>
          <w:color w:val="auto"/>
          <w:sz w:val="32"/>
          <w:szCs w:val="32"/>
        </w:rPr>
        <w:t>万元，完成年初预算的100%，</w:t>
      </w:r>
      <w:r>
        <w:rPr>
          <w:rFonts w:hint="eastAsia" w:ascii="Times New Roman" w:hAnsi="Times New Roman" w:eastAsia="仿宋_GB2312"/>
          <w:color w:val="auto"/>
          <w:sz w:val="32"/>
          <w:szCs w:val="32"/>
          <w:lang w:eastAsia="zh-CN"/>
        </w:rPr>
        <w:t>决算数等于年初预算数。</w:t>
      </w:r>
    </w:p>
    <w:p w14:paraId="2B8551C9">
      <w:pPr>
        <w:pStyle w:val="16"/>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28</w:t>
      </w:r>
      <w:r>
        <w:rPr>
          <w:rFonts w:hint="eastAsia" w:ascii="Times New Roman" w:hAnsi="Times New Roman" w:eastAsia="仿宋_GB2312"/>
          <w:color w:val="auto"/>
          <w:sz w:val="32"/>
          <w:szCs w:val="32"/>
        </w:rPr>
        <w:t>、社会保障和就业支出（类）抚恤（款）死亡抚恤（项）。</w:t>
      </w:r>
    </w:p>
    <w:p w14:paraId="2D06EFF3">
      <w:pPr>
        <w:pStyle w:val="16"/>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52.08</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52.08</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决算数等于年初预算数。</w:t>
      </w:r>
    </w:p>
    <w:p w14:paraId="7FC88C00">
      <w:pPr>
        <w:pStyle w:val="16"/>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2</w:t>
      </w:r>
      <w:r>
        <w:rPr>
          <w:rFonts w:hint="eastAsia" w:ascii="Times New Roman" w:hAnsi="Times New Roman" w:eastAsia="仿宋_GB2312"/>
          <w:color w:val="auto"/>
          <w:sz w:val="32"/>
          <w:szCs w:val="32"/>
          <w:lang w:val="en-US" w:eastAsia="zh-CN"/>
        </w:rPr>
        <w:t>9</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节能环保支出</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eastAsia="zh-CN"/>
        </w:rPr>
        <w:t>自然生态保护</w:t>
      </w:r>
      <w:r>
        <w:rPr>
          <w:rFonts w:hint="eastAsia" w:ascii="Times New Roman" w:hAnsi="Times New Roman" w:eastAsia="仿宋_GB2312"/>
          <w:color w:val="auto"/>
          <w:sz w:val="32"/>
          <w:szCs w:val="32"/>
        </w:rPr>
        <w:t>（款）农</w:t>
      </w:r>
      <w:r>
        <w:rPr>
          <w:rFonts w:hint="eastAsia" w:ascii="Times New Roman" w:hAnsi="Times New Roman" w:eastAsia="仿宋_GB2312"/>
          <w:color w:val="auto"/>
          <w:sz w:val="32"/>
          <w:szCs w:val="32"/>
          <w:lang w:eastAsia="zh-CN"/>
        </w:rPr>
        <w:t>村环境保护</w:t>
      </w:r>
      <w:r>
        <w:rPr>
          <w:rFonts w:hint="eastAsia" w:ascii="Times New Roman" w:hAnsi="Times New Roman" w:eastAsia="仿宋_GB2312"/>
          <w:color w:val="auto"/>
          <w:sz w:val="32"/>
          <w:szCs w:val="32"/>
        </w:rPr>
        <w:t>（项）。</w:t>
      </w:r>
    </w:p>
    <w:p w14:paraId="6D67842B">
      <w:pPr>
        <w:pStyle w:val="16"/>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6.06</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6.06万</w:t>
      </w:r>
      <w:r>
        <w:rPr>
          <w:rFonts w:hint="eastAsia" w:ascii="Times New Roman" w:hAnsi="Times New Roman" w:eastAsia="仿宋_GB2312"/>
          <w:color w:val="auto"/>
          <w:sz w:val="32"/>
          <w:szCs w:val="32"/>
        </w:rPr>
        <w:t>元，完成年初预算的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决算数等于年初预算数。</w:t>
      </w:r>
    </w:p>
    <w:p w14:paraId="21F7C79A">
      <w:pPr>
        <w:pStyle w:val="16"/>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30</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一般公共服务支出</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eastAsia="zh-CN"/>
        </w:rPr>
        <w:t>发展与改革事务</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eastAsia="zh-CN"/>
        </w:rPr>
        <w:t>其他发展与改革事务支出</w:t>
      </w:r>
      <w:r>
        <w:rPr>
          <w:rFonts w:hint="eastAsia" w:ascii="Times New Roman" w:hAnsi="Times New Roman" w:eastAsia="仿宋_GB2312"/>
          <w:color w:val="auto"/>
          <w:sz w:val="32"/>
          <w:szCs w:val="32"/>
        </w:rPr>
        <w:t>（项）。</w:t>
      </w:r>
    </w:p>
    <w:p w14:paraId="22C36F2F">
      <w:pPr>
        <w:pStyle w:val="16"/>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57.5</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57.5</w:t>
      </w:r>
      <w:r>
        <w:rPr>
          <w:rFonts w:hint="eastAsia" w:ascii="Times New Roman" w:hAnsi="Times New Roman" w:eastAsia="仿宋_GB2312"/>
          <w:color w:val="auto"/>
          <w:sz w:val="32"/>
          <w:szCs w:val="32"/>
        </w:rPr>
        <w:t>元，完成年初预算的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决算数等于年初预算数。</w:t>
      </w:r>
    </w:p>
    <w:p w14:paraId="13B69D84">
      <w:pPr>
        <w:pStyle w:val="16"/>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31</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一般公共服务支出</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val="en-US" w:eastAsia="zh-CN"/>
        </w:rPr>
        <w:t>纪检监察事务</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val="en-US" w:eastAsia="zh-CN"/>
        </w:rPr>
        <w:t>一般行政管理事务</w:t>
      </w:r>
      <w:r>
        <w:rPr>
          <w:rFonts w:hint="eastAsia" w:ascii="Times New Roman" w:hAnsi="Times New Roman" w:eastAsia="仿宋_GB2312"/>
          <w:color w:val="auto"/>
          <w:sz w:val="32"/>
          <w:szCs w:val="32"/>
        </w:rPr>
        <w:t>（项）。</w:t>
      </w:r>
    </w:p>
    <w:p w14:paraId="321DE6FA">
      <w:pPr>
        <w:pStyle w:val="16"/>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3.2</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3.2</w:t>
      </w:r>
      <w:r>
        <w:rPr>
          <w:rFonts w:hint="eastAsia" w:ascii="Times New Roman" w:hAnsi="Times New Roman" w:eastAsia="仿宋_GB2312"/>
          <w:color w:val="auto"/>
          <w:sz w:val="32"/>
          <w:szCs w:val="32"/>
        </w:rPr>
        <w:t>元，完成年初预算的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决算数等于年初预算数。</w:t>
      </w:r>
    </w:p>
    <w:p w14:paraId="71BBA721">
      <w:pPr>
        <w:pStyle w:val="16"/>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32</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一般公共服务支出</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val="en-US" w:eastAsia="zh-CN"/>
        </w:rPr>
        <w:t>统战事务</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eastAsia="zh-CN"/>
        </w:rPr>
        <w:t>其他</w:t>
      </w:r>
      <w:r>
        <w:rPr>
          <w:rFonts w:hint="eastAsia" w:ascii="Times New Roman" w:hAnsi="Times New Roman" w:eastAsia="仿宋_GB2312"/>
          <w:color w:val="auto"/>
          <w:sz w:val="32"/>
          <w:szCs w:val="32"/>
          <w:lang w:val="en-US" w:eastAsia="zh-CN"/>
        </w:rPr>
        <w:t>统战</w:t>
      </w:r>
      <w:r>
        <w:rPr>
          <w:rFonts w:hint="eastAsia" w:ascii="Times New Roman" w:hAnsi="Times New Roman" w:eastAsia="仿宋_GB2312"/>
          <w:color w:val="auto"/>
          <w:sz w:val="32"/>
          <w:szCs w:val="32"/>
          <w:lang w:eastAsia="zh-CN"/>
        </w:rPr>
        <w:t>事务支出</w:t>
      </w:r>
      <w:r>
        <w:rPr>
          <w:rFonts w:hint="eastAsia" w:ascii="Times New Roman" w:hAnsi="Times New Roman" w:eastAsia="仿宋_GB2312"/>
          <w:color w:val="auto"/>
          <w:sz w:val="32"/>
          <w:szCs w:val="32"/>
        </w:rPr>
        <w:t>（项）。</w:t>
      </w:r>
    </w:p>
    <w:p w14:paraId="2411B2EC">
      <w:pPr>
        <w:pStyle w:val="16"/>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0.55</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0.55</w:t>
      </w:r>
      <w:r>
        <w:rPr>
          <w:rFonts w:hint="eastAsia" w:ascii="Times New Roman" w:hAnsi="Times New Roman" w:eastAsia="仿宋_GB2312"/>
          <w:color w:val="auto"/>
          <w:sz w:val="32"/>
          <w:szCs w:val="32"/>
        </w:rPr>
        <w:t>元，完成年初预算的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决算数等于年初预算数。</w:t>
      </w:r>
    </w:p>
    <w:p w14:paraId="7542C403">
      <w:pPr>
        <w:pStyle w:val="16"/>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六、一般公共预算财政拨款基本支出决算情况说明</w:t>
      </w:r>
    </w:p>
    <w:p w14:paraId="4C2EFEC2">
      <w:pPr>
        <w:pStyle w:val="16"/>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年度财政拨款基本支出</w:t>
      </w:r>
      <w:r>
        <w:rPr>
          <w:rFonts w:hint="eastAsia" w:ascii="Times New Roman" w:hAnsi="Times New Roman" w:eastAsia="仿宋_GB2312"/>
          <w:color w:val="auto"/>
          <w:sz w:val="32"/>
          <w:szCs w:val="32"/>
          <w:lang w:val="en-US" w:eastAsia="zh-CN"/>
        </w:rPr>
        <w:t>2,191.57</w:t>
      </w:r>
      <w:r>
        <w:rPr>
          <w:rFonts w:hint="eastAsia" w:ascii="Times New Roman" w:hAnsi="Times New Roman" w:eastAsia="仿宋_GB2312"/>
          <w:color w:val="auto"/>
          <w:sz w:val="32"/>
          <w:szCs w:val="32"/>
        </w:rPr>
        <w:t>万元，其中：</w:t>
      </w:r>
    </w:p>
    <w:p w14:paraId="6591C466">
      <w:pPr>
        <w:pStyle w:val="16"/>
        <w:keepNext w:val="0"/>
        <w:keepLines w:val="0"/>
        <w:pageBreakBefore w:val="0"/>
        <w:widowControl w:val="0"/>
        <w:kinsoku/>
        <w:wordWrap/>
        <w:overflowPunct/>
        <w:topLinePunct w:val="0"/>
        <w:bidi w:val="0"/>
        <w:snapToGrid/>
        <w:spacing w:line="560" w:lineRule="exact"/>
        <w:ind w:firstLine="643" w:firstLineChars="200"/>
        <w:jc w:val="both"/>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b/>
          <w:bCs/>
          <w:color w:val="auto"/>
          <w:sz w:val="32"/>
          <w:szCs w:val="32"/>
        </w:rPr>
        <w:t>人员经费</w:t>
      </w:r>
      <w:r>
        <w:rPr>
          <w:rFonts w:hint="eastAsia" w:ascii="Times New Roman" w:hAnsi="Times New Roman" w:eastAsia="仿宋_GB2312"/>
          <w:b/>
          <w:bCs/>
          <w:color w:val="auto"/>
          <w:sz w:val="32"/>
          <w:szCs w:val="32"/>
          <w:lang w:val="en-US" w:eastAsia="zh-CN"/>
        </w:rPr>
        <w:t>1,797.02</w:t>
      </w:r>
      <w:r>
        <w:rPr>
          <w:rFonts w:hint="eastAsia" w:ascii="Times New Roman" w:hAnsi="Times New Roman" w:eastAsia="仿宋_GB2312"/>
          <w:color w:val="auto"/>
          <w:sz w:val="32"/>
          <w:szCs w:val="32"/>
        </w:rPr>
        <w:t>万元，占基本支出的</w:t>
      </w:r>
      <w:r>
        <w:rPr>
          <w:rFonts w:hint="eastAsia" w:ascii="Times New Roman" w:hAnsi="Times New Roman" w:eastAsia="仿宋_GB2312"/>
          <w:color w:val="auto"/>
          <w:sz w:val="32"/>
          <w:szCs w:val="32"/>
          <w:lang w:val="en-US" w:eastAsia="zh-CN"/>
        </w:rPr>
        <w:t>82.0</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主要包括基本工资</w:t>
      </w:r>
      <w:r>
        <w:rPr>
          <w:rFonts w:hint="eastAsia" w:ascii="Times New Roman" w:hAnsi="Times New Roman" w:eastAsia="仿宋_GB2312"/>
          <w:color w:val="auto"/>
          <w:sz w:val="32"/>
          <w:szCs w:val="32"/>
          <w:lang w:val="en-US" w:eastAsia="zh-CN"/>
        </w:rPr>
        <w:t>881.55万元</w:t>
      </w:r>
      <w:r>
        <w:rPr>
          <w:rFonts w:hint="eastAsia" w:ascii="Times New Roman" w:hAnsi="Times New Roman" w:eastAsia="仿宋_GB2312"/>
          <w:color w:val="auto"/>
          <w:sz w:val="32"/>
          <w:szCs w:val="32"/>
        </w:rPr>
        <w:t>、津贴补贴</w:t>
      </w:r>
      <w:r>
        <w:rPr>
          <w:rFonts w:hint="eastAsia" w:ascii="Times New Roman" w:hAnsi="Times New Roman" w:eastAsia="仿宋_GB2312"/>
          <w:color w:val="auto"/>
          <w:sz w:val="32"/>
          <w:szCs w:val="32"/>
          <w:lang w:val="en-US" w:eastAsia="zh-CN"/>
        </w:rPr>
        <w:t>329.8万元</w:t>
      </w:r>
      <w:r>
        <w:rPr>
          <w:rFonts w:hint="eastAsia" w:ascii="Times New Roman" w:hAnsi="Times New Roman" w:eastAsia="仿宋_GB2312"/>
          <w:color w:val="auto"/>
          <w:sz w:val="32"/>
          <w:szCs w:val="32"/>
        </w:rPr>
        <w:t>、奖金1</w:t>
      </w:r>
      <w:r>
        <w:rPr>
          <w:rFonts w:hint="eastAsia" w:ascii="Times New Roman" w:hAnsi="Times New Roman" w:eastAsia="仿宋_GB2312"/>
          <w:color w:val="auto"/>
          <w:sz w:val="32"/>
          <w:szCs w:val="32"/>
          <w:lang w:val="en-US" w:eastAsia="zh-CN"/>
        </w:rPr>
        <w:t>05.24万元</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val="en-US" w:eastAsia="zh-CN"/>
        </w:rPr>
        <w:t>绩效工资1.2万元、</w:t>
      </w:r>
      <w:r>
        <w:rPr>
          <w:rFonts w:hint="eastAsia" w:ascii="Times New Roman" w:hAnsi="Times New Roman" w:eastAsia="仿宋_GB2312"/>
          <w:color w:val="auto"/>
          <w:sz w:val="32"/>
          <w:szCs w:val="32"/>
        </w:rPr>
        <w:t>伙食补助费</w:t>
      </w:r>
      <w:r>
        <w:rPr>
          <w:rFonts w:hint="eastAsia" w:ascii="Times New Roman" w:hAnsi="Times New Roman" w:eastAsia="仿宋_GB2312"/>
          <w:color w:val="auto"/>
          <w:sz w:val="32"/>
          <w:szCs w:val="32"/>
          <w:lang w:val="en-US" w:eastAsia="zh-CN"/>
        </w:rPr>
        <w:t>36</w:t>
      </w:r>
      <w:r>
        <w:rPr>
          <w:rFonts w:hint="eastAsia" w:ascii="Times New Roman" w:hAnsi="Times New Roman" w:eastAsia="仿宋_GB2312"/>
          <w:color w:val="auto"/>
          <w:sz w:val="32"/>
          <w:szCs w:val="32"/>
        </w:rPr>
        <w:t>.01</w:t>
      </w:r>
      <w:r>
        <w:rPr>
          <w:rFonts w:hint="eastAsia" w:ascii="Times New Roman" w:hAnsi="Times New Roman" w:eastAsia="仿宋_GB2312"/>
          <w:color w:val="auto"/>
          <w:sz w:val="32"/>
          <w:szCs w:val="32"/>
          <w:lang w:val="en-US" w:eastAsia="zh-CN"/>
        </w:rPr>
        <w:t>万元、机关事业单位基本养老保险缴费180.23万元、职工基本医疗保险缴费80.7万元、其他社会保障缴费19.7万元、住房公积金86.4万元、其他工资福利支出11.72万元，生活补助52.08万元、其他对个人和家庭的补助12.38万元。</w:t>
      </w:r>
    </w:p>
    <w:p w14:paraId="17692450">
      <w:pPr>
        <w:pStyle w:val="16"/>
        <w:keepNext w:val="0"/>
        <w:keepLines w:val="0"/>
        <w:pageBreakBefore w:val="0"/>
        <w:widowControl w:val="0"/>
        <w:kinsoku/>
        <w:wordWrap/>
        <w:overflowPunct/>
        <w:topLinePunct w:val="0"/>
        <w:bidi w:val="0"/>
        <w:snapToGrid/>
        <w:spacing w:line="560" w:lineRule="exact"/>
        <w:ind w:firstLine="643" w:firstLineChars="200"/>
        <w:jc w:val="both"/>
        <w:textAlignment w:val="auto"/>
        <w:rPr>
          <w:rFonts w:hint="eastAsia" w:ascii="Times New Roman" w:hAnsi="Times New Roman" w:eastAsia="仿宋_GB2312"/>
          <w:b/>
          <w:color w:val="auto"/>
          <w:sz w:val="32"/>
          <w:szCs w:val="32"/>
        </w:rPr>
      </w:pPr>
      <w:r>
        <w:rPr>
          <w:rFonts w:hint="eastAsia" w:ascii="Times New Roman" w:hAnsi="Times New Roman" w:eastAsia="仿宋_GB2312"/>
          <w:b/>
          <w:bCs/>
          <w:color w:val="auto"/>
          <w:sz w:val="32"/>
          <w:szCs w:val="32"/>
        </w:rPr>
        <w:t>公用经费</w:t>
      </w:r>
      <w:r>
        <w:rPr>
          <w:rFonts w:hint="eastAsia" w:ascii="Times New Roman" w:hAnsi="Times New Roman" w:eastAsia="仿宋_GB2312"/>
          <w:b/>
          <w:bCs/>
          <w:color w:val="auto"/>
          <w:sz w:val="32"/>
          <w:szCs w:val="32"/>
          <w:lang w:val="en-US" w:eastAsia="zh-CN"/>
        </w:rPr>
        <w:t>394.55</w:t>
      </w:r>
      <w:r>
        <w:rPr>
          <w:rFonts w:hint="eastAsia" w:ascii="Times New Roman" w:hAnsi="Times New Roman" w:eastAsia="仿宋_GB2312"/>
          <w:color w:val="auto"/>
          <w:sz w:val="32"/>
          <w:szCs w:val="32"/>
        </w:rPr>
        <w:t>万元，占基本支出的</w:t>
      </w:r>
      <w:r>
        <w:rPr>
          <w:rFonts w:hint="eastAsia" w:ascii="Times New Roman" w:hAnsi="Times New Roman" w:eastAsia="仿宋_GB2312"/>
          <w:color w:val="auto"/>
          <w:sz w:val="32"/>
          <w:szCs w:val="32"/>
          <w:lang w:val="en-US" w:eastAsia="zh-CN"/>
        </w:rPr>
        <w:t>18.0</w:t>
      </w:r>
      <w:r>
        <w:rPr>
          <w:rFonts w:hint="eastAsia" w:ascii="Times New Roman" w:hAnsi="Times New Roman" w:eastAsia="仿宋_GB2312"/>
          <w:color w:val="auto"/>
          <w:sz w:val="32"/>
          <w:szCs w:val="32"/>
        </w:rPr>
        <w:t>%，主要包括办公费</w:t>
      </w:r>
      <w:r>
        <w:rPr>
          <w:rFonts w:hint="eastAsia" w:ascii="Times New Roman" w:hAnsi="Times New Roman" w:eastAsia="仿宋_GB2312"/>
          <w:color w:val="auto"/>
          <w:sz w:val="32"/>
          <w:szCs w:val="32"/>
          <w:lang w:val="en-US" w:eastAsia="zh-CN"/>
        </w:rPr>
        <w:t>57.12万元</w:t>
      </w:r>
      <w:r>
        <w:rPr>
          <w:rFonts w:hint="eastAsia" w:ascii="Times New Roman" w:hAnsi="Times New Roman" w:eastAsia="仿宋_GB2312"/>
          <w:color w:val="auto"/>
          <w:sz w:val="32"/>
          <w:szCs w:val="32"/>
        </w:rPr>
        <w:t>、印刷费</w:t>
      </w:r>
      <w:r>
        <w:rPr>
          <w:rFonts w:hint="eastAsia" w:ascii="Times New Roman" w:hAnsi="Times New Roman" w:eastAsia="仿宋_GB2312"/>
          <w:color w:val="auto"/>
          <w:sz w:val="32"/>
          <w:szCs w:val="32"/>
          <w:lang w:val="en-US" w:eastAsia="zh-CN"/>
        </w:rPr>
        <w:t>75.08万元</w:t>
      </w:r>
      <w:r>
        <w:rPr>
          <w:rFonts w:hint="eastAsia" w:ascii="Times New Roman" w:hAnsi="Times New Roman" w:eastAsia="仿宋_GB2312"/>
          <w:color w:val="auto"/>
          <w:sz w:val="32"/>
          <w:szCs w:val="32"/>
        </w:rPr>
        <w:t>、水费</w:t>
      </w:r>
      <w:r>
        <w:rPr>
          <w:rFonts w:hint="eastAsia" w:ascii="Times New Roman" w:hAnsi="Times New Roman" w:eastAsia="仿宋_GB2312"/>
          <w:color w:val="auto"/>
          <w:sz w:val="32"/>
          <w:szCs w:val="32"/>
          <w:lang w:val="en-US" w:eastAsia="zh-CN"/>
        </w:rPr>
        <w:t>3.02万元、电费10.63万元、邮电费3.29万元、差旅费101.9元、维修（护）费1.61万元、租赁费2.19万元、会议费2.4万元、公务接待费7.59万元、劳务费19.29万元、工会经费10万元、公务用车运行维护费6.3万元、其他交通费用50.31万元、其他商品和服务支出29.92万元。</w:t>
      </w:r>
    </w:p>
    <w:p w14:paraId="0006CB3B">
      <w:pPr>
        <w:pStyle w:val="16"/>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七、财政拨款三公经费支出决算情况说明</w:t>
      </w:r>
    </w:p>
    <w:p w14:paraId="067FBB65">
      <w:pPr>
        <w:pStyle w:val="16"/>
        <w:keepNext w:val="0"/>
        <w:keepLines w:val="0"/>
        <w:pageBreakBefore w:val="0"/>
        <w:widowControl w:val="0"/>
        <w:kinsoku/>
        <w:wordWrap/>
        <w:overflowPunct/>
        <w:topLinePunct w:val="0"/>
        <w:bidi w:val="0"/>
        <w:snapToGrid/>
        <w:spacing w:line="560" w:lineRule="exact"/>
        <w:ind w:firstLine="643" w:firstLineChars="200"/>
        <w:jc w:val="both"/>
        <w:textAlignment w:val="auto"/>
        <w:rPr>
          <w:rFonts w:hint="eastAsia" w:ascii="楷体" w:hAnsi="楷体" w:eastAsia="楷体" w:cs="楷体"/>
          <w:b/>
          <w:bCs w:val="0"/>
          <w:color w:val="auto"/>
          <w:sz w:val="32"/>
          <w:szCs w:val="32"/>
        </w:rPr>
      </w:pPr>
      <w:r>
        <w:rPr>
          <w:rFonts w:hint="eastAsia" w:ascii="楷体" w:hAnsi="楷体" w:eastAsia="楷体" w:cs="楷体"/>
          <w:b/>
          <w:bCs w:val="0"/>
          <w:color w:val="auto"/>
          <w:sz w:val="32"/>
          <w:szCs w:val="32"/>
        </w:rPr>
        <w:t>（一）“三公”经费财政拨款支出决算总体情况说明</w:t>
      </w:r>
    </w:p>
    <w:p w14:paraId="09B49A78">
      <w:pPr>
        <w:pStyle w:val="16"/>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“三公”经费财政拨款支出预算为1</w:t>
      </w:r>
      <w:r>
        <w:rPr>
          <w:rFonts w:hint="eastAsia" w:ascii="Times New Roman" w:hAnsi="Times New Roman" w:eastAsia="仿宋_GB2312"/>
          <w:color w:val="auto"/>
          <w:sz w:val="32"/>
          <w:szCs w:val="32"/>
          <w:lang w:val="en-US" w:eastAsia="zh-CN"/>
        </w:rPr>
        <w:t>3.89</w:t>
      </w:r>
      <w:r>
        <w:rPr>
          <w:rFonts w:hint="eastAsia" w:ascii="Times New Roman" w:hAnsi="Times New Roman" w:eastAsia="仿宋_GB2312"/>
          <w:color w:val="auto"/>
          <w:sz w:val="32"/>
          <w:szCs w:val="32"/>
        </w:rPr>
        <w:t>万元，支出决算为1</w:t>
      </w:r>
      <w:r>
        <w:rPr>
          <w:rFonts w:hint="eastAsia" w:ascii="Times New Roman" w:hAnsi="Times New Roman" w:eastAsia="仿宋_GB2312"/>
          <w:color w:val="auto"/>
          <w:sz w:val="32"/>
          <w:szCs w:val="32"/>
          <w:lang w:val="en-US" w:eastAsia="zh-CN"/>
        </w:rPr>
        <w:t>3.89</w:t>
      </w:r>
      <w:r>
        <w:rPr>
          <w:rFonts w:hint="eastAsia" w:ascii="Times New Roman" w:hAnsi="Times New Roman" w:eastAsia="仿宋_GB2312"/>
          <w:color w:val="auto"/>
          <w:sz w:val="32"/>
          <w:szCs w:val="32"/>
        </w:rPr>
        <w:t>万元，完成预算的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%，决算数</w:t>
      </w:r>
      <w:r>
        <w:rPr>
          <w:rFonts w:hint="eastAsia" w:ascii="Times New Roman" w:hAnsi="Times New Roman" w:eastAsia="仿宋_GB2312"/>
          <w:color w:val="auto"/>
          <w:sz w:val="32"/>
          <w:szCs w:val="32"/>
          <w:lang w:eastAsia="zh-CN"/>
        </w:rPr>
        <w:t>等于</w:t>
      </w:r>
      <w:r>
        <w:rPr>
          <w:rFonts w:hint="eastAsia" w:ascii="Times New Roman" w:hAnsi="Times New Roman" w:eastAsia="仿宋_GB2312"/>
          <w:color w:val="auto"/>
          <w:sz w:val="32"/>
          <w:szCs w:val="32"/>
        </w:rPr>
        <w:t>预算数</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与上年相比</w:t>
      </w:r>
      <w:r>
        <w:rPr>
          <w:rFonts w:hint="eastAsia" w:ascii="Times New Roman" w:hAnsi="Times New Roman" w:eastAsia="仿宋_GB2312"/>
          <w:color w:val="auto"/>
          <w:sz w:val="32"/>
          <w:szCs w:val="32"/>
          <w:lang w:eastAsia="zh-CN"/>
        </w:rPr>
        <w:t>一致。</w:t>
      </w:r>
      <w:r>
        <w:rPr>
          <w:rFonts w:hint="eastAsia" w:ascii="Times New Roman" w:hAnsi="Times New Roman" w:eastAsia="仿宋_GB2312"/>
          <w:color w:val="auto"/>
          <w:sz w:val="32"/>
          <w:szCs w:val="32"/>
        </w:rPr>
        <w:t>其中：</w:t>
      </w:r>
    </w:p>
    <w:p w14:paraId="3724D862">
      <w:pPr>
        <w:pStyle w:val="16"/>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因公出国（境）费支出预算为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w:t>
      </w:r>
      <w:bookmarkStart w:id="2" w:name="OLE_LINK78"/>
      <w:r>
        <w:rPr>
          <w:rFonts w:hint="eastAsia" w:ascii="Times New Roman" w:hAnsi="Times New Roman" w:eastAsia="仿宋_GB2312"/>
          <w:color w:val="auto"/>
          <w:sz w:val="32"/>
          <w:szCs w:val="32"/>
          <w:lang w:eastAsia="zh-CN"/>
        </w:rPr>
        <w:t>由于预算数为</w:t>
      </w:r>
      <w:r>
        <w:rPr>
          <w:rFonts w:hint="eastAsia" w:ascii="Times New Roman" w:hAnsi="Times New Roman" w:eastAsia="仿宋_GB2312"/>
          <w:color w:val="auto"/>
          <w:sz w:val="32"/>
          <w:szCs w:val="32"/>
          <w:lang w:val="en-US" w:eastAsia="zh-CN"/>
        </w:rPr>
        <w:t>0，无法计算百分比</w:t>
      </w:r>
      <w:bookmarkEnd w:id="2"/>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决算数等于预算数，</w:t>
      </w:r>
      <w:r>
        <w:rPr>
          <w:rFonts w:hint="eastAsia" w:ascii="Times New Roman" w:hAnsi="Times New Roman" w:eastAsia="仿宋_GB2312"/>
          <w:color w:val="auto"/>
          <w:sz w:val="32"/>
          <w:szCs w:val="32"/>
          <w:lang w:val="en-US" w:eastAsia="zh-CN"/>
        </w:rPr>
        <w:t>与上年持平</w:t>
      </w:r>
      <w:r>
        <w:rPr>
          <w:rFonts w:hint="eastAsia" w:ascii="Times New Roman" w:hAnsi="Times New Roman" w:eastAsia="仿宋_GB2312"/>
          <w:color w:val="auto"/>
          <w:sz w:val="32"/>
          <w:szCs w:val="32"/>
        </w:rPr>
        <w:t>。</w:t>
      </w:r>
    </w:p>
    <w:p w14:paraId="24DFB983">
      <w:pPr>
        <w:pStyle w:val="16"/>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rPr>
        <w:t>公务接待费支出预算为</w:t>
      </w:r>
      <w:r>
        <w:rPr>
          <w:rFonts w:hint="eastAsia" w:ascii="Times New Roman" w:hAnsi="Times New Roman" w:eastAsia="仿宋_GB2312"/>
          <w:color w:val="auto"/>
          <w:sz w:val="32"/>
          <w:szCs w:val="32"/>
          <w:lang w:val="en-US" w:eastAsia="zh-CN"/>
        </w:rPr>
        <w:t>7.59</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7.59</w:t>
      </w:r>
      <w:r>
        <w:rPr>
          <w:rFonts w:hint="eastAsia" w:ascii="Times New Roman" w:hAnsi="Times New Roman" w:eastAsia="仿宋_GB2312"/>
          <w:color w:val="auto"/>
          <w:sz w:val="32"/>
          <w:szCs w:val="32"/>
        </w:rPr>
        <w:t>万元，完成预算的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%，决算数等于预算数，与上年相比</w:t>
      </w:r>
      <w:r>
        <w:rPr>
          <w:rFonts w:hint="eastAsia" w:ascii="Times New Roman" w:hAnsi="Times New Roman" w:eastAsia="仿宋_GB2312"/>
          <w:color w:val="auto"/>
          <w:sz w:val="32"/>
          <w:szCs w:val="32"/>
          <w:lang w:eastAsia="zh-CN"/>
        </w:rPr>
        <w:t>持平。</w:t>
      </w:r>
    </w:p>
    <w:p w14:paraId="138C6E05">
      <w:pPr>
        <w:pStyle w:val="16"/>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公务用车购置费支出预算为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eastAsia="zh-CN"/>
        </w:rPr>
        <w:t>由于预算数为</w:t>
      </w:r>
      <w:r>
        <w:rPr>
          <w:rFonts w:hint="eastAsia" w:ascii="Times New Roman" w:hAnsi="Times New Roman" w:eastAsia="仿宋_GB2312"/>
          <w:color w:val="auto"/>
          <w:sz w:val="32"/>
          <w:szCs w:val="32"/>
          <w:lang w:val="en-US" w:eastAsia="zh-CN"/>
        </w:rPr>
        <w:t>0，无法计算百分比</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决算数等于预算数，</w:t>
      </w:r>
      <w:r>
        <w:rPr>
          <w:rFonts w:hint="eastAsia" w:ascii="Times New Roman" w:hAnsi="Times New Roman" w:eastAsia="仿宋_GB2312"/>
          <w:color w:val="auto"/>
          <w:sz w:val="32"/>
          <w:szCs w:val="32"/>
          <w:lang w:val="en-US" w:eastAsia="zh-CN"/>
        </w:rPr>
        <w:t>与上年持平</w:t>
      </w:r>
      <w:r>
        <w:rPr>
          <w:rFonts w:hint="eastAsia" w:ascii="Times New Roman" w:hAnsi="Times New Roman" w:eastAsia="仿宋_GB2312"/>
          <w:color w:val="auto"/>
          <w:sz w:val="32"/>
          <w:szCs w:val="32"/>
        </w:rPr>
        <w:t>。</w:t>
      </w:r>
    </w:p>
    <w:p w14:paraId="07671F14">
      <w:pPr>
        <w:pStyle w:val="16"/>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公务用车运行维护费支出预算为6.3万元，支出决算为6.3万元，完成预算的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决算数等于预算数，</w:t>
      </w:r>
      <w:r>
        <w:rPr>
          <w:rFonts w:hint="eastAsia" w:ascii="Times New Roman" w:hAnsi="Times New Roman" w:eastAsia="仿宋_GB2312"/>
          <w:color w:val="auto"/>
          <w:sz w:val="32"/>
          <w:szCs w:val="32"/>
          <w:lang w:val="en-US" w:eastAsia="zh-CN"/>
        </w:rPr>
        <w:t>与上年持平</w:t>
      </w:r>
      <w:r>
        <w:rPr>
          <w:rFonts w:hint="eastAsia" w:ascii="Times New Roman" w:hAnsi="Times New Roman" w:eastAsia="仿宋_GB2312"/>
          <w:color w:val="auto"/>
          <w:sz w:val="32"/>
          <w:szCs w:val="32"/>
        </w:rPr>
        <w:t>。</w:t>
      </w:r>
    </w:p>
    <w:p w14:paraId="7753F7EE">
      <w:pPr>
        <w:pStyle w:val="16"/>
        <w:keepNext w:val="0"/>
        <w:keepLines w:val="0"/>
        <w:pageBreakBefore w:val="0"/>
        <w:widowControl w:val="0"/>
        <w:kinsoku/>
        <w:wordWrap/>
        <w:overflowPunct/>
        <w:topLinePunct w:val="0"/>
        <w:bidi w:val="0"/>
        <w:snapToGrid/>
        <w:spacing w:line="560" w:lineRule="exact"/>
        <w:ind w:firstLine="643" w:firstLineChars="200"/>
        <w:jc w:val="both"/>
        <w:textAlignment w:val="auto"/>
        <w:rPr>
          <w:rFonts w:hint="eastAsia" w:ascii="楷体" w:hAnsi="楷体" w:eastAsia="楷体" w:cs="楷体"/>
          <w:b/>
          <w:bCs w:val="0"/>
          <w:color w:val="auto"/>
          <w:sz w:val="32"/>
          <w:szCs w:val="32"/>
        </w:rPr>
      </w:pPr>
      <w:r>
        <w:rPr>
          <w:rFonts w:hint="eastAsia" w:ascii="楷体" w:hAnsi="楷体" w:eastAsia="楷体" w:cs="楷体"/>
          <w:b/>
          <w:bCs w:val="0"/>
          <w:color w:val="auto"/>
          <w:sz w:val="32"/>
          <w:szCs w:val="32"/>
        </w:rPr>
        <w:t>（二）“三公”经费财政拨款支出决算具体情况说明</w:t>
      </w:r>
    </w:p>
    <w:p w14:paraId="6DBE783F">
      <w:pPr>
        <w:pStyle w:val="16"/>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年度“三公”经费财政拨款支出决算中，公务接待费支出决算</w:t>
      </w:r>
      <w:r>
        <w:rPr>
          <w:rFonts w:hint="eastAsia" w:ascii="Times New Roman" w:hAnsi="Times New Roman" w:eastAsia="仿宋_GB2312"/>
          <w:color w:val="auto"/>
          <w:sz w:val="32"/>
          <w:szCs w:val="32"/>
          <w:lang w:val="en-US" w:eastAsia="zh-CN"/>
        </w:rPr>
        <w:t>7.59</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54.64</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因公出国（境）费支出决算</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公务用车购置费及运行维护费支出决算</w:t>
      </w:r>
      <w:r>
        <w:rPr>
          <w:rFonts w:hint="eastAsia" w:ascii="Times New Roman" w:hAnsi="Times New Roman" w:eastAsia="仿宋_GB2312"/>
          <w:color w:val="auto"/>
          <w:sz w:val="32"/>
          <w:szCs w:val="32"/>
          <w:lang w:val="en-US" w:eastAsia="zh-CN"/>
        </w:rPr>
        <w:t>6.3</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45.36</w:t>
      </w:r>
      <w:r>
        <w:rPr>
          <w:rFonts w:hint="eastAsia" w:ascii="Times New Roman" w:hAnsi="Times New Roman" w:eastAsia="仿宋_GB2312"/>
          <w:color w:val="auto"/>
          <w:sz w:val="32"/>
          <w:szCs w:val="32"/>
        </w:rPr>
        <w:t>%。其中：</w:t>
      </w:r>
    </w:p>
    <w:p w14:paraId="0B76BB63">
      <w:pPr>
        <w:pStyle w:val="16"/>
        <w:keepNext w:val="0"/>
        <w:keepLines w:val="0"/>
        <w:pageBreakBefore w:val="0"/>
        <w:widowControl w:val="0"/>
        <w:numPr>
          <w:ilvl w:val="0"/>
          <w:numId w:val="0"/>
        </w:numPr>
        <w:kinsoku/>
        <w:wordWrap/>
        <w:overflowPunct/>
        <w:topLinePunct w:val="0"/>
        <w:bidi w:val="0"/>
        <w:snapToGrid/>
        <w:spacing w:line="560" w:lineRule="exact"/>
        <w:ind w:firstLine="640" w:firstLineChars="200"/>
        <w:jc w:val="both"/>
        <w:textAlignment w:val="auto"/>
        <w:rPr>
          <w:rFonts w:hint="eastAsia" w:ascii="Times New Roman" w:hAnsi="Times New Roman" w:eastAsia="楷体"/>
          <w:b/>
          <w:color w:val="auto"/>
          <w:sz w:val="32"/>
          <w:szCs w:val="32"/>
          <w:lang w:eastAsia="zh-CN"/>
        </w:rPr>
      </w:pP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因公出国（境）费支出决算为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万元，全年安排因公出国（境）团组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个，累计</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人次</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lang w:val="en-US" w:eastAsia="zh-CN"/>
        </w:rPr>
        <w:t>无此项开支</w:t>
      </w:r>
      <w:r>
        <w:rPr>
          <w:rFonts w:hint="eastAsia" w:ascii="Times New Roman" w:hAnsi="Times New Roman" w:eastAsia="仿宋_GB2312"/>
          <w:color w:val="auto"/>
          <w:sz w:val="32"/>
          <w:szCs w:val="32"/>
          <w:lang w:eastAsia="zh-CN"/>
        </w:rPr>
        <w:t>。</w:t>
      </w:r>
    </w:p>
    <w:p w14:paraId="4BF600FB">
      <w:pPr>
        <w:pStyle w:val="16"/>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2、公务接待费支出决算为</w:t>
      </w:r>
      <w:r>
        <w:rPr>
          <w:rFonts w:hint="eastAsia" w:ascii="Times New Roman" w:hAnsi="Times New Roman" w:eastAsia="仿宋_GB2312"/>
          <w:color w:val="auto"/>
          <w:sz w:val="32"/>
          <w:szCs w:val="32"/>
          <w:lang w:val="en-US" w:eastAsia="zh-CN"/>
        </w:rPr>
        <w:t>7.59</w:t>
      </w:r>
      <w:r>
        <w:rPr>
          <w:rFonts w:hint="eastAsia" w:ascii="Times New Roman" w:hAnsi="Times New Roman" w:eastAsia="仿宋_GB2312"/>
          <w:color w:val="auto"/>
          <w:sz w:val="32"/>
          <w:szCs w:val="32"/>
        </w:rPr>
        <w:t>万元，全年共接待来访团组</w:t>
      </w:r>
      <w:r>
        <w:rPr>
          <w:rFonts w:hint="eastAsia" w:ascii="Times New Roman" w:hAnsi="Times New Roman" w:eastAsia="仿宋_GB2312"/>
          <w:color w:val="auto"/>
          <w:sz w:val="32"/>
          <w:szCs w:val="32"/>
          <w:lang w:val="en-US" w:eastAsia="zh-CN"/>
        </w:rPr>
        <w:t>51</w:t>
      </w:r>
      <w:r>
        <w:rPr>
          <w:rFonts w:hint="eastAsia" w:ascii="Times New Roman" w:hAnsi="Times New Roman" w:eastAsia="仿宋_GB2312"/>
          <w:color w:val="auto"/>
          <w:sz w:val="32"/>
          <w:szCs w:val="32"/>
        </w:rPr>
        <w:t>个、来宾</w:t>
      </w:r>
      <w:r>
        <w:rPr>
          <w:rFonts w:hint="eastAsia" w:ascii="Times New Roman" w:hAnsi="Times New Roman" w:eastAsia="仿宋_GB2312"/>
          <w:color w:val="auto"/>
          <w:sz w:val="32"/>
          <w:szCs w:val="32"/>
          <w:lang w:val="en-US" w:eastAsia="zh-CN"/>
        </w:rPr>
        <w:t>934</w:t>
      </w:r>
      <w:r>
        <w:rPr>
          <w:rFonts w:hint="eastAsia" w:ascii="Times New Roman" w:hAnsi="Times New Roman" w:eastAsia="仿宋_GB2312"/>
          <w:color w:val="auto"/>
          <w:sz w:val="32"/>
          <w:szCs w:val="32"/>
        </w:rPr>
        <w:t>人次，主要是农业农村局单位上级部门检查等发生的接待支出。</w:t>
      </w:r>
    </w:p>
    <w:p w14:paraId="2C23890D">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仿宋_GB2312" w:cs="楷体"/>
          <w:b/>
          <w:bCs/>
          <w:i/>
          <w:color w:val="auto"/>
          <w:kern w:val="0"/>
          <w:sz w:val="32"/>
          <w:szCs w:val="32"/>
          <w:lang w:val="en-US" w:eastAsia="zh-CN" w:bidi="ar-SA"/>
        </w:rPr>
      </w:pPr>
      <w:r>
        <w:rPr>
          <w:rFonts w:hint="eastAsia" w:ascii="Times New Roman" w:hAnsi="Times New Roman" w:eastAsia="仿宋_GB2312"/>
          <w:color w:val="auto"/>
          <w:sz w:val="32"/>
          <w:szCs w:val="32"/>
        </w:rPr>
        <w:t>3、公务用车购置费及运行维护费支出决算为6.3万元，其中：公务用车购置费0万元</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更新公务用车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辆。公务用车运行维护费6.3万元，主要是油料费、维修费、过路过桥费等支出，截止202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年12月31日，我单位开支财政拨款的公务用车保有量为1辆。</w:t>
      </w:r>
    </w:p>
    <w:p w14:paraId="1560B7D4">
      <w:pPr>
        <w:pStyle w:val="16"/>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八、政府性基金预算收入支出决算情况</w:t>
      </w:r>
    </w:p>
    <w:p w14:paraId="30EF2BA0">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年度政府性基金预算财政拨款收入</w:t>
      </w:r>
      <w:r>
        <w:rPr>
          <w:rFonts w:hint="eastAsia" w:ascii="Times New Roman" w:hAnsi="Times New Roman" w:eastAsia="仿宋_GB2312"/>
          <w:color w:val="auto"/>
          <w:sz w:val="32"/>
          <w:szCs w:val="32"/>
          <w:lang w:val="en-US" w:eastAsia="zh-CN"/>
        </w:rPr>
        <w:t>3,142.51</w:t>
      </w:r>
      <w:r>
        <w:rPr>
          <w:rFonts w:hint="eastAsia" w:ascii="Times New Roman" w:hAnsi="Times New Roman" w:eastAsia="仿宋_GB2312"/>
          <w:color w:val="auto"/>
          <w:sz w:val="32"/>
          <w:szCs w:val="32"/>
        </w:rPr>
        <w:t>万元；年初结转和结余</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万元；支出</w:t>
      </w:r>
      <w:r>
        <w:rPr>
          <w:rFonts w:hint="eastAsia" w:ascii="Times New Roman" w:hAnsi="Times New Roman" w:eastAsia="仿宋_GB2312"/>
          <w:color w:val="auto"/>
          <w:sz w:val="32"/>
          <w:szCs w:val="32"/>
          <w:lang w:val="en-US" w:eastAsia="zh-CN"/>
        </w:rPr>
        <w:t>3,142.51</w:t>
      </w:r>
      <w:r>
        <w:rPr>
          <w:rFonts w:hint="eastAsia" w:ascii="Times New Roman" w:hAnsi="Times New Roman" w:eastAsia="仿宋_GB2312"/>
          <w:color w:val="auto"/>
          <w:sz w:val="32"/>
          <w:szCs w:val="32"/>
        </w:rPr>
        <w:t>万元，其中基本支出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万元，项目支</w:t>
      </w:r>
      <w:r>
        <w:rPr>
          <w:rFonts w:hint="eastAsia" w:ascii="Times New Roman" w:hAnsi="Times New Roman" w:eastAsia="仿宋_GB2312"/>
          <w:color w:val="auto"/>
          <w:sz w:val="32"/>
          <w:szCs w:val="32"/>
          <w:lang w:val="en-US" w:eastAsia="zh-CN"/>
        </w:rPr>
        <w:t>出3,142.51</w:t>
      </w:r>
      <w:r>
        <w:rPr>
          <w:rFonts w:hint="eastAsia" w:ascii="Times New Roman" w:hAnsi="Times New Roman" w:eastAsia="仿宋_GB2312"/>
          <w:color w:val="auto"/>
          <w:sz w:val="32"/>
          <w:szCs w:val="32"/>
        </w:rPr>
        <w:t>万元；年末结转和结余</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万元。具体情况如下：</w:t>
      </w:r>
    </w:p>
    <w:p w14:paraId="60F3DE9A">
      <w:pPr>
        <w:pStyle w:val="16"/>
        <w:keepNext w:val="0"/>
        <w:keepLines w:val="0"/>
        <w:pageBreakBefore w:val="0"/>
        <w:widowControl w:val="0"/>
        <w:numPr>
          <w:ilvl w:val="0"/>
          <w:numId w:val="1"/>
        </w:numPr>
        <w:kinsoku/>
        <w:wordWrap/>
        <w:overflowPunct/>
        <w:topLinePunct w:val="0"/>
        <w:bidi w:val="0"/>
        <w:snapToGrid/>
        <w:spacing w:line="560" w:lineRule="exact"/>
        <w:ind w:firstLine="640" w:firstLineChars="200"/>
        <w:jc w:val="both"/>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其他支出（类）其他政府性基金及对应专项债务收入安排的支出（款） 其他地方自行试点项目收益专项债券收入安排的支出（项）。</w:t>
      </w:r>
    </w:p>
    <w:p w14:paraId="745D0E1F">
      <w:pPr>
        <w:pStyle w:val="16"/>
        <w:keepNext w:val="0"/>
        <w:keepLines w:val="0"/>
        <w:pageBreakBefore w:val="0"/>
        <w:widowControl w:val="0"/>
        <w:numPr>
          <w:ilvl w:val="0"/>
          <w:numId w:val="0"/>
        </w:numPr>
        <w:kinsoku/>
        <w:wordWrap/>
        <w:overflowPunct/>
        <w:topLinePunct w:val="0"/>
        <w:bidi w:val="0"/>
        <w:snapToGrid/>
        <w:spacing w:line="560" w:lineRule="exact"/>
        <w:ind w:firstLine="640" w:firstLineChars="200"/>
        <w:jc w:val="both"/>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3,142.51</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3,142.51</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%，决算数</w:t>
      </w:r>
      <w:r>
        <w:rPr>
          <w:rFonts w:hint="eastAsia" w:ascii="Times New Roman" w:hAnsi="Times New Roman" w:eastAsia="仿宋_GB2312"/>
          <w:color w:val="auto"/>
          <w:sz w:val="32"/>
          <w:szCs w:val="32"/>
          <w:lang w:eastAsia="zh-CN"/>
        </w:rPr>
        <w:t>等于</w:t>
      </w:r>
      <w:r>
        <w:rPr>
          <w:rFonts w:hint="eastAsia" w:ascii="Times New Roman" w:hAnsi="Times New Roman" w:eastAsia="仿宋_GB2312"/>
          <w:color w:val="auto"/>
          <w:sz w:val="32"/>
          <w:szCs w:val="32"/>
        </w:rPr>
        <w:t>年初预算数</w:t>
      </w:r>
      <w:r>
        <w:rPr>
          <w:rFonts w:hint="eastAsia" w:ascii="Times New Roman" w:hAnsi="Times New Roman" w:eastAsia="仿宋_GB2312"/>
          <w:color w:val="auto"/>
          <w:sz w:val="32"/>
          <w:szCs w:val="32"/>
          <w:lang w:eastAsia="zh-CN"/>
        </w:rPr>
        <w:t>。</w:t>
      </w:r>
    </w:p>
    <w:p w14:paraId="2AB2D313">
      <w:pPr>
        <w:pStyle w:val="16"/>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九、关于机关运行经费支出说明</w:t>
      </w:r>
    </w:p>
    <w:p w14:paraId="41F2A5CC">
      <w:pPr>
        <w:pStyle w:val="16"/>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本部门202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年度机关运行经费支出</w:t>
      </w:r>
      <w:r>
        <w:rPr>
          <w:rFonts w:hint="eastAsia" w:ascii="Times New Roman" w:hAnsi="Times New Roman" w:eastAsia="仿宋_GB2312"/>
          <w:color w:val="auto"/>
          <w:sz w:val="32"/>
          <w:szCs w:val="32"/>
          <w:lang w:val="en-US" w:eastAsia="zh-CN"/>
        </w:rPr>
        <w:t>394.55</w:t>
      </w:r>
      <w:r>
        <w:rPr>
          <w:rFonts w:hint="eastAsia" w:ascii="Times New Roman" w:hAnsi="Times New Roman" w:eastAsia="仿宋_GB2312"/>
          <w:color w:val="auto"/>
          <w:sz w:val="32"/>
          <w:szCs w:val="32"/>
        </w:rPr>
        <w:t>万元，比年初</w:t>
      </w:r>
      <w:r>
        <w:rPr>
          <w:rFonts w:hint="eastAsia" w:ascii="Times New Roman" w:hAnsi="Times New Roman" w:eastAsia="仿宋_GB2312"/>
          <w:color w:val="auto"/>
          <w:sz w:val="32"/>
          <w:szCs w:val="32"/>
          <w:lang w:val="en-US" w:eastAsia="zh-CN"/>
        </w:rPr>
        <w:t>上年决算数增加42.43</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eastAsia="zh-CN"/>
        </w:rPr>
        <w:t>增加</w:t>
      </w:r>
      <w:r>
        <w:rPr>
          <w:rFonts w:hint="eastAsia" w:ascii="Times New Roman" w:hAnsi="Times New Roman" w:eastAsia="仿宋_GB2312"/>
          <w:color w:val="auto"/>
          <w:sz w:val="32"/>
          <w:szCs w:val="32"/>
          <w:lang w:val="en-US" w:eastAsia="zh-CN"/>
        </w:rPr>
        <w:t>4.14</w:t>
      </w:r>
      <w:r>
        <w:rPr>
          <w:rFonts w:hint="eastAsia" w:ascii="Times New Roman" w:hAnsi="Times New Roman" w:eastAsia="仿宋_GB2312"/>
          <w:color w:val="auto"/>
          <w:sz w:val="32"/>
          <w:szCs w:val="32"/>
        </w:rPr>
        <w:t>%。主要原因是：</w:t>
      </w:r>
      <w:r>
        <w:rPr>
          <w:rFonts w:hint="eastAsia" w:ascii="Times New Roman" w:hAnsi="Times New Roman" w:eastAsia="仿宋_GB2312"/>
          <w:color w:val="auto"/>
          <w:sz w:val="32"/>
          <w:szCs w:val="32"/>
          <w:lang w:eastAsia="zh-CN"/>
        </w:rPr>
        <w:t>单位职能增加，机关运行成本有所增加</w:t>
      </w:r>
      <w:r>
        <w:rPr>
          <w:rFonts w:hint="eastAsia" w:ascii="Times New Roman" w:hAnsi="Times New Roman" w:eastAsia="仿宋_GB2312"/>
          <w:color w:val="auto"/>
          <w:sz w:val="32"/>
          <w:szCs w:val="32"/>
        </w:rPr>
        <w:t>。</w:t>
      </w:r>
    </w:p>
    <w:p w14:paraId="0F395A99">
      <w:pPr>
        <w:pStyle w:val="16"/>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十、一般性支出情况说明</w:t>
      </w:r>
    </w:p>
    <w:p w14:paraId="015BF950">
      <w:pPr>
        <w:pStyle w:val="16"/>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年本部门开支会议费</w:t>
      </w:r>
      <w:r>
        <w:rPr>
          <w:rFonts w:hint="eastAsia" w:ascii="Times New Roman" w:hAnsi="Times New Roman" w:eastAsia="仿宋_GB2312"/>
          <w:color w:val="auto"/>
          <w:sz w:val="32"/>
          <w:szCs w:val="32"/>
          <w:highlight w:val="none"/>
          <w:lang w:val="en-US" w:eastAsia="zh-CN"/>
        </w:rPr>
        <w:t>2.4</w:t>
      </w:r>
      <w:r>
        <w:rPr>
          <w:rFonts w:hint="eastAsia" w:ascii="Times New Roman" w:hAnsi="Times New Roman" w:eastAsia="仿宋_GB2312"/>
          <w:color w:val="auto"/>
          <w:sz w:val="32"/>
          <w:szCs w:val="32"/>
        </w:rPr>
        <w:t>万元，用于召开本单位业务会议，人数</w:t>
      </w:r>
      <w:r>
        <w:rPr>
          <w:rFonts w:hint="eastAsia" w:ascii="Times New Roman" w:hAnsi="Times New Roman" w:eastAsia="仿宋_GB2312"/>
          <w:color w:val="auto"/>
          <w:sz w:val="32"/>
          <w:szCs w:val="32"/>
          <w:lang w:val="en-US" w:eastAsia="zh-CN"/>
        </w:rPr>
        <w:t>140</w:t>
      </w:r>
      <w:r>
        <w:rPr>
          <w:rFonts w:hint="eastAsia" w:ascii="Times New Roman" w:hAnsi="Times New Roman" w:eastAsia="仿宋_GB2312"/>
          <w:color w:val="auto"/>
          <w:sz w:val="32"/>
          <w:szCs w:val="32"/>
        </w:rPr>
        <w:t>人，内容为农业农村局日常工作业务会议；开支培训费</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人数</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人；举办</w:t>
      </w:r>
      <w:r>
        <w:rPr>
          <w:rFonts w:hint="eastAsia" w:ascii="Times New Roman" w:hAnsi="Times New Roman" w:eastAsia="仿宋_GB2312"/>
          <w:color w:val="auto"/>
          <w:sz w:val="32"/>
          <w:szCs w:val="32"/>
          <w:lang w:val="en-US" w:eastAsia="zh-CN"/>
        </w:rPr>
        <w:t>0次</w:t>
      </w:r>
      <w:r>
        <w:rPr>
          <w:rFonts w:hint="eastAsia" w:ascii="Times New Roman" w:hAnsi="Times New Roman" w:eastAsia="仿宋_GB2312"/>
          <w:color w:val="auto"/>
          <w:sz w:val="32"/>
          <w:szCs w:val="32"/>
        </w:rPr>
        <w:t>节庆、晚会、论坛、赛事活动，开支</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eastAsia="zh-CN"/>
        </w:rPr>
        <w:t>。</w:t>
      </w:r>
    </w:p>
    <w:p w14:paraId="478F2BED">
      <w:pPr>
        <w:pStyle w:val="16"/>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十一、关于政府采购支出说明</w:t>
      </w:r>
    </w:p>
    <w:p w14:paraId="02795510">
      <w:pPr>
        <w:pStyle w:val="16"/>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本部门202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年度政府采购支出总额</w:t>
      </w:r>
      <w:r>
        <w:rPr>
          <w:rFonts w:hint="eastAsia" w:ascii="Times New Roman" w:hAnsi="Times New Roman" w:eastAsia="仿宋_GB2312"/>
          <w:color w:val="auto"/>
          <w:sz w:val="32"/>
          <w:szCs w:val="32"/>
          <w:lang w:val="en-US" w:eastAsia="zh-CN"/>
        </w:rPr>
        <w:t>1,557.79</w:t>
      </w:r>
      <w:r>
        <w:rPr>
          <w:rFonts w:hint="eastAsia" w:ascii="Times New Roman" w:hAnsi="Times New Roman" w:eastAsia="仿宋_GB2312"/>
          <w:color w:val="auto"/>
          <w:sz w:val="32"/>
          <w:szCs w:val="32"/>
        </w:rPr>
        <w:t>万元，其中：政府采购货物支出</w:t>
      </w:r>
      <w:r>
        <w:rPr>
          <w:rFonts w:hint="eastAsia" w:ascii="Times New Roman" w:hAnsi="Times New Roman" w:eastAsia="仿宋_GB2312"/>
          <w:color w:val="auto"/>
          <w:sz w:val="32"/>
          <w:szCs w:val="32"/>
          <w:lang w:val="en-US" w:eastAsia="zh-CN"/>
        </w:rPr>
        <w:t>922.35</w:t>
      </w:r>
      <w:r>
        <w:rPr>
          <w:rFonts w:hint="eastAsia" w:ascii="Times New Roman" w:hAnsi="Times New Roman" w:eastAsia="仿宋_GB2312"/>
          <w:color w:val="auto"/>
          <w:sz w:val="32"/>
          <w:szCs w:val="32"/>
        </w:rPr>
        <w:t>万元、政府采购工程支出</w:t>
      </w:r>
      <w:r>
        <w:rPr>
          <w:rFonts w:hint="eastAsia" w:ascii="Times New Roman" w:hAnsi="Times New Roman" w:eastAsia="仿宋_GB2312"/>
          <w:color w:val="auto"/>
          <w:sz w:val="32"/>
          <w:szCs w:val="32"/>
          <w:lang w:val="en-US" w:eastAsia="zh-CN"/>
        </w:rPr>
        <w:t>136</w:t>
      </w:r>
      <w:r>
        <w:rPr>
          <w:rFonts w:hint="eastAsia" w:ascii="Times New Roman" w:hAnsi="Times New Roman" w:eastAsia="仿宋_GB2312"/>
          <w:color w:val="auto"/>
          <w:sz w:val="32"/>
          <w:szCs w:val="32"/>
        </w:rPr>
        <w:t>万元、政府采购服务支出</w:t>
      </w:r>
      <w:r>
        <w:rPr>
          <w:rFonts w:hint="eastAsia" w:ascii="Times New Roman" w:hAnsi="Times New Roman" w:eastAsia="仿宋_GB2312"/>
          <w:color w:val="auto"/>
          <w:sz w:val="32"/>
          <w:szCs w:val="32"/>
          <w:lang w:val="en-US" w:eastAsia="zh-CN"/>
        </w:rPr>
        <w:t>499.44</w:t>
      </w:r>
      <w:r>
        <w:rPr>
          <w:rFonts w:hint="eastAsia" w:ascii="Times New Roman" w:hAnsi="Times New Roman" w:eastAsia="仿宋_GB2312"/>
          <w:color w:val="auto"/>
          <w:sz w:val="32"/>
          <w:szCs w:val="32"/>
        </w:rPr>
        <w:t>万元。授予中小企业合同金额</w:t>
      </w:r>
      <w:r>
        <w:rPr>
          <w:rFonts w:hint="eastAsia" w:ascii="Times New Roman" w:hAnsi="Times New Roman" w:eastAsia="仿宋_GB2312"/>
          <w:color w:val="auto"/>
          <w:sz w:val="32"/>
          <w:szCs w:val="32"/>
          <w:lang w:val="en-US" w:eastAsia="zh-CN"/>
        </w:rPr>
        <w:t>1,557.79</w:t>
      </w:r>
      <w:r>
        <w:rPr>
          <w:rFonts w:hint="eastAsia" w:ascii="Times New Roman" w:hAnsi="Times New Roman" w:eastAsia="仿宋_GB2312"/>
          <w:color w:val="auto"/>
          <w:sz w:val="32"/>
          <w:szCs w:val="32"/>
        </w:rPr>
        <w:t>万元，占政府采购支出总额的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%，其中：授予小微企业合同金额</w:t>
      </w:r>
      <w:r>
        <w:rPr>
          <w:rFonts w:hint="eastAsia" w:ascii="Times New Roman" w:hAnsi="Times New Roman" w:eastAsia="仿宋_GB2312"/>
          <w:color w:val="auto"/>
          <w:sz w:val="32"/>
          <w:szCs w:val="32"/>
          <w:lang w:val="en-US" w:eastAsia="zh-CN"/>
        </w:rPr>
        <w:t>1,557.79</w:t>
      </w:r>
      <w:r>
        <w:rPr>
          <w:rFonts w:hint="eastAsia" w:ascii="Times New Roman" w:hAnsi="Times New Roman" w:eastAsia="仿宋_GB2312"/>
          <w:color w:val="auto"/>
          <w:sz w:val="32"/>
          <w:szCs w:val="32"/>
        </w:rPr>
        <w:t>万元，占政府采购支出总额的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10</w:t>
      </w:r>
      <w:r>
        <w:rPr>
          <w:rFonts w:hint="eastAsia" w:ascii="Times New Roman" w:hAnsi="Times New Roman" w:eastAsia="仿宋_GB2312"/>
          <w:color w:val="auto"/>
          <w:sz w:val="32"/>
          <w:szCs w:val="32"/>
          <w:lang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p>
    <w:p w14:paraId="72F0B6E4">
      <w:pPr>
        <w:pStyle w:val="16"/>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0125E92B">
      <w:pPr>
        <w:pStyle w:val="16"/>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年12月31日，部门（单位）共有车辆1辆，其中，主要领导干部用车0辆，机要通信用车0辆、应急保障用车0辆、执法执勤用车0辆、特种专业技术用车0辆、其他用车1辆，其他用车</w:t>
      </w:r>
      <w:r>
        <w:rPr>
          <w:rFonts w:hint="eastAsia" w:ascii="Times New Roman" w:hAnsi="Times New Roman" w:eastAsia="仿宋_GB2312"/>
          <w:color w:val="auto"/>
          <w:sz w:val="32"/>
          <w:szCs w:val="32"/>
          <w:lang w:eastAsia="zh-CN"/>
        </w:rPr>
        <w:t>是农业科技下乡直通车</w:t>
      </w:r>
      <w:r>
        <w:rPr>
          <w:rFonts w:hint="eastAsia" w:ascii="Times New Roman" w:hAnsi="Times New Roman" w:eastAsia="仿宋_GB2312"/>
          <w:color w:val="auto"/>
          <w:sz w:val="32"/>
          <w:szCs w:val="32"/>
        </w:rPr>
        <w:t>；单位价值50万元以上通用设备0台（套）；单位价值100万元以上专用设备0台（套）。</w:t>
      </w:r>
    </w:p>
    <w:p w14:paraId="75AC2CD9">
      <w:pPr>
        <w:pStyle w:val="16"/>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黑体" w:hAnsi="黑体" w:eastAsia="黑体" w:cs="黑体"/>
          <w:b w:val="0"/>
          <w:bCs/>
          <w:color w:val="auto"/>
          <w:sz w:val="32"/>
          <w:szCs w:val="32"/>
        </w:rPr>
        <w:t>年度预算绩效情况的说明</w:t>
      </w:r>
    </w:p>
    <w:p w14:paraId="18658074">
      <w:pPr>
        <w:pStyle w:val="16"/>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both"/>
        <w:textAlignment w:val="auto"/>
        <w:rPr>
          <w:rFonts w:hint="eastAsia" w:ascii="楷体" w:hAnsi="楷体" w:eastAsia="楷体" w:cs="楷体"/>
          <w:b/>
          <w:bCs/>
          <w:sz w:val="32"/>
          <w:szCs w:val="32"/>
          <w:lang w:eastAsia="zh-CN"/>
        </w:rPr>
      </w:pPr>
      <w:bookmarkStart w:id="3" w:name="OLE_LINK13"/>
      <w:bookmarkStart w:id="4" w:name="OLE_LINK50"/>
      <w:bookmarkStart w:id="5" w:name="OLE_LINK102"/>
      <w:bookmarkStart w:id="6" w:name="OLE_LINK45"/>
      <w:bookmarkStart w:id="7" w:name="OLE_LINK108"/>
      <w:r>
        <w:rPr>
          <w:rFonts w:hint="eastAsia" w:ascii="楷体" w:hAnsi="楷体" w:eastAsia="楷体" w:cs="楷体"/>
          <w:b/>
          <w:bCs/>
          <w:sz w:val="32"/>
          <w:szCs w:val="32"/>
          <w:lang w:eastAsia="zh-CN"/>
        </w:rPr>
        <w:t>（一）</w:t>
      </w:r>
      <w:bookmarkStart w:id="8" w:name="OLE_LINK5"/>
      <w:r>
        <w:rPr>
          <w:rFonts w:hint="eastAsia" w:ascii="楷体" w:hAnsi="楷体" w:eastAsia="楷体" w:cs="楷体"/>
          <w:b/>
          <w:bCs/>
          <w:sz w:val="32"/>
          <w:szCs w:val="32"/>
          <w:lang w:eastAsia="zh-CN"/>
        </w:rPr>
        <w:t>绩效管理工作开展情况</w:t>
      </w:r>
      <w:bookmarkEnd w:id="3"/>
      <w:bookmarkEnd w:id="8"/>
    </w:p>
    <w:p w14:paraId="5439BD49">
      <w:pPr>
        <w:pStyle w:val="16"/>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Times New Roman" w:hAnsi="Times New Roman" w:eastAsia="仿宋_GB2312"/>
          <w:color w:val="auto"/>
          <w:sz w:val="32"/>
          <w:szCs w:val="32"/>
          <w:lang w:eastAsia="zh-CN"/>
        </w:rPr>
      </w:pPr>
      <w:bookmarkStart w:id="9" w:name="OLE_LINK55"/>
      <w:bookmarkStart w:id="10" w:name="OLE_LINK40"/>
      <w:r>
        <w:rPr>
          <w:rFonts w:hint="eastAsia" w:ascii="Times New Roman" w:hAnsi="Times New Roman" w:eastAsia="仿宋_GB2312"/>
          <w:color w:val="auto"/>
          <w:sz w:val="32"/>
          <w:szCs w:val="32"/>
          <w:lang w:eastAsia="zh-CN"/>
        </w:rPr>
        <w:t>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lang w:eastAsia="zh-CN"/>
        </w:rPr>
        <w:t>年，编制预算时，我单位预算资金全部纳入绩效目标管理，预算执行时，为深化绩效监控，促进绩效目标实现，采取单位自控和财政审核相结合的方式，对绩效运行全过程进行跟踪监督，对偏离绩效目标、计划进度滞后、预算执行缓慢的项目及时督促整改。着力确保项目绩效目标顺利实现。项目完成后，采取“三位一体”绩效评价方式，即通过部门自评、财政再评价、第三方评价，对项目绩效情况出具绩效评价报告，及时向社会公开，并将绩效评价结果作为下年度预算编制的重要依据</w:t>
      </w:r>
      <w:bookmarkEnd w:id="4"/>
      <w:bookmarkEnd w:id="9"/>
      <w:r>
        <w:rPr>
          <w:rFonts w:hint="eastAsia" w:ascii="Times New Roman" w:hAnsi="Times New Roman" w:eastAsia="仿宋_GB2312"/>
          <w:color w:val="auto"/>
          <w:sz w:val="32"/>
          <w:szCs w:val="32"/>
          <w:lang w:eastAsia="zh-CN"/>
        </w:rPr>
        <w:t>。</w:t>
      </w:r>
      <w:bookmarkEnd w:id="5"/>
      <w:bookmarkEnd w:id="10"/>
    </w:p>
    <w:bookmarkEnd w:id="6"/>
    <w:p w14:paraId="30059CE5">
      <w:pPr>
        <w:pStyle w:val="16"/>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both"/>
        <w:textAlignment w:val="auto"/>
        <w:rPr>
          <w:rFonts w:hint="eastAsia" w:ascii="楷体" w:hAnsi="楷体" w:eastAsia="楷体" w:cs="楷体"/>
          <w:b/>
          <w:bCs/>
          <w:sz w:val="32"/>
          <w:szCs w:val="32"/>
        </w:rPr>
      </w:pPr>
      <w:bookmarkStart w:id="11" w:name="OLE_LINK46"/>
      <w:r>
        <w:rPr>
          <w:rFonts w:hint="eastAsia" w:ascii="楷体" w:hAnsi="楷体" w:eastAsia="楷体" w:cs="楷体"/>
          <w:b/>
          <w:bCs/>
          <w:sz w:val="32"/>
          <w:szCs w:val="32"/>
          <w:lang w:eastAsia="zh-CN"/>
        </w:rPr>
        <w:t>（二）</w:t>
      </w:r>
      <w:bookmarkStart w:id="12" w:name="OLE_LINK6"/>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bookmarkEnd w:id="12"/>
    </w:p>
    <w:bookmarkEnd w:id="7"/>
    <w:bookmarkEnd w:id="11"/>
    <w:p w14:paraId="7BF225CE">
      <w:pPr>
        <w:pStyle w:val="10"/>
        <w:keepNext w:val="0"/>
        <w:keepLines w:val="0"/>
        <w:pageBreakBefore w:val="0"/>
        <w:widowControl w:val="0"/>
        <w:kinsoku/>
        <w:wordWrap/>
        <w:overflowPunct/>
        <w:topLinePunct w:val="0"/>
        <w:bidi w:val="0"/>
        <w:snapToGrid/>
        <w:spacing w:before="0" w:beforeAutospacing="0" w:after="0" w:afterAutospacing="0" w:line="560" w:lineRule="exact"/>
        <w:ind w:firstLine="640" w:firstLineChars="200"/>
        <w:jc w:val="both"/>
        <w:textAlignment w:val="auto"/>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1）执行预算控制，厉行节约，实现预算收支平衡。坚持财务收支两条线的科学化管理方法，所有收入全部纳入部门预算，单位财务统一核算。所有支出遵循先有预算、后有支出的原则，有效杜绝了超预算或无预算安排支出。从经济性分析来看，</w:t>
      </w:r>
      <w:bookmarkStart w:id="13" w:name="_Hlk103959929"/>
      <w:r>
        <w:rPr>
          <w:rFonts w:hint="eastAsia" w:ascii="Times New Roman" w:hAnsi="Times New Roman" w:eastAsia="仿宋_GB2312" w:cs="黑体"/>
          <w:color w:val="auto"/>
          <w:kern w:val="0"/>
          <w:sz w:val="32"/>
          <w:szCs w:val="32"/>
          <w:lang w:val="en-US" w:eastAsia="zh-CN" w:bidi="ar-SA"/>
        </w:rPr>
        <w:t>2024年基本支出2,191.57万元，相对于2023年支出6,318.75万元，减少支出4,127.18万元，主要是对个人和家庭补助支出减少，主要原因是计算口径的变更，对个人和家庭补助属项目经费从基本支出中剔除。</w:t>
      </w:r>
      <w:bookmarkEnd w:id="13"/>
    </w:p>
    <w:p w14:paraId="57DE967E">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（2）</w:t>
      </w:r>
      <w:r>
        <w:rPr>
          <w:rFonts w:ascii="Times New Roman" w:hAnsi="Times New Roman" w:eastAsia="仿宋_GB2312" w:cs="Times New Roman"/>
          <w:color w:val="000000"/>
          <w:kern w:val="0"/>
          <w:sz w:val="32"/>
          <w:szCs w:val="32"/>
        </w:rPr>
        <w:t>绩效评价结果。</w:t>
      </w:r>
    </w:p>
    <w:p w14:paraId="1D8DAE1A">
      <w:pPr>
        <w:keepNext w:val="0"/>
        <w:keepLines w:val="0"/>
        <w:pageBreakBefore w:val="0"/>
        <w:widowControl w:val="0"/>
        <w:numPr>
          <w:ilvl w:val="0"/>
          <w:numId w:val="0"/>
        </w:numPr>
        <w:kinsoku/>
        <w:wordWrap/>
        <w:overflowPunct/>
        <w:topLinePunct w:val="0"/>
        <w:bidi w:val="0"/>
        <w:snapToGrid/>
        <w:spacing w:line="560" w:lineRule="exact"/>
        <w:ind w:firstLine="643" w:firstLineChars="200"/>
        <w:jc w:val="both"/>
        <w:textAlignment w:val="auto"/>
        <w:rPr>
          <w:rFonts w:hint="eastAsia" w:ascii="楷体" w:hAnsi="楷体" w:eastAsia="楷体" w:cs="黑体"/>
          <w:b/>
          <w:bCs/>
          <w:kern w:val="2"/>
          <w:sz w:val="32"/>
          <w:szCs w:val="32"/>
          <w:lang w:val="en-US" w:eastAsia="zh-CN" w:bidi="ar-SA"/>
        </w:rPr>
      </w:pPr>
      <w:r>
        <w:rPr>
          <w:rFonts w:hint="eastAsia" w:ascii="楷体" w:hAnsi="楷体" w:eastAsia="楷体" w:cs="黑体"/>
          <w:b/>
          <w:bCs/>
          <w:kern w:val="2"/>
          <w:sz w:val="32"/>
          <w:szCs w:val="32"/>
          <w:lang w:val="en-US" w:eastAsia="zh-CN" w:bidi="ar-SA"/>
        </w:rPr>
        <w:t>1.守牢粮食安全底线。</w:t>
      </w:r>
    </w:p>
    <w:p w14:paraId="174F1EA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宋体" w:eastAsia="仿宋_GB2312" w:cs="Times New Roman"/>
          <w:kern w:val="2"/>
          <w:sz w:val="32"/>
          <w:szCs w:val="32"/>
          <w:lang w:val="en-US" w:eastAsia="zh-CN" w:bidi="ar-SA"/>
        </w:rPr>
      </w:pPr>
      <w:r>
        <w:rPr>
          <w:rFonts w:hint="eastAsia" w:ascii="仿宋_GB2312" w:hAnsi="宋体" w:eastAsia="仿宋_GB2312" w:cs="Times New Roman"/>
          <w:b/>
          <w:bCs/>
          <w:kern w:val="2"/>
          <w:sz w:val="32"/>
          <w:szCs w:val="32"/>
          <w:lang w:val="en-US" w:eastAsia="zh-CN" w:bidi="ar-SA"/>
        </w:rPr>
        <w:t>（1）粮食生产情况。</w:t>
      </w:r>
      <w:r>
        <w:rPr>
          <w:rFonts w:hint="eastAsia" w:ascii="仿宋_GB2312" w:hAnsi="宋体" w:eastAsia="仿宋_GB2312" w:cs="Times New Roman"/>
          <w:kern w:val="2"/>
          <w:sz w:val="32"/>
          <w:szCs w:val="32"/>
          <w:lang w:val="en-US" w:eastAsia="zh-CN" w:bidi="ar-SA"/>
        </w:rPr>
        <w:t>2024年，市下达我县粮食播种面积任务81万亩，其中水稻47.64万亩（早稻0.1万亩，晚稻0.12万亩，中稻47.48万亩），再生稻0.3万亩，大豆2.6万亩，玉米20.9万亩。实际完成粮食播种面积81.31万亩，超出目标任务0.31万亩。我县粮食产量目标任务36.25万吨，通过落实关键稳产增产措施，预计全县实际粮食总产量36.93万吨，超出目标任务0.68万吨，比2023年粮食总产量（36.17万吨）增加了0.76万吨。此外，我县大豆玉米带状复合种植任务面积为2.2万亩，实际种植面积为2.285万亩，已完成本年度大豆玉米带状复合种植任务面积。</w:t>
      </w:r>
    </w:p>
    <w:p w14:paraId="59B523E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b/>
          <w:bCs/>
          <w:kern w:val="2"/>
          <w:sz w:val="32"/>
          <w:szCs w:val="32"/>
          <w:lang w:val="en-US" w:eastAsia="zh-CN" w:bidi="ar-SA"/>
        </w:rPr>
        <w:t>（2）抓好示范样板。</w:t>
      </w:r>
      <w:r>
        <w:rPr>
          <w:rFonts w:hint="eastAsia" w:ascii="仿宋_GB2312" w:hAnsi="宋体" w:eastAsia="仿宋_GB2312" w:cs="Times New Roman"/>
          <w:kern w:val="2"/>
          <w:sz w:val="32"/>
          <w:szCs w:val="32"/>
          <w:lang w:val="en-US" w:eastAsia="zh-CN" w:bidi="ar-SA"/>
        </w:rPr>
        <w:t>全县创建市级粮食生产千亩综合示范片2个，总面积2100亩（核心示范区分别位于观音阁镇文家冲村和北斗溪镇坪溪村），县、乡两级共创办水稻、大豆玉米带状复合种植模式、高粱、红薯等粮食作物千、百亩示范片50个。</w:t>
      </w:r>
    </w:p>
    <w:p w14:paraId="7EA0473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b/>
          <w:bCs/>
          <w:kern w:val="2"/>
          <w:sz w:val="32"/>
          <w:szCs w:val="32"/>
          <w:lang w:val="en-US" w:eastAsia="zh-CN" w:bidi="ar-SA"/>
        </w:rPr>
        <w:t>（3）促进单产提升。</w:t>
      </w:r>
      <w:r>
        <w:rPr>
          <w:rFonts w:hint="eastAsia" w:ascii="仿宋_GB2312" w:hAnsi="宋体" w:eastAsia="仿宋_GB2312" w:cs="Times New Roman"/>
          <w:kern w:val="2"/>
          <w:sz w:val="32"/>
          <w:szCs w:val="32"/>
          <w:lang w:val="en-US" w:eastAsia="zh-CN" w:bidi="ar-SA"/>
        </w:rPr>
        <w:t>执行全省技术方案，水稻、玉米、大豆、油菜等大宗农作物单产持平或提升。2024年粮食平均单产为454.14 kg/亩，比上年每亩增加了5.72 kg。</w:t>
      </w:r>
    </w:p>
    <w:p w14:paraId="5FE24F9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b/>
          <w:bCs/>
          <w:kern w:val="2"/>
          <w:sz w:val="32"/>
          <w:szCs w:val="32"/>
          <w:lang w:val="en-US" w:eastAsia="zh-CN" w:bidi="ar-SA"/>
        </w:rPr>
        <w:t>（4）耕地撂荒、“非粮化”治理方面。</w:t>
      </w:r>
      <w:r>
        <w:rPr>
          <w:rFonts w:hint="eastAsia" w:ascii="仿宋_GB2312" w:hAnsi="宋体" w:eastAsia="仿宋_GB2312" w:cs="Times New Roman"/>
          <w:kern w:val="2"/>
          <w:sz w:val="32"/>
          <w:szCs w:val="32"/>
          <w:lang w:val="en-US" w:eastAsia="zh-CN" w:bidi="ar-SA"/>
        </w:rPr>
        <w:t>截至目前，省田长办向我县下发的非粮化图斑中，涉及我县“非粮化”问题整改图斑总共208个，已完成整治销号204个，未完成4个，整治销号完成率98.08%。</w:t>
      </w:r>
    </w:p>
    <w:p w14:paraId="239C4B04">
      <w:pPr>
        <w:keepNext w:val="0"/>
        <w:keepLines w:val="0"/>
        <w:pageBreakBefore w:val="0"/>
        <w:widowControl w:val="0"/>
        <w:numPr>
          <w:ilvl w:val="0"/>
          <w:numId w:val="0"/>
        </w:numPr>
        <w:kinsoku/>
        <w:wordWrap/>
        <w:overflowPunct/>
        <w:topLinePunct w:val="0"/>
        <w:bidi w:val="0"/>
        <w:snapToGrid/>
        <w:spacing w:line="560" w:lineRule="exact"/>
        <w:ind w:firstLine="643" w:firstLineChars="200"/>
        <w:jc w:val="both"/>
        <w:textAlignment w:val="auto"/>
        <w:rPr>
          <w:rFonts w:hint="eastAsia" w:ascii="楷体" w:hAnsi="楷体" w:eastAsia="楷体" w:cs="黑体"/>
          <w:kern w:val="2"/>
          <w:sz w:val="32"/>
          <w:szCs w:val="32"/>
          <w:lang w:val="en-US" w:eastAsia="zh-CN" w:bidi="ar-SA"/>
        </w:rPr>
      </w:pPr>
      <w:r>
        <w:rPr>
          <w:rFonts w:hint="eastAsia" w:ascii="楷体" w:hAnsi="楷体" w:eastAsia="楷体" w:cs="黑体"/>
          <w:b/>
          <w:bCs/>
          <w:kern w:val="2"/>
          <w:sz w:val="32"/>
          <w:szCs w:val="32"/>
          <w:lang w:val="en-US" w:eastAsia="zh-CN" w:bidi="ar-SA"/>
        </w:rPr>
        <w:t>2.守牢巩固脱贫成果底线</w:t>
      </w:r>
      <w:r>
        <w:rPr>
          <w:rFonts w:hint="eastAsia" w:ascii="楷体" w:hAnsi="楷体" w:eastAsia="楷体" w:cs="黑体"/>
          <w:kern w:val="2"/>
          <w:sz w:val="32"/>
          <w:szCs w:val="32"/>
          <w:lang w:val="en-US" w:eastAsia="zh-CN" w:bidi="ar-SA"/>
        </w:rPr>
        <w:t>。</w:t>
      </w:r>
    </w:p>
    <w:p w14:paraId="51BEF2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宋体" w:eastAsia="仿宋_GB2312" w:cs="Times New Roman"/>
          <w:kern w:val="2"/>
          <w:sz w:val="32"/>
          <w:szCs w:val="32"/>
          <w:lang w:val="en-US" w:eastAsia="zh-CN" w:bidi="ar-SA"/>
        </w:rPr>
      </w:pPr>
      <w:r>
        <w:rPr>
          <w:rFonts w:hint="default" w:ascii="仿宋_GB2312" w:hAnsi="宋体" w:eastAsia="仿宋_GB2312" w:cs="Times New Roman"/>
          <w:kern w:val="2"/>
          <w:sz w:val="32"/>
          <w:szCs w:val="32"/>
          <w:lang w:val="en-US" w:eastAsia="zh-CN" w:bidi="ar-SA"/>
        </w:rPr>
        <w:t>截止目前，</w:t>
      </w:r>
      <w:r>
        <w:rPr>
          <w:rFonts w:hint="eastAsia" w:ascii="仿宋_GB2312" w:hAnsi="宋体" w:eastAsia="仿宋_GB2312" w:cs="Times New Roman"/>
          <w:kern w:val="2"/>
          <w:sz w:val="32"/>
          <w:szCs w:val="32"/>
          <w:lang w:val="en-US" w:eastAsia="zh-CN" w:bidi="ar-SA"/>
        </w:rPr>
        <w:t>全县共有</w:t>
      </w:r>
      <w:r>
        <w:rPr>
          <w:rFonts w:hint="default" w:ascii="仿宋_GB2312" w:hAnsi="宋体" w:eastAsia="仿宋_GB2312" w:cs="Times New Roman"/>
          <w:kern w:val="2"/>
          <w:sz w:val="32"/>
          <w:szCs w:val="32"/>
          <w:lang w:val="en-US" w:eastAsia="zh-CN" w:bidi="ar-SA"/>
        </w:rPr>
        <w:t>脱贫户37691户129043人，监测对象4303户11605人。已消除风险2159户6101人，未消除风险2145户5507人。新识别228户674人，风险消除121户332人。</w:t>
      </w:r>
    </w:p>
    <w:p w14:paraId="004B105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宋体" w:eastAsia="仿宋_GB2312" w:cs="Times New Roman"/>
          <w:kern w:val="2"/>
          <w:sz w:val="32"/>
          <w:szCs w:val="32"/>
          <w:lang w:val="en-US" w:eastAsia="zh-CN" w:bidi="ar-SA"/>
        </w:rPr>
      </w:pPr>
      <w:r>
        <w:rPr>
          <w:rFonts w:hint="eastAsia" w:ascii="仿宋_GB2312" w:hAnsi="宋体" w:eastAsia="仿宋_GB2312" w:cs="Times New Roman"/>
          <w:b/>
          <w:bCs/>
          <w:kern w:val="2"/>
          <w:sz w:val="32"/>
          <w:szCs w:val="32"/>
          <w:lang w:val="en-US" w:eastAsia="zh-CN" w:bidi="ar-SA"/>
        </w:rPr>
        <w:t>（1）</w:t>
      </w:r>
      <w:r>
        <w:rPr>
          <w:rFonts w:hint="default" w:ascii="仿宋_GB2312" w:hAnsi="宋体" w:eastAsia="仿宋_GB2312" w:cs="Times New Roman"/>
          <w:b/>
          <w:bCs/>
          <w:kern w:val="2"/>
          <w:sz w:val="32"/>
          <w:szCs w:val="32"/>
          <w:lang w:val="en-US" w:eastAsia="zh-CN" w:bidi="ar-SA"/>
        </w:rPr>
        <w:t>防返贫监测帮扶情况。</w:t>
      </w:r>
      <w:r>
        <w:rPr>
          <w:rFonts w:hint="default" w:ascii="仿宋_GB2312" w:hAnsi="宋体" w:eastAsia="仿宋_GB2312" w:cs="Times New Roman"/>
          <w:kern w:val="2"/>
          <w:sz w:val="32"/>
          <w:szCs w:val="32"/>
          <w:lang w:val="en-US" w:eastAsia="zh-CN" w:bidi="ar-SA"/>
        </w:rPr>
        <w:t>应纳尽纳方面，完成了全县防止返贫动态监测帮扶集中排查，共排查247453户，其中排查因安全住房、因病等原因新纳入监测对象31户87人。实行残联、民政、医保等风险排查预警数据共享，定期数据比对，对风险预警数据逐个核查，新纳入监测对象228户674人。应帮尽帮方面，根据监测户返贫致贫风险类型，逐户制定针对性的具体帮扶措施，现已落实产业帮扶措施1969户，就业帮扶措施1876户，金融帮扶措施134户，公益性岗位帮扶125户，危房改造帮扶469户，健康扶贫措施3335户，义务教育扶贫措施654户，教育帮扶措施492户，综合保障性措施3386户等，户均享受帮扶措施4.88个。风险消除情况，严格履行风险消除程序，今年已风险消除121户332人。强化政策宣传，印制防止返贫监测帮扶“明白纸”5.2万余份，将监测对象申报政策“明白纸”发放至所有农户，帮扶政策“明白纸”发放至所有监测对象。</w:t>
      </w:r>
    </w:p>
    <w:p w14:paraId="4C610ED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宋体" w:eastAsia="仿宋_GB2312" w:cs="Times New Roman"/>
          <w:kern w:val="2"/>
          <w:sz w:val="32"/>
          <w:szCs w:val="32"/>
          <w:lang w:val="en-US" w:eastAsia="zh-CN" w:bidi="ar-SA"/>
        </w:rPr>
      </w:pPr>
      <w:r>
        <w:rPr>
          <w:rFonts w:hint="eastAsia" w:ascii="仿宋_GB2312" w:hAnsi="宋体" w:eastAsia="仿宋_GB2312" w:cs="Times New Roman"/>
          <w:b/>
          <w:bCs/>
          <w:kern w:val="2"/>
          <w:sz w:val="32"/>
          <w:szCs w:val="32"/>
          <w:lang w:val="en-US" w:eastAsia="zh-CN" w:bidi="ar-SA"/>
        </w:rPr>
        <w:t>（2）</w:t>
      </w:r>
      <w:r>
        <w:rPr>
          <w:rFonts w:hint="default" w:ascii="仿宋_GB2312" w:hAnsi="宋体" w:eastAsia="仿宋_GB2312" w:cs="Times New Roman"/>
          <w:b/>
          <w:bCs/>
          <w:kern w:val="2"/>
          <w:sz w:val="32"/>
          <w:szCs w:val="32"/>
          <w:lang w:val="en-US" w:eastAsia="zh-CN" w:bidi="ar-SA"/>
        </w:rPr>
        <w:t>稳岗就业情况。</w:t>
      </w:r>
      <w:r>
        <w:rPr>
          <w:rFonts w:hint="default" w:ascii="仿宋_GB2312" w:hAnsi="宋体" w:eastAsia="仿宋_GB2312" w:cs="Times New Roman"/>
          <w:kern w:val="2"/>
          <w:sz w:val="32"/>
          <w:szCs w:val="32"/>
          <w:lang w:val="en-US" w:eastAsia="zh-CN" w:bidi="ar-SA"/>
        </w:rPr>
        <w:t>实施稳岗就业，全县实施乡村公益性岗位的脱贫户、监测对象共1495人，四个季度共发放工资1495万元。促进务工就业，现有就业帮扶车间86个，保障871名脱贫人口实现在家门口就业。全县脱贫劳动力外出务工总人数5.84万人，对县外务工人员发放一次性交通补贴，符合发放标准的34824人，发放补贴1284.17万元。</w:t>
      </w:r>
    </w:p>
    <w:p w14:paraId="388B9F1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宋体" w:eastAsia="仿宋_GB2312" w:cs="Times New Roman"/>
          <w:kern w:val="2"/>
          <w:sz w:val="32"/>
          <w:szCs w:val="32"/>
          <w:lang w:val="en-US" w:eastAsia="zh-CN" w:bidi="ar-SA"/>
        </w:rPr>
      </w:pPr>
      <w:r>
        <w:rPr>
          <w:rFonts w:hint="eastAsia" w:ascii="仿宋_GB2312" w:hAnsi="宋体" w:eastAsia="仿宋_GB2312" w:cs="Times New Roman"/>
          <w:b/>
          <w:bCs/>
          <w:kern w:val="2"/>
          <w:sz w:val="32"/>
          <w:szCs w:val="32"/>
          <w:lang w:val="en-US" w:eastAsia="zh-CN" w:bidi="ar-SA"/>
        </w:rPr>
        <w:t>（3）</w:t>
      </w:r>
      <w:r>
        <w:rPr>
          <w:rFonts w:hint="default" w:ascii="仿宋_GB2312" w:hAnsi="宋体" w:eastAsia="仿宋_GB2312" w:cs="Times New Roman"/>
          <w:b/>
          <w:bCs/>
          <w:kern w:val="2"/>
          <w:sz w:val="32"/>
          <w:szCs w:val="32"/>
          <w:lang w:val="en-US" w:eastAsia="zh-CN" w:bidi="ar-SA"/>
        </w:rPr>
        <w:t>雨露计划。</w:t>
      </w:r>
      <w:r>
        <w:rPr>
          <w:rFonts w:hint="default" w:ascii="仿宋_GB2312" w:hAnsi="宋体" w:eastAsia="仿宋_GB2312" w:cs="Times New Roman"/>
          <w:kern w:val="2"/>
          <w:sz w:val="32"/>
          <w:szCs w:val="32"/>
          <w:lang w:val="en-US" w:eastAsia="zh-CN" w:bidi="ar-SA"/>
        </w:rPr>
        <w:t>春季雨露计划补助4678人，发放补助701.7万元。秋季雨露计划补助4767人，发放补助715.05万元。</w:t>
      </w:r>
    </w:p>
    <w:p w14:paraId="7C938DE4">
      <w:pPr>
        <w:keepNext w:val="0"/>
        <w:keepLines w:val="0"/>
        <w:pageBreakBefore w:val="0"/>
        <w:widowControl w:val="0"/>
        <w:numPr>
          <w:ilvl w:val="0"/>
          <w:numId w:val="0"/>
        </w:numPr>
        <w:kinsoku/>
        <w:wordWrap/>
        <w:overflowPunct/>
        <w:topLinePunct w:val="0"/>
        <w:bidi w:val="0"/>
        <w:snapToGrid/>
        <w:spacing w:line="560" w:lineRule="exact"/>
        <w:ind w:firstLine="643" w:firstLineChars="200"/>
        <w:jc w:val="both"/>
        <w:textAlignment w:val="auto"/>
        <w:rPr>
          <w:rFonts w:hint="default" w:ascii="楷体" w:hAnsi="楷体" w:eastAsia="楷体" w:cs="黑体"/>
          <w:b/>
          <w:bCs/>
          <w:kern w:val="2"/>
          <w:sz w:val="32"/>
          <w:szCs w:val="32"/>
          <w:lang w:val="en-US" w:eastAsia="zh-CN" w:bidi="ar-SA"/>
        </w:rPr>
      </w:pPr>
      <w:r>
        <w:rPr>
          <w:rFonts w:hint="eastAsia" w:ascii="楷体" w:hAnsi="楷体" w:eastAsia="楷体" w:cs="黑体"/>
          <w:b/>
          <w:bCs/>
          <w:kern w:val="2"/>
          <w:sz w:val="32"/>
          <w:szCs w:val="32"/>
          <w:lang w:val="en-US" w:eastAsia="zh-CN" w:bidi="ar-SA"/>
        </w:rPr>
        <w:t>3.因地制宜发展特色产业。</w:t>
      </w:r>
    </w:p>
    <w:p w14:paraId="1561911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b/>
          <w:bCs/>
          <w:kern w:val="2"/>
          <w:sz w:val="32"/>
          <w:szCs w:val="32"/>
          <w:lang w:val="en-US" w:eastAsia="zh-CN" w:bidi="ar-SA"/>
        </w:rPr>
        <w:t>（1）中医药产业发展情况。</w:t>
      </w:r>
      <w:r>
        <w:rPr>
          <w:rFonts w:hint="eastAsia" w:ascii="仿宋_GB2312" w:hAnsi="宋体" w:eastAsia="仿宋_GB2312" w:cs="Times New Roman"/>
          <w:kern w:val="2"/>
          <w:sz w:val="32"/>
          <w:szCs w:val="32"/>
          <w:lang w:val="en-US" w:eastAsia="zh-CN" w:bidi="ar-SA"/>
        </w:rPr>
        <w:t>落实中药材计划种植面积20230亩，已完成新增种植面积14140亩，超额完成市考核指标1万亩任务。10月，我县山银花在全国特色产业首批数据产品集中上市。葛竹坪镇天星村标准化山银花加工厂、龙潭镇山银花集散交易市场及冷链仓储，2个重点项目年内计划投资0.5 亿元，目前已完成投资0.16亿元，为年度任务的32%。创建GAP示范基地。与湖南正清制药有限公司达成实质性合作，在我县龙潭镇红岩、红岭两个村建设GAP山银花种植基地，由正清公司按照国家GAP相关条款，共同进行基地管理，包括栽培、加工及溯源信息建立、系统数据录入等。</w:t>
      </w:r>
    </w:p>
    <w:p w14:paraId="136D142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b/>
          <w:bCs/>
          <w:kern w:val="2"/>
          <w:sz w:val="32"/>
          <w:szCs w:val="32"/>
          <w:lang w:val="en-US" w:eastAsia="zh-CN" w:bidi="ar-SA"/>
        </w:rPr>
        <w:t>（2）柑橘产业发展情况。</w:t>
      </w:r>
      <w:r>
        <w:rPr>
          <w:rFonts w:hint="eastAsia" w:ascii="仿宋_GB2312" w:hAnsi="宋体" w:eastAsia="仿宋_GB2312" w:cs="Times New Roman"/>
          <w:kern w:val="2"/>
          <w:sz w:val="32"/>
          <w:szCs w:val="32"/>
          <w:lang w:val="en-US" w:eastAsia="zh-CN" w:bidi="ar-SA"/>
        </w:rPr>
        <w:t>一是推进柑橘品改。大力鼓励和引导群众对低产园实施品种改良，今年已完成柑橘品改15500亩，其中高接换种2691亩，老园改造5129亩，完成低产园改造7680亩。二是严密防控病害。把柑橘黄龙病防控作为重点，县财政安排专项资金，采购了一批防控药品用于支持木虱防控。三是开展标准化创建。开展大力开展标准化示范园创建，完善果园基础设施、推广节水灌溉、配方施肥、有机肥替代化肥、生草栽培、病虫害绿色防控、完熟栽培、采后商品化处理等综合配套技术，全县共创建县级优质柑橘产业示范园7个。四是完善产业链条。柑橘加工企业发展到38家，建成初加工商品化处理线32条，深加工生产线3条，年加工片片橘能力达3万吨以上，其中省级龙头企业雪峰食品公司加工能力2万吨以上。</w:t>
      </w:r>
    </w:p>
    <w:p w14:paraId="2242E54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b/>
          <w:bCs/>
          <w:kern w:val="2"/>
          <w:sz w:val="32"/>
          <w:szCs w:val="32"/>
          <w:lang w:val="en-US" w:eastAsia="zh-CN" w:bidi="ar-SA"/>
        </w:rPr>
        <w:t>（3）茶叶产业发展情况。</w:t>
      </w:r>
      <w:r>
        <w:rPr>
          <w:rFonts w:hint="eastAsia" w:ascii="仿宋_GB2312" w:hAnsi="宋体" w:eastAsia="仿宋_GB2312" w:cs="Times New Roman"/>
          <w:kern w:val="2"/>
          <w:sz w:val="32"/>
          <w:szCs w:val="32"/>
          <w:lang w:val="en-US" w:eastAsia="zh-CN" w:bidi="ar-SA"/>
        </w:rPr>
        <w:t>全县茶叶种植面积2.6万亩，干毛茶产量880吨左右、春茶产值4220万元。集中连片100亩—500亩的规模基地18个，500亩以上的专业村2个（北斗溪镇宝山村、中都乡中都村）。茶叶加工厂发展到18家、茶叶专业合作社9家、茶叶企业7家，其中市级农业产业化龙头企业3家。</w:t>
      </w:r>
    </w:p>
    <w:p w14:paraId="366FD20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宋体" w:eastAsia="仿宋_GB2312" w:cs="Times New Roman"/>
          <w:kern w:val="2"/>
          <w:sz w:val="32"/>
          <w:szCs w:val="32"/>
          <w:lang w:val="en-US" w:eastAsia="zh-CN" w:bidi="ar-SA"/>
        </w:rPr>
      </w:pPr>
      <w:r>
        <w:rPr>
          <w:rFonts w:hint="eastAsia" w:ascii="仿宋_GB2312" w:hAnsi="宋体" w:eastAsia="仿宋_GB2312" w:cs="Times New Roman"/>
          <w:b/>
          <w:bCs/>
          <w:kern w:val="2"/>
          <w:sz w:val="32"/>
          <w:szCs w:val="32"/>
          <w:lang w:val="en-US" w:eastAsia="zh-CN" w:bidi="ar-SA"/>
        </w:rPr>
        <w:t>（4）畜牧业发展情况。</w:t>
      </w:r>
      <w:r>
        <w:rPr>
          <w:rFonts w:hint="eastAsia" w:ascii="仿宋_GB2312" w:hAnsi="宋体" w:eastAsia="仿宋_GB2312" w:cs="Times New Roman"/>
          <w:kern w:val="2"/>
          <w:sz w:val="32"/>
          <w:szCs w:val="32"/>
          <w:lang w:val="en-US" w:eastAsia="zh-CN" w:bidi="ar-SA"/>
        </w:rPr>
        <w:t>前三季度，全县生猪饲养量达130.98万头，其中生猪存栏54.79万头，出栏76.18万头,能繁母猪4.97万头，存栏同比增2.8%；家禽饲养量679.99万羽，其中存笼317.69万羽，出笼362.30万羽，存笼同比增3.6%。溆浦鹅饲养量118万羽，其中存笼54万羽，出笼62万羽。渔业水产品总量11597吨。畜牧水产业总产值24.5亿元。引导天天柴火鱼公司到安徽、浙江等地考察学习新式菜品，鹅肥肝餐饮新菜品—“红酒鹅肝”试制成功，受到市场追捧，促进老百姓新的消费驱动，推动溆浦鹅深加工发展。</w:t>
      </w:r>
    </w:p>
    <w:p w14:paraId="3CF5D41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宋体" w:eastAsia="仿宋_GB2312" w:cs="Times New Roman"/>
          <w:kern w:val="2"/>
          <w:sz w:val="32"/>
          <w:szCs w:val="32"/>
          <w:lang w:val="en-US" w:eastAsia="zh-CN" w:bidi="ar-SA"/>
        </w:rPr>
      </w:pPr>
      <w:r>
        <w:rPr>
          <w:rFonts w:hint="eastAsia" w:ascii="仿宋_GB2312" w:hAnsi="宋体" w:eastAsia="仿宋_GB2312" w:cs="Times New Roman"/>
          <w:b/>
          <w:bCs/>
          <w:kern w:val="2"/>
          <w:sz w:val="32"/>
          <w:szCs w:val="32"/>
          <w:lang w:val="en-US" w:eastAsia="zh-CN" w:bidi="ar-SA"/>
        </w:rPr>
        <w:t>（5）种业发展情况。</w:t>
      </w:r>
      <w:r>
        <w:rPr>
          <w:rFonts w:hint="eastAsia" w:ascii="仿宋_GB2312" w:hAnsi="宋体" w:eastAsia="仿宋_GB2312" w:cs="Times New Roman"/>
          <w:kern w:val="2"/>
          <w:sz w:val="32"/>
          <w:szCs w:val="32"/>
          <w:lang w:val="en-US" w:eastAsia="zh-CN" w:bidi="ar-SA"/>
        </w:rPr>
        <w:t>完成杂交水稻制种面积3.33万亩，完成父母本精量粘种育秧技术推广0.95万亩，母本机插秧技术推广1.06万亩，无人机喷施技术推广1.68万亩，无人机授粉技术推广0.15万亩。充分利用制种大县中央财政奖励资金，加大基地建设力度。在水东镇完成了现代种业产业中心工程项目设计，目前已开始招投标，即将启动建设工作。同时，我们还完善了仓储、烘干等设施建设，在板栗坪村完成了集烘干、精选等功能于一体的种子区域服务站的建设任务。还完成了卢峰镇新坪村、双井镇堰塘湾村种子区域服务站设计工作。</w:t>
      </w:r>
    </w:p>
    <w:p w14:paraId="30F6A133">
      <w:pPr>
        <w:keepNext w:val="0"/>
        <w:keepLines w:val="0"/>
        <w:pageBreakBefore w:val="0"/>
        <w:widowControl w:val="0"/>
        <w:numPr>
          <w:ilvl w:val="0"/>
          <w:numId w:val="0"/>
        </w:numPr>
        <w:kinsoku/>
        <w:wordWrap/>
        <w:overflowPunct/>
        <w:topLinePunct w:val="0"/>
        <w:bidi w:val="0"/>
        <w:snapToGrid/>
        <w:spacing w:line="560" w:lineRule="exact"/>
        <w:ind w:firstLine="643" w:firstLineChars="200"/>
        <w:jc w:val="both"/>
        <w:textAlignment w:val="auto"/>
        <w:rPr>
          <w:rFonts w:hint="eastAsia" w:ascii="楷体" w:hAnsi="楷体" w:eastAsia="楷体" w:cs="黑体"/>
          <w:kern w:val="2"/>
          <w:sz w:val="32"/>
          <w:szCs w:val="32"/>
          <w:lang w:val="en-US" w:eastAsia="zh-CN" w:bidi="ar-SA"/>
        </w:rPr>
      </w:pPr>
      <w:r>
        <w:rPr>
          <w:rFonts w:hint="eastAsia" w:ascii="楷体" w:hAnsi="楷体" w:eastAsia="楷体" w:cs="黑体"/>
          <w:b/>
          <w:bCs/>
          <w:kern w:val="2"/>
          <w:sz w:val="32"/>
          <w:szCs w:val="32"/>
          <w:lang w:val="en-US" w:eastAsia="zh-CN" w:bidi="ar-SA"/>
        </w:rPr>
        <w:t>4.大力推进乡村建设。</w:t>
      </w:r>
    </w:p>
    <w:p w14:paraId="0E11BD8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宋体" w:eastAsia="仿宋_GB2312" w:cs="Times New Roman"/>
          <w:kern w:val="2"/>
          <w:sz w:val="32"/>
          <w:szCs w:val="32"/>
          <w:lang w:val="en-US" w:eastAsia="zh-CN" w:bidi="ar-SA"/>
        </w:rPr>
      </w:pPr>
      <w:r>
        <w:rPr>
          <w:rFonts w:hint="eastAsia" w:ascii="仿宋_GB2312" w:hAnsi="宋体" w:eastAsia="仿宋_GB2312" w:cs="Times New Roman"/>
          <w:b/>
          <w:bCs/>
          <w:kern w:val="2"/>
          <w:sz w:val="32"/>
          <w:szCs w:val="32"/>
          <w:lang w:val="en-US" w:eastAsia="zh-CN" w:bidi="ar-SA"/>
        </w:rPr>
        <w:t>（1）高标准农田建设情况。</w:t>
      </w:r>
      <w:r>
        <w:rPr>
          <w:rFonts w:hint="eastAsia" w:ascii="仿宋_GB2312" w:hAnsi="宋体" w:eastAsia="仿宋_GB2312" w:cs="Times New Roman"/>
          <w:kern w:val="2"/>
          <w:sz w:val="32"/>
          <w:szCs w:val="32"/>
          <w:lang w:val="en-US" w:eastAsia="zh-CN" w:bidi="ar-SA"/>
        </w:rPr>
        <w:t>完成2023年高标准农田建设5.63万亩。完成2024年高标准农田建设（国债）项目建设高标准农田0.6万亩，目前田间工程已全部完成。2024年高标准农田建设（常规）项目建设任务1.68万亩，已全面开工建设。</w:t>
      </w:r>
    </w:p>
    <w:p w14:paraId="487BEA2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宋体" w:eastAsia="仿宋_GB2312" w:cs="Times New Roman"/>
          <w:kern w:val="2"/>
          <w:sz w:val="32"/>
          <w:szCs w:val="32"/>
          <w:lang w:val="en-US" w:eastAsia="zh-CN" w:bidi="ar-SA"/>
        </w:rPr>
      </w:pPr>
      <w:r>
        <w:rPr>
          <w:rFonts w:hint="eastAsia" w:ascii="仿宋_GB2312" w:hAnsi="宋体" w:eastAsia="仿宋_GB2312" w:cs="Times New Roman"/>
          <w:b/>
          <w:bCs/>
          <w:kern w:val="2"/>
          <w:sz w:val="32"/>
          <w:szCs w:val="32"/>
          <w:lang w:val="en-US" w:eastAsia="zh-CN" w:bidi="ar-SA"/>
        </w:rPr>
        <w:t>（2）农村改厕和人居环境整治。</w:t>
      </w:r>
      <w:r>
        <w:rPr>
          <w:rFonts w:hint="eastAsia" w:ascii="仿宋_GB2312" w:hAnsi="宋体" w:eastAsia="仿宋_GB2312" w:cs="Times New Roman"/>
          <w:kern w:val="2"/>
          <w:sz w:val="32"/>
          <w:szCs w:val="32"/>
          <w:lang w:val="en-US" w:eastAsia="zh-CN" w:bidi="ar-SA"/>
        </w:rPr>
        <w:t>按照“五共五美”模式，以“一拆二改三清四化”为总抓手，大力开展农村人居环境整治提升行动，全市第一季度农村人居环境整治打擂台现场会在溆浦县召开。实施2000座农村户厕改（新）建和新建11座农村公厕，2000座农村户厕在11月底全面完成，11座农村公厕已完成9座，还有2座因村里用地的问题，计划2025年2月份完成。创建市级和美乡镇1个、和美村庄14个、和美团寨100个、和美庭院1000户，各项工作任务已落实完成。</w:t>
      </w:r>
    </w:p>
    <w:p w14:paraId="22AEFEDB">
      <w:pPr>
        <w:keepNext w:val="0"/>
        <w:keepLines w:val="0"/>
        <w:pageBreakBefore w:val="0"/>
        <w:widowControl w:val="0"/>
        <w:numPr>
          <w:ilvl w:val="0"/>
          <w:numId w:val="0"/>
        </w:numPr>
        <w:kinsoku/>
        <w:wordWrap/>
        <w:overflowPunct/>
        <w:topLinePunct w:val="0"/>
        <w:bidi w:val="0"/>
        <w:snapToGrid/>
        <w:spacing w:line="560" w:lineRule="exact"/>
        <w:ind w:firstLine="643" w:firstLineChars="200"/>
        <w:jc w:val="both"/>
        <w:textAlignment w:val="auto"/>
        <w:rPr>
          <w:rFonts w:hint="eastAsia" w:ascii="楷体" w:hAnsi="楷体" w:eastAsia="楷体" w:cs="黑体"/>
          <w:b/>
          <w:bCs/>
          <w:kern w:val="2"/>
          <w:sz w:val="32"/>
          <w:szCs w:val="32"/>
          <w:lang w:val="en-US" w:eastAsia="zh-CN" w:bidi="ar-SA"/>
        </w:rPr>
      </w:pPr>
      <w:r>
        <w:rPr>
          <w:rFonts w:hint="eastAsia" w:ascii="楷体" w:hAnsi="楷体" w:eastAsia="楷体" w:cs="黑体"/>
          <w:b/>
          <w:bCs/>
          <w:kern w:val="2"/>
          <w:sz w:val="32"/>
          <w:szCs w:val="32"/>
          <w:lang w:val="en-US" w:eastAsia="zh-CN" w:bidi="ar-SA"/>
        </w:rPr>
        <w:t>5.不断优化完善乡村治理。</w:t>
      </w:r>
    </w:p>
    <w:p w14:paraId="3A2B81E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b/>
          <w:bCs/>
          <w:kern w:val="2"/>
          <w:sz w:val="32"/>
          <w:szCs w:val="32"/>
          <w:lang w:val="en-US" w:eastAsia="zh-CN" w:bidi="ar-SA"/>
        </w:rPr>
        <w:t>（1）农村科教和农技推广情况。</w:t>
      </w:r>
      <w:r>
        <w:rPr>
          <w:rFonts w:hint="eastAsia" w:ascii="仿宋_GB2312" w:hAnsi="宋体" w:eastAsia="仿宋_GB2312" w:cs="Times New Roman"/>
          <w:kern w:val="2"/>
          <w:sz w:val="32"/>
          <w:szCs w:val="32"/>
          <w:lang w:val="en-US" w:eastAsia="zh-CN" w:bidi="ar-SA"/>
        </w:rPr>
        <w:t>2024年乡村产业振兴带头人培育“头雁”7人，推选土专家7人参与全市“田秀才”“土专家”选拔，组织中、高级专业技术人员开展农业科技送下乡活动，完成2024年高素质农民培训250人任务。</w:t>
      </w:r>
    </w:p>
    <w:p w14:paraId="24F1F5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按照省厅文件精神2024年向9个乡镇分配农技特岗生9名上岗，2024年招生10名农技特岗生开展定向委培。完成2024年基层农技推广体系建设项目实施工作任务，脱产培训基层农技人员53人，培育农业科技示范主体56人，创建2个农业科技试验示范基地。发布粮食生产主导品种10个和主推技术8项，使主导品种和主推技术覆盖全县25个乡镇，到位率95%以上。</w:t>
      </w:r>
    </w:p>
    <w:p w14:paraId="4C79111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宋体" w:eastAsia="仿宋_GB2312" w:cs="Times New Roman"/>
          <w:kern w:val="2"/>
          <w:sz w:val="32"/>
          <w:szCs w:val="32"/>
          <w:lang w:val="en-US" w:eastAsia="zh-CN" w:bidi="ar-SA"/>
        </w:rPr>
      </w:pPr>
      <w:r>
        <w:rPr>
          <w:rFonts w:hint="eastAsia" w:ascii="仿宋_GB2312" w:hAnsi="宋体" w:eastAsia="仿宋_GB2312" w:cs="Times New Roman"/>
          <w:b/>
          <w:bCs/>
          <w:kern w:val="2"/>
          <w:sz w:val="32"/>
          <w:szCs w:val="32"/>
          <w:lang w:val="en-US" w:eastAsia="zh-CN" w:bidi="ar-SA"/>
        </w:rPr>
        <w:t>（2）农产品质量安全监管工作。</w:t>
      </w:r>
      <w:r>
        <w:rPr>
          <w:rFonts w:hint="eastAsia" w:ascii="仿宋_GB2312" w:hAnsi="宋体" w:eastAsia="仿宋_GB2312" w:cs="Times New Roman"/>
          <w:kern w:val="2"/>
          <w:sz w:val="32"/>
          <w:szCs w:val="32"/>
          <w:lang w:val="en-US" w:eastAsia="zh-CN" w:bidi="ar-SA"/>
        </w:rPr>
        <w:t>在农作物生产关键时期和重大节假日，组织农业执法大队、经作、检测中心等站室重点对蔬菜、时鲜水果、粮食等生产基地开展农产品质量安全生产巡查，特别是对祥福、绿之然等供学校的营养餐农产品基地重点巡查，严格监督管理。到现在为止共巡查农产品生产基地110个，发放农产品质量安全生产手册、农产品生产企业主体责任宣传手册等宣传资料1100份。今年县农产品质量安全检验检测站在学校直供农产品企业祥福等生产基地共开展速测蔬菜、水果样品544批次、定量检测61批次，合格率100%。</w:t>
      </w:r>
    </w:p>
    <w:p w14:paraId="088D863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宋体" w:eastAsia="仿宋_GB2312" w:cs="Times New Roman"/>
          <w:kern w:val="2"/>
          <w:sz w:val="32"/>
          <w:szCs w:val="32"/>
          <w:lang w:val="en-US" w:eastAsia="zh-CN" w:bidi="ar-SA"/>
        </w:rPr>
      </w:pPr>
      <w:r>
        <w:rPr>
          <w:rFonts w:hint="eastAsia" w:ascii="仿宋_GB2312" w:hAnsi="宋体" w:eastAsia="仿宋_GB2312" w:cs="Times New Roman"/>
          <w:b/>
          <w:bCs/>
          <w:kern w:val="2"/>
          <w:sz w:val="32"/>
          <w:szCs w:val="32"/>
          <w:lang w:val="en-US" w:eastAsia="zh-CN" w:bidi="ar-SA"/>
        </w:rPr>
        <w:t>（3）农业资源保护与利用。</w:t>
      </w:r>
      <w:r>
        <w:rPr>
          <w:rFonts w:hint="eastAsia" w:ascii="仿宋_GB2312" w:hAnsi="宋体" w:eastAsia="仿宋_GB2312" w:cs="Times New Roman"/>
          <w:kern w:val="2"/>
          <w:sz w:val="32"/>
          <w:szCs w:val="32"/>
          <w:lang w:val="en-US" w:eastAsia="zh-CN" w:bidi="ar-SA"/>
        </w:rPr>
        <w:t>污染耕地安全利用。2024年全县0.95万亩重度污染耕地全部落实退出食用水稻生产，9.64万亩轻中度污染耕地落实安全利用措施，全县受污染耕地安全利用率水平达到93%以上。农膜回收。全县25个乡镇都建立了1个废旧农膜回收点，农膜回收量在370吨以上，回收率在83%以上，残留废旧农膜面源污染得到有效控制。秸秆综合利用。建立秸秆收储运平台2个，秸秆还田示范合作社5个，示范面积2000亩，扶植利用秸秆生产有机肥示范企业1家、营养土培植企业1家，秸秆基料化示范企业1家。全县可收集农作物秸秆资源总量在45.42万吨，秸秆综合利用率达到了90%以上，带动县域秸秆综合利用率的整体提升。限区域限时段管控秸秆焚烧。</w:t>
      </w:r>
    </w:p>
    <w:p w14:paraId="6FD505A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b/>
          <w:bCs/>
          <w:kern w:val="2"/>
          <w:sz w:val="32"/>
          <w:szCs w:val="32"/>
          <w:lang w:val="en-US" w:eastAsia="zh-CN" w:bidi="ar-SA"/>
        </w:rPr>
        <w:t>（4）加大农业综合执法力度。</w:t>
      </w:r>
      <w:r>
        <w:rPr>
          <w:rFonts w:hint="eastAsia" w:ascii="仿宋_GB2312" w:hAnsi="宋体" w:eastAsia="仿宋_GB2312" w:cs="Times New Roman"/>
          <w:kern w:val="2"/>
          <w:sz w:val="32"/>
          <w:szCs w:val="32"/>
          <w:lang w:val="en-US" w:eastAsia="zh-CN" w:bidi="ar-SA"/>
        </w:rPr>
        <w:t>累计出动执法人员 120人次，检查农资市场 15个、农资经营门店 150余家，实现了农资打假执法检查全覆盖，立案查处违法经营劣质农药等农业投入品一般案件共18起，简易程序案件1起。全面开展重点水域禁捕工作和农机安全整治工作。累计出动执法人员320余人次，车辆80余台次，执法船只10余艘次，共办理非法捕捞行政处罚案件19起，缴获背包式电鱼机2台，没收、拆毁非法捕捞船只三艘，销毁各类非法网具18张，没收渔获物20余公斤。共出动执法人员80人次，开展行动20余次，检查拖拉机50台，查处无证驾驶6人，逾期未年检5台。共查处农机安全案件11起，报废拆解拖拉机5台。</w:t>
      </w:r>
    </w:p>
    <w:p w14:paraId="53FFA5FA">
      <w:pPr>
        <w:overflowPunct w:val="0"/>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（三）评价结果应用情况。</w:t>
      </w:r>
    </w:p>
    <w:p w14:paraId="67DD115E">
      <w:pPr>
        <w:pStyle w:val="2"/>
      </w:pPr>
    </w:p>
    <w:p w14:paraId="099C7738">
      <w:pPr>
        <w:pStyle w:val="16"/>
        <w:ind w:firstLine="640" w:firstLineChars="200"/>
        <w:jc w:val="both"/>
        <w:rPr>
          <w:rFonts w:ascii="Times New Roman" w:hAnsi="Times New Roman" w:eastAsia="仿宋_GB2312" w:cs="Times New Roman"/>
          <w:color w:val="auto"/>
          <w:kern w:val="2"/>
          <w:sz w:val="32"/>
          <w:szCs w:val="32"/>
        </w:rPr>
      </w:pPr>
      <w:r>
        <w:rPr>
          <w:rFonts w:ascii="Times New Roman" w:hAnsi="Times New Roman" w:eastAsia="仿宋_GB2312" w:cs="Times New Roman"/>
          <w:color w:val="auto"/>
          <w:kern w:val="2"/>
          <w:sz w:val="32"/>
          <w:szCs w:val="32"/>
        </w:rPr>
        <w:t>1.</w:t>
      </w:r>
      <w:r>
        <w:rPr>
          <w:rFonts w:hint="eastAsia" w:ascii="Times New Roman" w:hAnsi="Times New Roman" w:eastAsia="仿宋_GB2312" w:cs="Times New Roman"/>
          <w:color w:val="auto"/>
          <w:kern w:val="2"/>
          <w:sz w:val="32"/>
          <w:szCs w:val="32"/>
        </w:rPr>
        <w:t>部门预算方面：加强新《预算法》、《行政单位会计制度》等学习培训，在上级主管部门领导下做好</w:t>
      </w:r>
      <w:r>
        <w:rPr>
          <w:rFonts w:ascii="Times New Roman" w:hAnsi="Times New Roman" w:eastAsia="仿宋_GB2312" w:cs="Times New Roman"/>
          <w:color w:val="auto"/>
          <w:kern w:val="2"/>
          <w:sz w:val="32"/>
          <w:szCs w:val="32"/>
        </w:rPr>
        <w:t>2025</w:t>
      </w:r>
      <w:r>
        <w:rPr>
          <w:rFonts w:hint="eastAsia" w:ascii="Times New Roman" w:hAnsi="Times New Roman" w:eastAsia="仿宋_GB2312" w:cs="Times New Roman"/>
          <w:color w:val="auto"/>
          <w:kern w:val="2"/>
          <w:sz w:val="32"/>
          <w:szCs w:val="32"/>
        </w:rPr>
        <w:t>年度年初预算，依照下达预算指标严格执行预算支出。</w:t>
      </w:r>
    </w:p>
    <w:p w14:paraId="40587D2B">
      <w:pPr>
        <w:pStyle w:val="16"/>
        <w:ind w:firstLine="640" w:firstLineChars="200"/>
        <w:jc w:val="both"/>
        <w:rPr>
          <w:rFonts w:ascii="Times New Roman" w:hAnsi="Times New Roman" w:eastAsia="仿宋_GB2312" w:cs="Times New Roman"/>
          <w:color w:val="auto"/>
          <w:kern w:val="2"/>
          <w:sz w:val="32"/>
          <w:szCs w:val="32"/>
        </w:rPr>
      </w:pPr>
      <w:r>
        <w:rPr>
          <w:rFonts w:ascii="Times New Roman" w:hAnsi="Times New Roman" w:eastAsia="仿宋_GB2312" w:cs="Times New Roman"/>
          <w:color w:val="auto"/>
          <w:kern w:val="2"/>
          <w:sz w:val="32"/>
          <w:szCs w:val="32"/>
        </w:rPr>
        <w:t>2.</w:t>
      </w:r>
      <w:r>
        <w:rPr>
          <w:rFonts w:hint="eastAsia" w:ascii="Times New Roman" w:hAnsi="Times New Roman" w:eastAsia="仿宋_GB2312" w:cs="Times New Roman"/>
          <w:color w:val="auto"/>
          <w:kern w:val="2"/>
          <w:sz w:val="32"/>
          <w:szCs w:val="32"/>
        </w:rPr>
        <w:t>内部控制管理方面：完善内部控制管理制度并按制度严格执行，实行权责分配，做好内部审计，及时预估风险，针对风险采取控制措施，发现问题及时改进。</w:t>
      </w:r>
    </w:p>
    <w:p w14:paraId="445E4D53">
      <w:pPr>
        <w:pStyle w:val="16"/>
        <w:ind w:firstLine="640" w:firstLineChars="200"/>
        <w:jc w:val="both"/>
        <w:rPr>
          <w:rFonts w:ascii="Times New Roman" w:hAnsi="Times New Roman" w:eastAsia="仿宋_GB2312" w:cs="Times New Roman"/>
          <w:color w:val="auto"/>
          <w:kern w:val="2"/>
          <w:sz w:val="32"/>
          <w:szCs w:val="32"/>
        </w:rPr>
      </w:pPr>
      <w:r>
        <w:rPr>
          <w:rFonts w:ascii="Times New Roman" w:hAnsi="Times New Roman" w:eastAsia="仿宋_GB2312" w:cs="Times New Roman"/>
          <w:color w:val="auto"/>
          <w:kern w:val="2"/>
          <w:sz w:val="32"/>
          <w:szCs w:val="32"/>
        </w:rPr>
        <w:t>3.</w:t>
      </w:r>
      <w:r>
        <w:rPr>
          <w:rFonts w:hint="eastAsia" w:ascii="Times New Roman" w:hAnsi="Times New Roman" w:eastAsia="仿宋_GB2312" w:cs="Times New Roman"/>
          <w:color w:val="auto"/>
          <w:kern w:val="2"/>
          <w:sz w:val="32"/>
          <w:szCs w:val="32"/>
        </w:rPr>
        <w:t>资金管理方面：严格执行国库集中支付、政府采购等规定，确保资金支付安全规范，依托财政一体化系统和内部管理台账，确保各项资金专款专用，杜绝发生截留、挤占或挪用资金的情况。</w:t>
      </w:r>
    </w:p>
    <w:p w14:paraId="6922AB48">
      <w:pPr>
        <w:pStyle w:val="16"/>
        <w:overflowPunct w:val="0"/>
        <w:autoSpaceDE/>
        <w:spacing w:line="600" w:lineRule="exact"/>
        <w:ind w:firstLine="640" w:firstLineChars="200"/>
        <w:jc w:val="both"/>
        <w:rPr>
          <w:rFonts w:ascii="Times New Roman" w:hAnsi="Times New Roman" w:eastAsia="仿宋_GB2312" w:cs="Times New Roman"/>
          <w:color w:val="auto"/>
          <w:sz w:val="72"/>
          <w:szCs w:val="72"/>
        </w:rPr>
      </w:pPr>
      <w:r>
        <w:rPr>
          <w:rFonts w:ascii="Times New Roman" w:hAnsi="Times New Roman" w:eastAsia="仿宋_GB2312" w:cs="Times New Roman"/>
          <w:color w:val="auto"/>
          <w:kern w:val="2"/>
          <w:sz w:val="32"/>
          <w:szCs w:val="32"/>
        </w:rPr>
        <w:t>4.</w:t>
      </w:r>
      <w:r>
        <w:rPr>
          <w:rFonts w:hint="eastAsia" w:ascii="Times New Roman" w:hAnsi="Times New Roman" w:eastAsia="仿宋_GB2312" w:cs="Times New Roman"/>
          <w:color w:val="auto"/>
          <w:kern w:val="2"/>
          <w:sz w:val="32"/>
          <w:szCs w:val="32"/>
        </w:rPr>
        <w:t>资产管理方面：专人负责，资产购入、保管、使用、报废按照资产管理制度流程处理，杜绝资产浪费与流失的可能性，做好资产的年度清理与报表工作。</w:t>
      </w:r>
    </w:p>
    <w:p w14:paraId="719FD6C2">
      <w:pPr>
        <w:pStyle w:val="16"/>
        <w:jc w:val="both"/>
        <w:rPr>
          <w:color w:val="auto"/>
          <w:sz w:val="72"/>
          <w:szCs w:val="72"/>
        </w:rPr>
      </w:pPr>
    </w:p>
    <w:p w14:paraId="7ED7B9E6">
      <w:pPr>
        <w:rPr>
          <w:rFonts w:hint="eastAsia" w:ascii="方正小标宋_GBK" w:hAnsi="方正小标宋_GBK" w:eastAsia="方正小标宋_GBK" w:cs="方正小标宋_GBK"/>
          <w:color w:val="auto"/>
          <w:sz w:val="72"/>
          <w:szCs w:val="72"/>
        </w:rPr>
      </w:pPr>
      <w:r>
        <w:rPr>
          <w:rFonts w:hint="eastAsia" w:ascii="方正小标宋_GBK" w:hAnsi="方正小标宋_GBK" w:eastAsia="方正小标宋_GBK" w:cs="方正小标宋_GBK"/>
          <w:color w:val="auto"/>
          <w:sz w:val="72"/>
          <w:szCs w:val="72"/>
        </w:rPr>
        <w:br w:type="page"/>
      </w:r>
    </w:p>
    <w:p w14:paraId="32F857A3">
      <w:pPr>
        <w:pStyle w:val="16"/>
        <w:jc w:val="center"/>
        <w:rPr>
          <w:rFonts w:hint="eastAsia" w:ascii="方正小标宋_GBK" w:hAnsi="方正小标宋_GBK" w:eastAsia="方正小标宋_GBK" w:cs="方正小标宋_GBK"/>
          <w:color w:val="auto"/>
          <w:sz w:val="72"/>
          <w:szCs w:val="72"/>
        </w:rPr>
      </w:pPr>
      <w:r>
        <w:rPr>
          <w:rFonts w:hint="eastAsia" w:ascii="方正小标宋_GBK" w:hAnsi="方正小标宋_GBK" w:eastAsia="方正小标宋_GBK" w:cs="方正小标宋_GBK"/>
          <w:color w:val="auto"/>
          <w:sz w:val="72"/>
          <w:szCs w:val="72"/>
        </w:rPr>
        <w:t>第四部分</w:t>
      </w:r>
    </w:p>
    <w:p w14:paraId="223E861A">
      <w:pPr>
        <w:jc w:val="center"/>
        <w:rPr>
          <w:rFonts w:hint="eastAsia" w:ascii="方正小标宋_GBK" w:hAnsi="方正小标宋_GBK" w:eastAsia="方正小标宋_GBK" w:cs="方正小标宋_GBK"/>
          <w:color w:val="auto"/>
          <w:kern w:val="0"/>
          <w:sz w:val="70"/>
          <w:szCs w:val="70"/>
        </w:rPr>
      </w:pPr>
      <w:r>
        <w:rPr>
          <w:rFonts w:hint="eastAsia" w:ascii="方正小标宋_GBK" w:hAnsi="方正小标宋_GBK" w:eastAsia="方正小标宋_GBK" w:cs="方正小标宋_GBK"/>
          <w:color w:val="auto"/>
          <w:kern w:val="0"/>
          <w:sz w:val="70"/>
          <w:szCs w:val="70"/>
        </w:rPr>
        <w:t>名词解释</w:t>
      </w:r>
    </w:p>
    <w:p w14:paraId="0D001447">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p>
    <w:p w14:paraId="5681CBC7">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（一）财政拨款收入：本年度从本级财政部门取得的财政拨款，包括一般公共预算财政拨款和政府性基金预算财政拨款。</w:t>
      </w:r>
    </w:p>
    <w:p w14:paraId="4C84B615">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（二）事业收入：指事业单位开展专业业务活动及辅助活动所取得的收入。</w:t>
      </w:r>
    </w:p>
    <w:p w14:paraId="5AA58D75">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（三）其他收入：指除上述“财政拨款收入”、“事业收入”、“经营收入”等以外的收入。</w:t>
      </w:r>
    </w:p>
    <w:p w14:paraId="08854CFC">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（四）年初结转和结余：指以前年度尚未完成、结转到本年仍按原规定用途继续使用的资金，或项目已完成等产生的结余资金。</w:t>
      </w:r>
    </w:p>
    <w:p w14:paraId="758B325C">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（五）年末结转和结余：指单位按有关规定结转到下年或以后年度继续使用的资金，或项目已完成等产生的结余资金。</w:t>
      </w:r>
    </w:p>
    <w:p w14:paraId="34F37E2B">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（六）基本支出：为保障机构正常运转、完成日常工作任务而发生的各项支出。</w:t>
      </w:r>
    </w:p>
    <w:p w14:paraId="0448E9E4">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（七）项目支出：为完成特定的行政工作任务或事业发展目标，在基本支出之外发生的各项支出</w:t>
      </w:r>
    </w:p>
    <w:p w14:paraId="3D826AD2">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八）“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租用费、燃料费、维修费、过路过桥费、保险费、安全奖励费用等支出；公务接待费反映单位按规定开支的各类公务接待（含外宾接待）支出。</w:t>
      </w:r>
    </w:p>
    <w:p w14:paraId="50EF9A74">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（九）其他交通费用：包括公务员交通补贴和租车费。</w:t>
      </w:r>
    </w:p>
    <w:p w14:paraId="49737A49">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（十）机关运行经费：指为保障行政单位运行用于购 买货物和服务的各项资金，包括办公及印刷费、邮电费、差旅费、会议费、福利费、日常维修费、专用材料以及一般设备购置费、办公用房水电费、办公用房取暖费、办公用房物业管理费、公务用车运行维护费以及其他费用</w:t>
      </w:r>
    </w:p>
    <w:p w14:paraId="7D53FBF7">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（十一）农林水支出：反映政府农林水事务支出。</w:t>
      </w:r>
    </w:p>
    <w:p w14:paraId="5C9A648C">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lang w:val="en-US" w:eastAsia="zh-CN"/>
        </w:rPr>
      </w:pPr>
    </w:p>
    <w:p w14:paraId="6BD6B93F">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lang w:val="en-US" w:eastAsia="zh-CN"/>
        </w:rPr>
      </w:pPr>
    </w:p>
    <w:p w14:paraId="1885E777">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lang w:val="en-US" w:eastAsia="zh-CN"/>
        </w:rPr>
      </w:pPr>
    </w:p>
    <w:p w14:paraId="40D53B11">
      <w:pPr>
        <w:pStyle w:val="16"/>
        <w:jc w:val="center"/>
        <w:rPr>
          <w:rFonts w:hint="eastAsia" w:ascii="方正小标宋_GBK" w:hAnsi="方正小标宋_GBK" w:eastAsia="方正小标宋_GBK" w:cs="方正小标宋_GBK"/>
          <w:sz w:val="72"/>
          <w:szCs w:val="72"/>
        </w:rPr>
      </w:pPr>
      <w:bookmarkStart w:id="14" w:name="OLE_LINK33"/>
      <w:bookmarkStart w:id="15" w:name="OLE_LINK30"/>
      <w:bookmarkStart w:id="16" w:name="OLE_LINK15"/>
    </w:p>
    <w:p w14:paraId="02650DAE">
      <w:pPr>
        <w:pStyle w:val="16"/>
        <w:jc w:val="center"/>
        <w:rPr>
          <w:rFonts w:hint="eastAsia" w:ascii="方正小标宋_GBK" w:hAnsi="方正小标宋_GBK" w:eastAsia="方正小标宋_GBK" w:cs="方正小标宋_GBK"/>
          <w:sz w:val="72"/>
          <w:szCs w:val="72"/>
        </w:rPr>
      </w:pPr>
    </w:p>
    <w:p w14:paraId="4ED89E14">
      <w:pPr>
        <w:pStyle w:val="16"/>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6E017A94">
      <w:pPr>
        <w:pStyle w:val="16"/>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bookmarkEnd w:id="14"/>
    </w:p>
    <w:bookmarkEnd w:id="15"/>
    <w:bookmarkEnd w:id="16"/>
    <w:p w14:paraId="09176DF2">
      <w:pPr>
        <w:rPr>
          <w:rFonts w:hint="eastAsia" w:ascii="Times New Roman" w:hAnsi="Times New Roman" w:eastAsia="仿宋_GB2312"/>
          <w:color w:val="auto"/>
          <w:sz w:val="32"/>
          <w:szCs w:val="32"/>
          <w:lang w:val="en-US" w:eastAsia="zh-CN"/>
        </w:rPr>
      </w:pPr>
      <w:bookmarkStart w:id="17" w:name="OLE_LINK68"/>
      <w:bookmarkStart w:id="18" w:name="OLE_LINK34"/>
      <w:bookmarkStart w:id="19" w:name="OLE_LINK58"/>
      <w:r>
        <w:rPr>
          <w:rFonts w:hint="eastAsia" w:ascii="楷体" w:hAnsi="楷体" w:eastAsia="楷体" w:cs="楷体"/>
          <w:b/>
          <w:bCs/>
          <w:sz w:val="32"/>
          <w:szCs w:val="32"/>
          <w:lang w:eastAsia="zh-CN"/>
        </w:rPr>
        <w:t>一、</w:t>
      </w:r>
      <w:r>
        <w:rPr>
          <w:rFonts w:hint="eastAsia" w:ascii="Times New Roman" w:hAnsi="Times New Roman" w:eastAsia="仿宋_GB2312"/>
          <w:sz w:val="32"/>
          <w:szCs w:val="32"/>
          <w:lang w:val="en-US" w:eastAsia="zh-CN"/>
        </w:rPr>
        <w:t>2024年度部门(单位)整体支出绩效自评报告</w:t>
      </w:r>
      <w:bookmarkEnd w:id="17"/>
      <w:r>
        <w:rPr>
          <w:rFonts w:hint="eastAsia" w:ascii="Times New Roman" w:hAnsi="Times New Roman" w:eastAsia="仿宋_GB2312"/>
          <w:sz w:val="32"/>
          <w:szCs w:val="32"/>
          <w:lang w:val="en-US" w:eastAsia="zh-CN"/>
        </w:rPr>
        <w:t>。</w:t>
      </w:r>
      <w:bookmarkEnd w:id="18"/>
      <w:bookmarkEnd w:id="19"/>
    </w:p>
    <w:p w14:paraId="511209D7">
      <w:pPr>
        <w:jc w:val="left"/>
        <w:rPr>
          <w:rFonts w:hint="eastAsia" w:ascii="Times New Roman" w:hAnsi="Times New Roman" w:eastAsia="仿宋_GB2312" w:cs="黑体"/>
          <w:color w:val="auto"/>
          <w:kern w:val="0"/>
          <w:sz w:val="32"/>
          <w:szCs w:val="32"/>
          <w:lang w:val="en-US" w:eastAsia="zh-CN" w:bidi="ar-SA"/>
        </w:rPr>
      </w:pPr>
      <w:r>
        <w:rPr>
          <w:rFonts w:hint="eastAsia" w:cs="黑体" w:asciiTheme="minorEastAsia" w:hAnsiTheme="minorEastAsia"/>
          <w:color w:val="auto"/>
          <w:kern w:val="0"/>
          <w:sz w:val="32"/>
          <w:szCs w:val="32"/>
          <w:lang w:val="en-US" w:eastAsia="zh-CN"/>
        </w:rPr>
        <w:t xml:space="preserve">   </w:t>
      </w:r>
      <w:r>
        <w:rPr>
          <w:rFonts w:hint="eastAsia" w:ascii="Times New Roman" w:hAnsi="Times New Roman" w:eastAsia="仿宋_GB2312" w:cs="黑体"/>
          <w:color w:val="auto"/>
          <w:kern w:val="0"/>
          <w:sz w:val="32"/>
          <w:szCs w:val="32"/>
          <w:lang w:val="en-US" w:eastAsia="zh-CN" w:bidi="ar-SA"/>
        </w:rPr>
        <w:t xml:space="preserve"> 为了加强财政预算资金管理，进一步规范财政预算资金使用，提高财政预算资金使用效益，根据《溆浦县财政局关于开展2024年度部门整体支出绩效评价工作的通知》要求，（溆财绩函【2025】16号）对2024年度本单位整体支出进行了绩效自评，现将具体绩效评价情况报告如下：     </w:t>
      </w:r>
    </w:p>
    <w:p w14:paraId="60E3E3A1">
      <w:pPr>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 xml:space="preserve"> 一、部门基本情况</w:t>
      </w:r>
    </w:p>
    <w:p w14:paraId="7C78A1DD">
      <w:pPr>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（一）机构设置情况</w:t>
      </w:r>
    </w:p>
    <w:p w14:paraId="6D75DBC6">
      <w:pPr>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本单位属财政全额拨款行政单位，内设机构10个，分别是办公室、安全生产监督股、人事股、财务股、乡村产业发展股、农村社会事业促进股、农产品质量安全监管股、种植业管理股、养殖业管理股、农田建设和农业机械化管理股。下属全额拨款正科级事业单位1个，副科级事业单位1个，股级事业单位6个。</w:t>
      </w:r>
    </w:p>
    <w:p w14:paraId="04498200">
      <w:pPr>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（二）人员编制情况</w:t>
      </w:r>
    </w:p>
    <w:p w14:paraId="6BB8B566">
      <w:pPr>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核定全额拨款行政事业编制151名，实有在编在岗人员132人，其中行政在职人员38人，事业在职人员94人。离退休人员111人。二级预算单位4个，分别是：溆浦县农业综合服务中心、溆浦县畜牧水产事务中心、溆浦县农机事务中心、溆浦县农村经营服务站。其中，溆浦县农业综合服务中心核定编制13人，实有人数6人；溆浦县畜牧水产事务中心核定编46人，实有人数38人，溆浦县农机事务中心全额拨款事业编制33名,实有人数25人；溆浦县农村经营服务站核定事业编制18人,实有在职人员13人。</w:t>
      </w:r>
    </w:p>
    <w:p w14:paraId="183112E3">
      <w:pPr>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（三）主要职能职责</w:t>
      </w:r>
    </w:p>
    <w:p w14:paraId="0A50163F">
      <w:pPr>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贯彻落实党中央关于“三农”工作的方针政策和决策部署，全面落实省委、市委、县委关于“三农”工作的部署要求，在履行职责过程中坚持和加强党对“三农”工作的集中统一领导。统筹推动发展农村社会事业、农村公共服务、农村文化、农村基础设施和乡村治理。牵头实施改善农村人居环境。指导农村精神文明和优秀农耕文化建设。指导农业行业安全生产工作。指导、监督减轻农民负担和村民筹资筹劳管理工作，负责农民承包地、农村宅基地改革和管理有关工作。负责农村集体产权制度改革，指导农村集体经济组织发展和集体资产管理工作。指导农民合作经济组织、农业社会化服务体系、新型农业经营主体建设与发展指导乡村特色产业、农产品加工业、休闲农业发展工作。负责种植业、畜牧业、渔业、农业机械化等农业各产业的监督管理。负责农产品质量安全监督管理。指导农用地、渔业水域以及农业生物物种资源的保护与管理，负责有关农业生产资料和农业投入品的监督管理。负责农业防灾减灾、农作物重大病虫害防控和动植物重大疫病防治工作。负责农业投资管理，负责农业转基因生物安全监督管理和农业植物新品种保护。承担农业综合开发项目、农田整治项目、农田水利建设项目管理工作。完成县委、县政府和县委农村工作领导小组交办的其他任务。</w:t>
      </w:r>
    </w:p>
    <w:p w14:paraId="7F36BA29">
      <w:pPr>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（四）绩效目标设定情况</w:t>
      </w:r>
    </w:p>
    <w:p w14:paraId="644F04B6">
      <w:pPr>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 xml:space="preserve"> 2024年，在收支预算内，确保完成以下整体目标：坚持以问题为导向，以绿色循环高效为目标，推动农业农村工作高质量发展。1.扛稳粮油生产责任大旗。确保粮食播种面积牢牢控制在81万亩以上、总产36.5万吨以上，争创全省粮食生产标兵县；2.发展壮大农业特色产业。大力实施柑桔品改，实施10万亩低产园标准化改造，柑橘品改2万亩以上；中药材面积发展到15万亩，新建（低改）优质茶园5000亩以上。3.不断完善基础设施建设。完善农产品冷链仓储设施，继续完成2023年5.63万亩高标准农田建设项目，完善农田基础设施建设，提升耕地质量等级，保障粮食安全生产。推进现代农业产业园建设。4.强化农产品产销对接。推进农业生产“三品一标”提升，开展绿色食品、国家地理标志农产品认证。5.持续开展人居环境整治。持续开展农村人居环境整治提升“打擂台”行动。6.发展壮大村级集体经济。打造8-10个示范样板村，聚点成线，引导集体经济高质量发展。7.统筹抓好“三农”重点工作。统筹推进乡村振兴，发展县域经济，深化农村改革。</w:t>
      </w:r>
    </w:p>
    <w:p w14:paraId="7208E927">
      <w:pPr>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二、部门整体支出管理及使用情况</w:t>
      </w:r>
    </w:p>
    <w:p w14:paraId="3DACC211">
      <w:pPr>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（一）预算执行、使用、管理总体情况</w:t>
      </w:r>
    </w:p>
    <w:p w14:paraId="7C5CBC03">
      <w:pPr>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2024年县农业农村局预算执行总支出31,141.96万元，主要为基本支出2,191.5万元，项目支出28,950.38万元。主要使用包括：工资福利支出、对个人和家庭的补助、商品和服务支出、资本性支出及项目支出。</w:t>
      </w:r>
    </w:p>
    <w:p w14:paraId="038C76CC">
      <w:pPr>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（二）部门预算执行情况</w:t>
      </w:r>
    </w:p>
    <w:p w14:paraId="76C573D1">
      <w:pPr>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1.基本支出情况</w:t>
      </w:r>
    </w:p>
    <w:p w14:paraId="763CD067">
      <w:pPr>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基本支出总额2,191.5万元。其中：工资福利支出1,732.55万元,对个人和家庭的补助支出64.45万元,商品和服务支出387.63万元，资本性支出6.92万元。</w:t>
      </w:r>
    </w:p>
    <w:p w14:paraId="1AAA2076">
      <w:pPr>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2.项目支出情况</w:t>
      </w:r>
    </w:p>
    <w:p w14:paraId="19BD1E8C">
      <w:pPr>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县财政按照工作实施进度和工作开展的实际情况，2024年项目支出28,950.38万元，主要用于农业生产、高标准农田、农业执法等工作。按支出经济分类：商品和服务支出1,232.96万元，对个人和家庭的支出12,917.91万元，资本性支出11,852万元，对企业的补助2,947.51万元。</w:t>
      </w:r>
    </w:p>
    <w:p w14:paraId="24E1629C">
      <w:pPr>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（三）“三公”经费使用和管理情况</w:t>
      </w:r>
    </w:p>
    <w:p w14:paraId="707B74AA">
      <w:pPr>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“三公”经费支出13.89万元，严格落实中央八项规定，因公出国出境费用本年未发生经费支出；公务用车运行维护费支出为6.3万元；公务接待费7.59万元支出在规定标准内，较去年有所下降。</w:t>
      </w:r>
    </w:p>
    <w:p w14:paraId="7E8BA126">
      <w:pPr>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三、政府性基金预算支出情况</w:t>
      </w:r>
    </w:p>
    <w:p w14:paraId="40AEDBCE">
      <w:pPr>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本单位2024年政府性基金预算支出3,142.5万元，所有支出均为项目支出。</w:t>
      </w:r>
    </w:p>
    <w:p w14:paraId="637BBE50">
      <w:pPr>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四、国有资本经营预算支出情况</w:t>
      </w:r>
    </w:p>
    <w:p w14:paraId="52261698">
      <w:pPr>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本单位无国有资本经营预算支出。</w:t>
      </w:r>
    </w:p>
    <w:p w14:paraId="77E88582">
      <w:pPr>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五、社会保险基金预算支出情况</w:t>
      </w:r>
    </w:p>
    <w:p w14:paraId="32C0359E">
      <w:pPr>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本单位无社会保险基金预算支出。</w:t>
      </w:r>
    </w:p>
    <w:p w14:paraId="5AD27201">
      <w:pPr>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六、部门整体支出绩效情况</w:t>
      </w:r>
    </w:p>
    <w:p w14:paraId="507372E6">
      <w:pPr>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（一）综合评价结论</w:t>
      </w:r>
    </w:p>
    <w:p w14:paraId="4E15D5B8">
      <w:pPr>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在省市县各级财政部门共同努力下，2024年度溆浦县农业农村局工作基本完成。资金使用符合相关财务规定。通过各项资金的实施，全力推进全县农业农村工作，各项工作取得了明显成效。2024年度本单位整体资金绩效评价指标评分为95分。</w:t>
      </w:r>
    </w:p>
    <w:p w14:paraId="3A50F9D9">
      <w:pPr>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（二）评价指标分析（或综合评价情况）</w:t>
      </w:r>
    </w:p>
    <w:p w14:paraId="10ECC31B">
      <w:pPr>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我单位整体支出主要用于基本性支出和项目支出，在整体资金使用上，严格执行预算管理和财政制度，严格按照规定的范围、用途和标准使用财政资金，资金拨付有完整的审批程序和手续，按照财经制度的有关要求，做到专款专用，专人保管,资金使用无截留、挤占、挪用、虚列支出等情况，相关发票由财务室审核后，由分管财务的领导签字同意，报局长审核后到财务室结算报账。确保财政资金依法依规使用、管理。厉行节约见成效，对照年初工作要点，圆满完成了各项工作。主要绩效如下：</w:t>
      </w:r>
    </w:p>
    <w:p w14:paraId="33ADA16C">
      <w:pPr>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1.守牢粮食安全底线。</w:t>
      </w:r>
    </w:p>
    <w:p w14:paraId="148D7BCA">
      <w:pPr>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1）粮食生产情况。2024年，市下达我县粮食播种面积任务81万亩，其中水稻47.64万亩（早稻0.1万亩，晚稻0.12万亩，中稻47.48万亩），再生稻0.3万亩，大豆2.6万亩，玉米20.9万亩。实际完成粮食播种面积81.31万亩，超出目标任务0.31万亩。我县粮食产量目标任务36.25万吨，通过落实关键稳产增产措施，预计全县实际粮食总产量36.93万吨，超出目标任务0.68万吨，比2023年粮食总产量（36.17万吨）增加了0.76万吨。此外，我县大豆玉米带状复合种植任务面积为2.2万亩，实际种植面积为2.285万亩，已完成本年度大豆玉米带状复合种植任务面积。</w:t>
      </w:r>
    </w:p>
    <w:p w14:paraId="4603BE06">
      <w:pPr>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2）抓好示范样板。全县创建市级粮食生产千亩综合示范片2个，总面积2100亩（核心示范区分别位于观音阁镇文家冲村和北斗溪镇坪溪村），县、乡两级共创办水稻、大豆玉米带状复合种植模式、高粱、红薯等粮食作物千、百亩示范片50个。</w:t>
      </w:r>
    </w:p>
    <w:p w14:paraId="52B0B8E1">
      <w:pPr>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（3）促进单产提升。执行全省技术方案，水稻、玉米、大豆、油菜等大宗农作物单产持平或提升。2024年粮食平均单产为454.14 kg/亩，比上年每亩增加了5.72 kg。</w:t>
      </w:r>
    </w:p>
    <w:p w14:paraId="111088F0">
      <w:pPr>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（4）耕地撂荒、“非粮化”治理方面。截至目前，省田长办向我县下发的非粮化图斑中，涉及我县“非粮化”问题整改图斑总共208个，已完成整治销号204个，未完成4个，整治销号完成率98.08%。</w:t>
      </w:r>
    </w:p>
    <w:p w14:paraId="6B7D84A8">
      <w:pPr>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2.守牢巩固脱贫成果底线。</w:t>
      </w:r>
    </w:p>
    <w:p w14:paraId="0CE961C1">
      <w:pPr>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截止目前，全县共有脱贫户37691户129043人，监测对象4303户11605人。已消除风险2159户6101人，未消除风险2145户5507人。新识别228户674人，风险消除121户332人。</w:t>
      </w:r>
    </w:p>
    <w:p w14:paraId="4DBBF3F4">
      <w:pPr>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1）防返贫监测帮扶情况。应纳尽纳方面，完成了全县防止返贫动态监测帮扶集中排查，共排查247453户，其中排查因安全住房、因病等原因新纳入监测对象31户87人。实行残联、民政、医保等风险排查预警数据共享，定期数据比对，对风险预警数据逐个核查，新纳入监测对象228户674人。应帮尽帮方面，根据监测户返贫致贫风险类型，逐户制定针对性的具体帮扶措施，现已落实产业帮扶措施1969户，就业帮扶措施1876户，金融帮扶措施134户，公益性岗位帮扶125户，危房改造帮扶469户，健康扶贫措施3335户，义务教育扶贫措施654户，教育帮扶措施492户，综合保障性措施3386户等，户均享受帮扶措施4.88个。风险消除情况，严格履行风险消除程序，今年已风险消除121户332人。强化政策宣传，印制防止返贫监测帮扶“明白纸”5.2万余份，将监测对象申报政策“明白纸”发放至所有农户，帮扶政策“明白纸”发放至所有监测对象。</w:t>
      </w:r>
    </w:p>
    <w:p w14:paraId="48EE5928">
      <w:pPr>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2）稳岗就业情况。实施稳岗就业，全县实施乡村公益性岗位的脱贫户、监测对象共1495人，四个季度共发放工资1495万元。促进务工就业，现有就业帮扶车间86个，保障871名脱贫人口实现在家门口就业。全县脱贫劳动力外出务工总人数5.84万人，对县外务工人员发放一次性交通补贴，符合发放标准的34824人，发放补贴1284.17万元。</w:t>
      </w:r>
    </w:p>
    <w:p w14:paraId="1DE75F5C">
      <w:pPr>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（3）雨露计划。春季雨露计划补助4678人，发放补助701.7万元。秋季雨露计划补助4767人，发放补助715.05万元。</w:t>
      </w:r>
    </w:p>
    <w:p w14:paraId="1DB68AEB">
      <w:pPr>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3.因地制宜发展特色产业。</w:t>
      </w:r>
    </w:p>
    <w:p w14:paraId="58594E04">
      <w:pPr>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1）中医药产业发展情况。落实中药材计划种植面积20230亩，已完成新增种植面积14140亩，超额完成市考核指标1万亩任务。10月，我县山银花在全国特色产业首批数据产品集中上市。葛竹坪镇天星村标准化山银花加工厂、龙潭镇山银花集散交易市场及冷链仓储，2个重点项目年内计划投资0.5 亿元，目前已完成投资0.16亿元，为年度任务的32%。创建GAP示范基地。与湖南正清制药有限公司达成实质性合作，在我县龙潭镇红岩、红岭两个村建设GAP山银花种植基地，由正清公司按照国家GAP相关条款，共同进行基地管理，包括栽培、加工及溯源信息建立、系统数据录入等。</w:t>
      </w:r>
    </w:p>
    <w:p w14:paraId="59663B17">
      <w:pPr>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2）柑橘产业发展情况。一是推进柑橘品改。大力鼓励和引导群众对低产园实施品种改良，今年已完成柑橘品改15500亩，其中高接换种2691亩，老园改造5129亩，完成低产园改造7680亩。二是严密防控病害。把柑橘黄龙病防控作为重点，县财政安排专项资金，采购了一批防控药品用于支持木虱防控。三是开展标准化创建。开展大力开展标准化示范园创建，完善果园基础设施、推广节水灌溉、配方施肥、有机肥替代化肥、生草栽培、病虫害绿色防控、完熟栽培、采后商品化处理等综合配套技术，全县共创建县级优质柑橘产业示范园7个。四是完善产业链条。柑橘加工企业发展到38家，建成初加工商品化处理线32条，深加工生产线3条，年加工片片橘能力达3万吨以上，其中省级龙头企业雪峰食品公司加工能力2万吨以上。</w:t>
      </w:r>
    </w:p>
    <w:p w14:paraId="6FC11374">
      <w:pPr>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3）茶叶产业发展情况。全县茶叶种植面积2.6万亩，干毛茶产量880吨左右、春茶产值4220万元。集中连片100亩—500亩的规模基地18个，500亩以上的专业村2个（北斗溪镇宝山村、中都乡中都村）。茶叶加工厂发展到18家、茶叶专业合作社9家、茶叶企业7家，其中市级农业产业化龙头企业3家。</w:t>
      </w:r>
    </w:p>
    <w:p w14:paraId="3761E625">
      <w:pPr>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4）畜牧业发展情况。前三季度，全县生猪饲养量达130.98万头，其中生猪存栏54.79万头，出栏76.18万头,能繁母猪4.97万头，存栏同比增2.8%；家禽饲养量679.99万羽，其中存笼317.69万羽，出笼362.30万羽，存笼同比增3.6%。溆浦鹅饲养量118万羽，其中存笼54万羽，出笼62万羽。渔业水产品总量11597吨。畜牧水产业总产值24.5亿元。引导天天柴火鱼公司到安徽、浙江等地考察学习新式菜品，鹅肥肝餐饮新菜品—“红酒鹅肝”试制成功，受到市场追捧，促进老百姓新的消费驱动，推动溆浦鹅深加工发展。</w:t>
      </w:r>
    </w:p>
    <w:p w14:paraId="4687FA2B">
      <w:pPr>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5）种业发展情况。完成杂交水稻制种面积3.33万亩，完成父母本精量粘种育秧技术推广0.95万亩，母本机插秧技术推广1.06万亩，无人机喷施技术推广1.68万亩，无人机授粉技术推广0.15万亩。充分利用制种大县中央财政奖励资金，加大基地建设力度。在水东镇完成了现代种业产业中心工程项目设计，目前已开始招投标，即将启动建设工作。同时，我们还完善了仓储、烘干等设施建设，在板栗坪村完成了集烘干、精选等功能于一体的种子区域服务站的建设任务。还完成了卢峰镇新坪村、双井镇堰塘湾村种子区域服务站设计工作。</w:t>
      </w:r>
    </w:p>
    <w:p w14:paraId="0F40F022">
      <w:pPr>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4.大力推进乡村建设。</w:t>
      </w:r>
    </w:p>
    <w:p w14:paraId="7B1405ED">
      <w:pPr>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1）高标准农田建设情况。完成2023年高标准农田建设5.63万亩。完成2024年高标准农田建设（国债）项目建设高标准农田0.6万亩，目前田间工程已全部完成。2024年高标准农田建设（常规）项目建设任务1.68万亩，已全面开工建设。</w:t>
      </w:r>
    </w:p>
    <w:p w14:paraId="6AF3A19E">
      <w:pPr>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2）农村改厕和人居环境整治。按照“五共五美”模式，以“一拆二改三清四化”为总抓手，大力开展农村人居环境整治提升行动，全市第一季度农村人居环境整治打擂台现场会在溆浦县召开。实施2000座农村户厕改（新）建和新建11座农村公厕，2000座农村户厕在11月底全面完成，11座农村公厕已完成9座，还有2座因村里用地的问题，计划2025年2月份完成。创建市级和美乡镇1个、和美村庄14个、和美团寨100个、和美庭院1000户，各项工作任务已落实完成。</w:t>
      </w:r>
    </w:p>
    <w:p w14:paraId="19D57E75">
      <w:pPr>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5.不断优化完善乡村治理。</w:t>
      </w:r>
    </w:p>
    <w:p w14:paraId="490D6AF9">
      <w:pPr>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1）农村科教和农技推广情况。2024年乡村产业振兴带头人培育“头雁”7人，推选土专家7人参与全市“田秀才”“土专家”选拔，组织中、高级专业技术人员开展农业科技送下乡活动，完成2024年高素质农民培训250人任务。</w:t>
      </w:r>
    </w:p>
    <w:p w14:paraId="1741FCEA">
      <w:pPr>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按照省厅文件精神2024年向9个乡镇分配农技特岗生9名上岗，2024年招生10名农技特岗生开展定向委培。完成2024年基层农技推广体系建设项目实施工作任务，脱产培训基层农技人员53人，培育农业科技示范主体56人，创建2个农业科技试验示范基地。发布粮食生产主导品种10个和主推技术8项，使主导品种和主推技术覆盖全县25个乡镇，到位率95%以上。</w:t>
      </w:r>
    </w:p>
    <w:p w14:paraId="53F6FA9E">
      <w:pPr>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2）农产品质量安全监管工作。在农作物生产关键时期和重大节假日，组织农业执法大队、经作、检测中心等站室重点对蔬菜、时鲜水果、粮食等生产基地开展农产品质量安全生产巡查，特别是对祥福、绿之然等供学校的营养餐农产品基地重点巡查，严格监督管理。到现在为止共巡查农产品生产基地110个，发放农产品质量安全生产手册、农产品生产企业主体责任宣传手册等宣传资料1100份。今年县农产品质量安全检验检测站在学校直供农产品企业祥福等生产基地共开展速测蔬菜、水果样品544批次、定量检测61批次，合格率100%。</w:t>
      </w:r>
    </w:p>
    <w:p w14:paraId="74510D52">
      <w:pPr>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3）农业资源保护与利用。污染耕地安全利用。2024年全县0.95万亩重度污染耕地全部落实退出食用水稻生产，9.64万亩轻中度污染耕地落实安全利用措施，全县受污染耕地安全利用率水平达到93%以上。农膜回收。全县25个乡镇都建立了1个废旧农膜回收点，农膜回收量在370吨以上，回收率在83%以上，残留废旧农膜面源污染得到有效控制。秸秆综合利用。建立秸秆收储运平台2个，秸秆还田示范合作社5个，示范面积2000亩，扶植利用秸秆生产有机肥示范企业1家、营养土培植企业1家，秸秆基料化示范企业1家。全县可收集农作物秸秆资源总量在45.42万吨，秸秆综合利用率达到了90%以上，带动县域秸秆综合利用率的整体提升。限区域限时段管控秸秆焚烧。</w:t>
      </w:r>
    </w:p>
    <w:p w14:paraId="6B092094">
      <w:pPr>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（4）加大农业综合执法力度。累计出动执法人员 120人次，检查农资市场 15个、农资经营门店 150余家，实现了农资打假执法检查全覆盖，立案查处违法经营劣质农药等农业投入品一般案件共18起，简易程序案件1起。全面开展重点水域禁捕工作和农机安全整治工作。累计出动执法人员320余人次，车辆80余台次，执法船只10余艘次，共办理非法捕捞行政处罚案件19起，缴获背包式电鱼机2台，没收、拆毁非法捕捞船只三艘，销毁各类非法网具18张，没收渔获物20余公斤。共出动执法人员80人次，开展行动20余次，检查拖拉机50台，查处无证驾驶6人，逾期未年检5台。共查处农机安全案件11起，报废拆解拖拉机5台。</w:t>
      </w:r>
    </w:p>
    <w:p w14:paraId="5B8F86FB">
      <w:pPr>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二、存在的问题</w:t>
      </w:r>
    </w:p>
    <w:p w14:paraId="5CBD1D35">
      <w:pPr>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1.责任压实上还有欠缺。一是工作调度上。部分行业部门和乡镇思想上有所滑坡，在布置工作任务时“打折扣”，甚至要县委、县政府督查室督促时才完成好。二是帮联干部和驻村帮扶上。部分帮联干部没有按照省市要求进行走访和帮扶监测户、脱贫户。</w:t>
      </w:r>
    </w:p>
    <w:p w14:paraId="042E7248">
      <w:pPr>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2.乡村振兴资金投入短缺。今年不再实行资金整合政策，上级下达我县的财政衔接资金逐年减少，巩固成果和乡村建设示范创建所需资金缺口较大。</w:t>
      </w:r>
    </w:p>
    <w:p w14:paraId="421C8FA5">
      <w:pPr>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3.项目资金支出进度缓慢。由于受天气影响及乡镇、相关行业部门工作推进较慢等原因，目前财政衔接资金项目支付进度较慢。</w:t>
      </w:r>
    </w:p>
    <w:p w14:paraId="4FC6FF7F">
      <w:pPr>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4.基础设施不全，防灾减灾能力不足。受近年自然灾害影响，全县农田水利设施受损严重。全县除南部龙潭片区、东部林区乡镇气候条件较好，中部、西部、北部的卢峰、大江口、思蒙、水东、桥江、统溪河、油洋、观音阁、均坪、舒溶溪、双井、祖师殿、深子湖等乡镇均出现“涝旱急转”，受灾区域水稻缺水田块多，部分田块出现开叉裂口现象。</w:t>
      </w:r>
    </w:p>
    <w:p w14:paraId="62E45F5E">
      <w:pPr>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5.政策调整变化，大户种粮动力下降。根据中央耕地地力保护补贴政策，省政府办公厅印发了《湖南省耕地地力保护补贴实施方案》（湘政办发〔2022〕69 号），启动实施新一轮农业支持保护补贴政策，不再实施粮食适度规模经营补贴，降低了大户稳面增收预期，部分大户产生缩面压产思想。</w:t>
      </w:r>
    </w:p>
    <w:p w14:paraId="728B8325">
      <w:pPr>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七、存在的主要问题及原因分析</w:t>
      </w:r>
    </w:p>
    <w:p w14:paraId="3ACF490E">
      <w:pPr>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一、当年的财务不能真实的反映单位的财务状况:（1）是单位收入少，支出大，不能及时支付当年的费用；（2）是财务结算日期的差别，财务以公历年结算上报，而实际工作中以农历年结算；</w:t>
      </w:r>
    </w:p>
    <w:p w14:paraId="488234D0">
      <w:pPr>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二、固定资产管理难度大，因单位人员多，固定资产分散在各股室里，并且使用频繁，容易损坏。</w:t>
      </w:r>
    </w:p>
    <w:p w14:paraId="2428D4BC">
      <w:pPr>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八、下一步改进措施</w:t>
      </w:r>
    </w:p>
    <w:p w14:paraId="10DC8900">
      <w:pPr>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1、科学合理编制预算，严格执行预算。要按照《预算法》及其实施条例的相关规定，参考上一年的预算执行情况和年度的收支预测科学编制预算，避免年中大幅追加以及超预算。同时严格预算执行，提高资金使用效率。</w:t>
      </w:r>
    </w:p>
    <w:p w14:paraId="321090E2">
      <w:pPr>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2、规范账务处理，提高财务信息质量。严格按照《会计法》、《行政单位会计制度》、《行政单位财务规则》等规定，结合实际情况，科学设置支出科目，规范财务核算，完整披露相关信息。</w:t>
      </w:r>
    </w:p>
    <w:p w14:paraId="53A28875">
      <w:pPr>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3、加强单位内控制度建设，完善相关内部管理制度，更加便于工作开展。</w:t>
      </w:r>
    </w:p>
    <w:p w14:paraId="0E9332FE">
      <w:pPr>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九、其他需要说明的情况</w:t>
      </w:r>
    </w:p>
    <w:p w14:paraId="32A4935F">
      <w:pPr>
        <w:jc w:val="left"/>
        <w:rPr>
          <w:rFonts w:hint="default"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无。</w:t>
      </w:r>
    </w:p>
    <w:p w14:paraId="2487DA7E">
      <w:pPr>
        <w:jc w:val="left"/>
        <w:rPr>
          <w:rFonts w:hint="default" w:cs="黑体" w:asciiTheme="minorEastAsia" w:hAnsiTheme="minorEastAsia" w:eastAsiaTheme="minorEastAsia"/>
          <w:color w:val="auto"/>
          <w:kern w:val="0"/>
          <w:sz w:val="32"/>
          <w:szCs w:val="32"/>
          <w:lang w:val="en-US" w:eastAsia="zh-CN"/>
        </w:rPr>
      </w:pPr>
      <w:bookmarkStart w:id="20" w:name="_GoBack"/>
      <w:bookmarkEnd w:id="20"/>
    </w:p>
    <w:sectPr>
      <w:pgSz w:w="16838" w:h="11906" w:orient="landscape"/>
      <w:pgMar w:top="1134" w:right="1134" w:bottom="1134" w:left="1134"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44FBC3"/>
    <w:multiLevelType w:val="singleLevel"/>
    <w:tmpl w:val="5A44FBC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0MmQ0MTc5MDQ5ZDk2NjU3YjUxOTg0MGZhM2M3ZGQifQ=="/>
  </w:docVars>
  <w:rsids>
    <w:rsidRoot w:val="00172A27"/>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1E4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2515C4"/>
    <w:rsid w:val="01734A71"/>
    <w:rsid w:val="0281282A"/>
    <w:rsid w:val="032A2EC2"/>
    <w:rsid w:val="0445504E"/>
    <w:rsid w:val="0A2E2E15"/>
    <w:rsid w:val="0F7830BE"/>
    <w:rsid w:val="104650B3"/>
    <w:rsid w:val="13157790"/>
    <w:rsid w:val="13FF7A8E"/>
    <w:rsid w:val="14591A5B"/>
    <w:rsid w:val="150E269C"/>
    <w:rsid w:val="16F3483F"/>
    <w:rsid w:val="1743234C"/>
    <w:rsid w:val="17CC1AE5"/>
    <w:rsid w:val="1B080C08"/>
    <w:rsid w:val="1E0213B7"/>
    <w:rsid w:val="23F269D2"/>
    <w:rsid w:val="279B7EB0"/>
    <w:rsid w:val="28A864B3"/>
    <w:rsid w:val="297553DF"/>
    <w:rsid w:val="2B275DB5"/>
    <w:rsid w:val="2FF93EEC"/>
    <w:rsid w:val="307A6E68"/>
    <w:rsid w:val="308C44C3"/>
    <w:rsid w:val="352B3B48"/>
    <w:rsid w:val="3B323BFB"/>
    <w:rsid w:val="3C9031B9"/>
    <w:rsid w:val="43CA280D"/>
    <w:rsid w:val="47213261"/>
    <w:rsid w:val="4A75688F"/>
    <w:rsid w:val="4B46689C"/>
    <w:rsid w:val="4D6123AC"/>
    <w:rsid w:val="4F3B0BAA"/>
    <w:rsid w:val="50F934A0"/>
    <w:rsid w:val="52C553E8"/>
    <w:rsid w:val="55A809C0"/>
    <w:rsid w:val="56330A97"/>
    <w:rsid w:val="5777D4F5"/>
    <w:rsid w:val="5B6B0AB2"/>
    <w:rsid w:val="5BFC7799"/>
    <w:rsid w:val="5C137FC8"/>
    <w:rsid w:val="5CD01559"/>
    <w:rsid w:val="5F394CDA"/>
    <w:rsid w:val="5FC6BB1E"/>
    <w:rsid w:val="5FF720F1"/>
    <w:rsid w:val="61CF721F"/>
    <w:rsid w:val="65281EEF"/>
    <w:rsid w:val="65AE7A7B"/>
    <w:rsid w:val="6648501B"/>
    <w:rsid w:val="674548F2"/>
    <w:rsid w:val="679C3EE9"/>
    <w:rsid w:val="6C5D5B58"/>
    <w:rsid w:val="6F854425"/>
    <w:rsid w:val="70166678"/>
    <w:rsid w:val="71552CEA"/>
    <w:rsid w:val="71E4610E"/>
    <w:rsid w:val="737D59BA"/>
    <w:rsid w:val="76E97C1D"/>
    <w:rsid w:val="7768582A"/>
    <w:rsid w:val="77C37683"/>
    <w:rsid w:val="79EF7EA1"/>
    <w:rsid w:val="79FF515B"/>
    <w:rsid w:val="7E9F11B4"/>
    <w:rsid w:val="7FC69637"/>
    <w:rsid w:val="7FFDB408"/>
    <w:rsid w:val="CBFF70E0"/>
    <w:rsid w:val="EEABED75"/>
    <w:rsid w:val="FB36E1A6"/>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Normal Indent"/>
    <w:basedOn w:val="1"/>
    <w:unhideWhenUsed/>
    <w:qFormat/>
    <w:uiPriority w:val="99"/>
    <w:pPr>
      <w:ind w:firstLine="420" w:firstLineChars="200"/>
    </w:pPr>
  </w:style>
  <w:style w:type="paragraph" w:styleId="6">
    <w:name w:val="Body Text"/>
    <w:basedOn w:val="1"/>
    <w:next w:val="5"/>
    <w:autoRedefine/>
    <w:unhideWhenUsed/>
    <w:qFormat/>
    <w:uiPriority w:val="99"/>
    <w:pPr>
      <w:spacing w:after="120"/>
    </w:pPr>
  </w:style>
  <w:style w:type="paragraph" w:styleId="7">
    <w:name w:val="Balloon Text"/>
    <w:basedOn w:val="1"/>
    <w:link w:val="18"/>
    <w:autoRedefine/>
    <w:semiHidden/>
    <w:unhideWhenUsed/>
    <w:qFormat/>
    <w:uiPriority w:val="99"/>
    <w:rPr>
      <w:sz w:val="18"/>
      <w:szCs w:val="18"/>
    </w:rPr>
  </w:style>
  <w:style w:type="paragraph" w:styleId="8">
    <w:name w:val="footer"/>
    <w:basedOn w:val="1"/>
    <w:next w:val="1"/>
    <w:link w:val="15"/>
    <w:autoRedefine/>
    <w:unhideWhenUsed/>
    <w:qFormat/>
    <w:uiPriority w:val="99"/>
    <w:pPr>
      <w:tabs>
        <w:tab w:val="center" w:pos="4153"/>
        <w:tab w:val="right" w:pos="8306"/>
      </w:tabs>
      <w:snapToGrid w:val="0"/>
      <w:jc w:val="left"/>
    </w:pPr>
    <w:rPr>
      <w:sz w:val="18"/>
      <w:szCs w:val="18"/>
    </w:rPr>
  </w:style>
  <w:style w:type="paragraph" w:styleId="9">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页眉 Char"/>
    <w:basedOn w:val="13"/>
    <w:link w:val="9"/>
    <w:autoRedefine/>
    <w:qFormat/>
    <w:uiPriority w:val="99"/>
    <w:rPr>
      <w:sz w:val="18"/>
      <w:szCs w:val="18"/>
    </w:rPr>
  </w:style>
  <w:style w:type="character" w:customStyle="1" w:styleId="15">
    <w:name w:val="页脚 Char"/>
    <w:basedOn w:val="13"/>
    <w:link w:val="8"/>
    <w:autoRedefine/>
    <w:qFormat/>
    <w:uiPriority w:val="99"/>
    <w:rPr>
      <w:sz w:val="18"/>
      <w:szCs w:val="18"/>
    </w:rPr>
  </w:style>
  <w:style w:type="paragraph" w:customStyle="1" w:styleId="16">
    <w:name w:val="Default"/>
    <w:autoRedefine/>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7">
    <w:name w:val="List Paragraph"/>
    <w:basedOn w:val="1"/>
    <w:autoRedefine/>
    <w:qFormat/>
    <w:uiPriority w:val="34"/>
    <w:pPr>
      <w:ind w:firstLine="420" w:firstLineChars="200"/>
    </w:pPr>
  </w:style>
  <w:style w:type="character" w:customStyle="1" w:styleId="18">
    <w:name w:val="批注框文本 Char"/>
    <w:basedOn w:val="13"/>
    <w:link w:val="7"/>
    <w:autoRedefine/>
    <w:semiHidden/>
    <w:qFormat/>
    <w:uiPriority w:val="99"/>
    <w:rPr>
      <w:sz w:val="18"/>
      <w:szCs w:val="18"/>
    </w:rPr>
  </w:style>
  <w:style w:type="character" w:customStyle="1" w:styleId="19">
    <w:name w:val="font01"/>
    <w:basedOn w:val="13"/>
    <w:autoRedefine/>
    <w:qFormat/>
    <w:uiPriority w:val="0"/>
    <w:rPr>
      <w:rFonts w:hint="eastAsia" w:ascii="宋体" w:hAnsi="宋体" w:eastAsia="宋体" w:cs="宋体"/>
      <w:color w:val="000000"/>
      <w:sz w:val="22"/>
      <w:szCs w:val="22"/>
      <w:u w:val="none"/>
    </w:rPr>
  </w:style>
  <w:style w:type="character" w:customStyle="1" w:styleId="20">
    <w:name w:val="font21"/>
    <w:basedOn w:val="13"/>
    <w:autoRedefine/>
    <w:qFormat/>
    <w:uiPriority w:val="0"/>
    <w:rPr>
      <w:rFonts w:hint="eastAsia" w:ascii="宋体" w:hAnsi="宋体" w:eastAsia="宋体" w:cs="宋体"/>
      <w:color w:val="000000"/>
      <w:sz w:val="24"/>
      <w:szCs w:val="24"/>
      <w:u w:val="none"/>
    </w:rPr>
  </w:style>
  <w:style w:type="character" w:customStyle="1" w:styleId="21">
    <w:name w:val="font11"/>
    <w:basedOn w:val="13"/>
    <w:autoRedefine/>
    <w:qFormat/>
    <w:uiPriority w:val="0"/>
    <w:rPr>
      <w:rFonts w:hint="eastAsia" w:ascii="宋体" w:hAnsi="宋体" w:eastAsia="宋体" w:cs="宋体"/>
      <w:color w:val="000000"/>
      <w:sz w:val="24"/>
      <w:szCs w:val="24"/>
      <w:u w:val="none"/>
    </w:rPr>
  </w:style>
  <w:style w:type="table" w:customStyle="1" w:styleId="22">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56</Pages>
  <Words>17302</Words>
  <Characters>22654</Characters>
  <Lines>63</Lines>
  <Paragraphs>18</Paragraphs>
  <TotalTime>0</TotalTime>
  <ScaleCrop>false</ScaleCrop>
  <LinksUpToDate>false</LinksUpToDate>
  <CharactersWithSpaces>22878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2020-07-04T18:32:00Z</dcterms:created>
  <dc:creator>李航 null</dc:creator>
  <cp:lastModifiedBy>Administrator</cp:lastModifiedBy>
  <cp:lastPrinted>2024-09-29T08:02:00Z</cp:lastPrinted>
  <dcterms:modified xsi:type="dcterms:W3CDTF">2025-11-24T07:29:00Z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68E243FD40CD4182BC74D1320755737D_13</vt:lpwstr>
  </property>
  <property fmtid="{D5CDD505-2E9C-101B-9397-08002B2CF9AE}" pid="4" name="KSOTemplateDocerSaveRecord">
    <vt:lpwstr>eyJoZGlkIjoiOWZjYjMyMDZlOGJiYmI3OWVmNmJhM2I2NDRjYTczZGEiLCJ1c2VySWQiOiIyNzIxMzkxODUifQ==</vt:lpwstr>
  </property>
</Properties>
</file>