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E199">
      <w:pPr>
        <w:pStyle w:val="15"/>
        <w:jc w:val="center"/>
        <w:rPr>
          <w:sz w:val="56"/>
          <w:szCs w:val="56"/>
        </w:rPr>
      </w:pPr>
    </w:p>
    <w:p w14:paraId="1B63C3A7">
      <w:pPr>
        <w:pStyle w:val="15"/>
        <w:jc w:val="center"/>
        <w:rPr>
          <w:sz w:val="56"/>
          <w:szCs w:val="56"/>
        </w:rPr>
      </w:pPr>
    </w:p>
    <w:p w14:paraId="5EEADE1F">
      <w:pPr>
        <w:pStyle w:val="15"/>
        <w:jc w:val="center"/>
        <w:rPr>
          <w:sz w:val="84"/>
          <w:szCs w:val="84"/>
        </w:rPr>
      </w:pPr>
    </w:p>
    <w:p w14:paraId="18FA737B">
      <w:pPr>
        <w:pStyle w:val="15"/>
        <w:jc w:val="center"/>
        <w:rPr>
          <w:sz w:val="84"/>
          <w:szCs w:val="84"/>
        </w:rPr>
      </w:pPr>
    </w:p>
    <w:p w14:paraId="6119A9E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eastAsia="zh-CN"/>
        </w:rPr>
        <w:t>3</w:t>
      </w:r>
      <w:r>
        <w:rPr>
          <w:rFonts w:hint="eastAsia" w:ascii="方正小标宋_GBK" w:hAnsi="方正小标宋_GBK" w:eastAsia="方正小标宋_GBK" w:cs="方正小标宋_GBK"/>
          <w:sz w:val="84"/>
          <w:szCs w:val="84"/>
        </w:rPr>
        <w:t>年度</w:t>
      </w:r>
    </w:p>
    <w:p w14:paraId="3EA0467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溆浦县乡村振兴局</w:t>
      </w:r>
      <w:r>
        <w:rPr>
          <w:rFonts w:hint="eastAsia" w:ascii="方正小标宋_GBK" w:hAnsi="方正小标宋_GBK" w:eastAsia="方正小标宋_GBK" w:cs="方正小标宋_GBK"/>
          <w:sz w:val="84"/>
          <w:szCs w:val="84"/>
        </w:rPr>
        <w:t>部门决算</w:t>
      </w:r>
    </w:p>
    <w:p w14:paraId="523CFB0E">
      <w:pPr>
        <w:pStyle w:val="15"/>
        <w:jc w:val="center"/>
        <w:rPr>
          <w:rFonts w:hint="eastAsia" w:ascii="方正小标宋_GBK" w:hAnsi="方正小标宋_GBK" w:eastAsia="方正小标宋_GBK" w:cs="方正小标宋_GBK"/>
          <w:sz w:val="56"/>
          <w:szCs w:val="56"/>
        </w:rPr>
      </w:pPr>
    </w:p>
    <w:p w14:paraId="5E00B2FF">
      <w:pPr>
        <w:pStyle w:val="15"/>
        <w:jc w:val="center"/>
        <w:rPr>
          <w:sz w:val="56"/>
          <w:szCs w:val="56"/>
        </w:rPr>
      </w:pPr>
    </w:p>
    <w:p w14:paraId="7374AB15">
      <w:pPr>
        <w:pStyle w:val="15"/>
        <w:jc w:val="center"/>
        <w:rPr>
          <w:sz w:val="56"/>
          <w:szCs w:val="56"/>
        </w:rPr>
      </w:pPr>
    </w:p>
    <w:p w14:paraId="5F4C76CC">
      <w:pPr>
        <w:pStyle w:val="15"/>
        <w:jc w:val="center"/>
        <w:rPr>
          <w:sz w:val="56"/>
          <w:szCs w:val="56"/>
        </w:rPr>
      </w:pPr>
    </w:p>
    <w:p w14:paraId="5473A707">
      <w:pPr>
        <w:pStyle w:val="15"/>
        <w:jc w:val="center"/>
        <w:rPr>
          <w:sz w:val="32"/>
          <w:szCs w:val="32"/>
        </w:rPr>
      </w:pPr>
    </w:p>
    <w:p w14:paraId="64BDE6C8">
      <w:pPr>
        <w:pStyle w:val="15"/>
        <w:jc w:val="center"/>
        <w:rPr>
          <w:sz w:val="32"/>
          <w:szCs w:val="32"/>
        </w:rPr>
      </w:pPr>
    </w:p>
    <w:p w14:paraId="65946ACD">
      <w:pPr>
        <w:pStyle w:val="15"/>
        <w:jc w:val="center"/>
        <w:rPr>
          <w:sz w:val="32"/>
          <w:szCs w:val="32"/>
        </w:rPr>
      </w:pPr>
    </w:p>
    <w:p w14:paraId="0EB921D5">
      <w:pPr>
        <w:pStyle w:val="15"/>
        <w:jc w:val="center"/>
        <w:rPr>
          <w:sz w:val="32"/>
          <w:szCs w:val="32"/>
        </w:rPr>
      </w:pPr>
    </w:p>
    <w:p w14:paraId="641A4E53">
      <w:pPr>
        <w:pStyle w:val="15"/>
        <w:jc w:val="center"/>
        <w:rPr>
          <w:sz w:val="32"/>
          <w:szCs w:val="32"/>
        </w:rPr>
      </w:pPr>
    </w:p>
    <w:p w14:paraId="07A54D16">
      <w:pPr>
        <w:pStyle w:val="15"/>
        <w:spacing w:line="540" w:lineRule="exact"/>
        <w:jc w:val="center"/>
        <w:rPr>
          <w:sz w:val="56"/>
          <w:szCs w:val="56"/>
        </w:rPr>
      </w:pPr>
    </w:p>
    <w:p w14:paraId="555B566E">
      <w:pPr>
        <w:pStyle w:val="15"/>
        <w:spacing w:line="500" w:lineRule="exact"/>
        <w:jc w:val="both"/>
        <w:rPr>
          <w:b/>
          <w:sz w:val="36"/>
          <w:szCs w:val="28"/>
        </w:rPr>
      </w:pPr>
    </w:p>
    <w:p w14:paraId="68310299">
      <w:pPr>
        <w:pStyle w:val="15"/>
        <w:spacing w:line="500" w:lineRule="exact"/>
        <w:jc w:val="center"/>
        <w:rPr>
          <w:b/>
          <w:sz w:val="36"/>
          <w:szCs w:val="28"/>
        </w:rPr>
      </w:pPr>
      <w:r>
        <w:rPr>
          <w:rFonts w:hint="eastAsia"/>
          <w:b/>
          <w:sz w:val="36"/>
          <w:szCs w:val="28"/>
        </w:rPr>
        <w:t>目录</w:t>
      </w:r>
    </w:p>
    <w:p w14:paraId="4FF8A5B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溆浦县乡村振兴局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3E1CF7C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FA93CC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35AB05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22902F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D5452F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8E95A9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EDA016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F45E70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8B4E56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F5314C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073495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6FCFE0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7008EE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A02BE2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FF3669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8083E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9A5E4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771F3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F7556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6D747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1C790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96C36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1E4E1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29F42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FAF91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D14900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rPr>
        <w:t>预算绩效情况的说明</w:t>
      </w:r>
    </w:p>
    <w:p w14:paraId="3257FD4A">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7D56DDF">
      <w:pPr>
        <w:pStyle w:val="15"/>
        <w:spacing w:line="500" w:lineRule="exact"/>
        <w:rPr>
          <w:rFonts w:hint="default" w:ascii="黑体" w:hAnsi="黑体" w:eastAsia="黑体" w:cs="黑体"/>
          <w:b w:val="0"/>
          <w:bCs/>
          <w:sz w:val="28"/>
          <w:szCs w:val="28"/>
          <w:lang w:val="en-US" w:eastAsia="zh-CN"/>
        </w:rPr>
      </w:pPr>
      <w:r>
        <w:rPr>
          <w:rFonts w:hint="eastAsia" w:hAnsi="黑体" w:cs="黑体"/>
          <w:b w:val="0"/>
          <w:bCs/>
          <w:sz w:val="28"/>
          <w:szCs w:val="28"/>
          <w:lang w:val="en-US" w:eastAsia="zh-CN"/>
        </w:rPr>
        <w:t>第五部分 附件</w:t>
      </w:r>
    </w:p>
    <w:p w14:paraId="3576F595">
      <w:pPr>
        <w:jc w:val="center"/>
        <w:rPr>
          <w:sz w:val="72"/>
          <w:szCs w:val="72"/>
        </w:rPr>
      </w:pPr>
    </w:p>
    <w:p w14:paraId="09D87B50">
      <w:pPr>
        <w:jc w:val="center"/>
        <w:rPr>
          <w:sz w:val="72"/>
          <w:szCs w:val="72"/>
        </w:rPr>
      </w:pPr>
    </w:p>
    <w:p w14:paraId="140AE4A1">
      <w:pPr>
        <w:jc w:val="center"/>
        <w:rPr>
          <w:sz w:val="72"/>
          <w:szCs w:val="72"/>
        </w:rPr>
      </w:pPr>
    </w:p>
    <w:p w14:paraId="70B99F13">
      <w:pPr>
        <w:jc w:val="center"/>
        <w:rPr>
          <w:sz w:val="72"/>
          <w:szCs w:val="72"/>
        </w:rPr>
      </w:pPr>
    </w:p>
    <w:p w14:paraId="5BC4C00F">
      <w:pPr>
        <w:rPr>
          <w:rFonts w:hint="eastAsia" w:ascii="方正小标宋_GBK" w:hAnsi="方正小标宋_GBK" w:eastAsia="方正小标宋_GBK" w:cs="方正小标宋_GBK"/>
          <w:sz w:val="72"/>
          <w:szCs w:val="72"/>
        </w:rPr>
      </w:pPr>
    </w:p>
    <w:p w14:paraId="1C9B0A8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5634F2B">
      <w:pPr>
        <w:pStyle w:val="15"/>
        <w:jc w:val="center"/>
        <w:rPr>
          <w:rFonts w:hint="eastAsia" w:ascii="方正小标宋_GBK" w:hAnsi="方正小标宋_GBK" w:eastAsia="方正小标宋_GBK" w:cs="方正小标宋_GBK"/>
          <w:sz w:val="84"/>
          <w:szCs w:val="84"/>
        </w:rPr>
      </w:pPr>
    </w:p>
    <w:p w14:paraId="3250CA5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溆浦县乡村振兴局单位</w:t>
      </w:r>
      <w:r>
        <w:rPr>
          <w:rFonts w:hint="eastAsia" w:ascii="方正小标宋_GBK" w:hAnsi="方正小标宋_GBK" w:eastAsia="方正小标宋_GBK" w:cs="方正小标宋_GBK"/>
          <w:sz w:val="84"/>
          <w:szCs w:val="84"/>
        </w:rPr>
        <w:t>概况</w:t>
      </w:r>
    </w:p>
    <w:p w14:paraId="06FDA269">
      <w:pPr>
        <w:jc w:val="center"/>
        <w:rPr>
          <w:rFonts w:hint="eastAsia" w:ascii="方正小标宋_GBK" w:hAnsi="方正小标宋_GBK" w:eastAsia="方正小标宋_GBK" w:cs="方正小标宋_GBK"/>
          <w:sz w:val="72"/>
          <w:szCs w:val="72"/>
        </w:rPr>
      </w:pPr>
    </w:p>
    <w:p w14:paraId="132175E9">
      <w:pPr>
        <w:jc w:val="center"/>
        <w:rPr>
          <w:rFonts w:hint="eastAsia" w:ascii="方正小标宋_GBK" w:hAnsi="方正小标宋_GBK" w:eastAsia="方正小标宋_GBK" w:cs="方正小标宋_GBK"/>
          <w:sz w:val="72"/>
          <w:szCs w:val="72"/>
        </w:rPr>
      </w:pPr>
    </w:p>
    <w:p w14:paraId="4C26C25D">
      <w:pPr>
        <w:jc w:val="center"/>
        <w:rPr>
          <w:sz w:val="72"/>
          <w:szCs w:val="72"/>
        </w:rPr>
      </w:pPr>
    </w:p>
    <w:p w14:paraId="43EDC3FF">
      <w:pPr>
        <w:jc w:val="center"/>
        <w:rPr>
          <w:sz w:val="72"/>
          <w:szCs w:val="72"/>
        </w:rPr>
      </w:pPr>
    </w:p>
    <w:p w14:paraId="070E80D5">
      <w:pPr>
        <w:jc w:val="center"/>
        <w:rPr>
          <w:sz w:val="72"/>
          <w:szCs w:val="72"/>
        </w:rPr>
      </w:pPr>
    </w:p>
    <w:p w14:paraId="43C2FFDE">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5904407">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1、负责守住防止发生规模性返贫底线，做好巩固脱贫成果同乡村振兴有效衔接工作；</w:t>
      </w:r>
    </w:p>
    <w:p w14:paraId="661CA78F">
      <w:pPr>
        <w:widowControl/>
        <w:spacing w:line="600" w:lineRule="exact"/>
        <w:rPr>
          <w:rFonts w:asciiTheme="minorEastAsia" w:hAnsiTheme="minorEastAsia"/>
          <w:sz w:val="32"/>
          <w:szCs w:val="32"/>
        </w:rPr>
      </w:pPr>
      <w:r>
        <w:rPr>
          <w:rFonts w:hint="eastAsia" w:asciiTheme="minorEastAsia" w:hAnsiTheme="minorEastAsia"/>
          <w:sz w:val="32"/>
          <w:szCs w:val="32"/>
        </w:rPr>
        <w:t>　　2、负责牵头抓好防返贫监测和帮扶工作，对易致返贫人口实施常态化监测和帮扶政策落实；</w:t>
      </w:r>
    </w:p>
    <w:p w14:paraId="64E49B56">
      <w:pPr>
        <w:widowControl/>
        <w:spacing w:line="600" w:lineRule="exact"/>
        <w:rPr>
          <w:rFonts w:asciiTheme="minorEastAsia" w:hAnsiTheme="minorEastAsia"/>
          <w:sz w:val="32"/>
          <w:szCs w:val="32"/>
        </w:rPr>
      </w:pPr>
      <w:r>
        <w:rPr>
          <w:rFonts w:hint="eastAsia" w:asciiTheme="minorEastAsia" w:hAnsiTheme="minorEastAsia"/>
          <w:sz w:val="32"/>
          <w:szCs w:val="32"/>
        </w:rPr>
        <w:t>　　3、负责巩固拓展脱贫成果同乡村振兴有效衔接项目库建设工作，统筹加强扶贫项目资产管理和监督，建立健全资产管护制度。</w:t>
      </w:r>
    </w:p>
    <w:p w14:paraId="5F6F8908">
      <w:pPr>
        <w:widowControl/>
        <w:spacing w:line="600" w:lineRule="exact"/>
        <w:rPr>
          <w:rFonts w:asciiTheme="minorEastAsia" w:hAnsiTheme="minorEastAsia"/>
          <w:sz w:val="32"/>
          <w:szCs w:val="32"/>
        </w:rPr>
      </w:pPr>
      <w:r>
        <w:rPr>
          <w:rFonts w:hint="eastAsia" w:asciiTheme="minorEastAsia" w:hAnsiTheme="minorEastAsia"/>
          <w:sz w:val="32"/>
          <w:szCs w:val="32"/>
        </w:rPr>
        <w:t>　　4、参与拟定职责内县级衔接资金分配建议方案，参与县级衔接资金监管和绩效评价，协助县整合办管好用好衔接资金。</w:t>
      </w:r>
    </w:p>
    <w:p w14:paraId="136FBA76">
      <w:pPr>
        <w:widowControl/>
        <w:spacing w:line="600" w:lineRule="exact"/>
        <w:rPr>
          <w:rFonts w:asciiTheme="minorEastAsia" w:hAnsiTheme="minorEastAsia"/>
          <w:sz w:val="32"/>
          <w:szCs w:val="32"/>
        </w:rPr>
      </w:pPr>
      <w:r>
        <w:rPr>
          <w:rFonts w:hint="eastAsia" w:asciiTheme="minorEastAsia" w:hAnsiTheme="minorEastAsia"/>
          <w:sz w:val="32"/>
          <w:szCs w:val="32"/>
        </w:rPr>
        <w:t>　　5、负责指导搞好小额信贷、互助资金相关政策落实和监督，</w:t>
      </w:r>
    </w:p>
    <w:p w14:paraId="510F3570">
      <w:pPr>
        <w:widowControl/>
        <w:spacing w:line="600" w:lineRule="exact"/>
        <w:rPr>
          <w:rFonts w:asciiTheme="minorEastAsia" w:hAnsiTheme="minorEastAsia"/>
          <w:sz w:val="32"/>
          <w:szCs w:val="32"/>
        </w:rPr>
      </w:pPr>
      <w:r>
        <w:rPr>
          <w:rFonts w:hint="eastAsia" w:asciiTheme="minorEastAsia" w:hAnsiTheme="minorEastAsia"/>
          <w:sz w:val="32"/>
          <w:szCs w:val="32"/>
        </w:rPr>
        <w:t>抓好光伏电站管理运维、收益分配工作和“雨露计划”补助发放工作。组织建设县级产业融合发展示范园、科技园；</w:t>
      </w:r>
    </w:p>
    <w:p w14:paraId="01E18FE5">
      <w:pPr>
        <w:widowControl/>
        <w:spacing w:line="600" w:lineRule="exact"/>
        <w:rPr>
          <w:rFonts w:asciiTheme="minorEastAsia" w:hAnsiTheme="minorEastAsia"/>
          <w:sz w:val="32"/>
          <w:szCs w:val="32"/>
        </w:rPr>
      </w:pPr>
      <w:r>
        <w:rPr>
          <w:rFonts w:hint="eastAsia" w:asciiTheme="minorEastAsia" w:hAnsiTheme="minorEastAsia"/>
          <w:sz w:val="32"/>
          <w:szCs w:val="32"/>
        </w:rPr>
        <w:t>　　6、负责牵头做好社会帮扶工作，开展定点帮扶、行业帮扶及相关考核评价工作，协助开展“万企兴万村”行动，引导更多社会力量支持参与乡村振兴；</w:t>
      </w:r>
    </w:p>
    <w:p w14:paraId="1CB470B3">
      <w:pPr>
        <w:widowControl/>
        <w:spacing w:line="600" w:lineRule="exact"/>
        <w:rPr>
          <w:rFonts w:asciiTheme="minorEastAsia" w:hAnsiTheme="minorEastAsia"/>
          <w:sz w:val="32"/>
          <w:szCs w:val="32"/>
        </w:rPr>
      </w:pPr>
      <w:r>
        <w:rPr>
          <w:rFonts w:hint="eastAsia" w:asciiTheme="minorEastAsia" w:hAnsiTheme="minorEastAsia"/>
          <w:sz w:val="32"/>
          <w:szCs w:val="32"/>
        </w:rPr>
        <w:t>　　7、负责统筹推进农村卫生厕所改（新）建工作；</w:t>
      </w:r>
    </w:p>
    <w:p w14:paraId="4F9B4CAC">
      <w:pPr>
        <w:widowControl/>
        <w:spacing w:line="600" w:lineRule="exact"/>
        <w:rPr>
          <w:rFonts w:asciiTheme="minorEastAsia" w:hAnsiTheme="minorEastAsia"/>
          <w:sz w:val="32"/>
          <w:szCs w:val="32"/>
        </w:rPr>
      </w:pPr>
      <w:r>
        <w:rPr>
          <w:rFonts w:hint="eastAsia" w:asciiTheme="minorEastAsia" w:hAnsiTheme="minorEastAsia"/>
          <w:sz w:val="32"/>
          <w:szCs w:val="32"/>
        </w:rPr>
        <w:t>　　8、负责统筹实施乡村振兴实绩考核和国家后续评估准备工作；</w:t>
      </w:r>
    </w:p>
    <w:p w14:paraId="4982AF8A">
      <w:pPr>
        <w:widowControl/>
        <w:spacing w:line="600" w:lineRule="exact"/>
        <w:rPr>
          <w:rFonts w:asciiTheme="minorEastAsia" w:hAnsiTheme="minorEastAsia"/>
          <w:sz w:val="32"/>
          <w:szCs w:val="32"/>
        </w:rPr>
      </w:pPr>
      <w:r>
        <w:rPr>
          <w:rFonts w:hint="eastAsia" w:asciiTheme="minorEastAsia" w:hAnsiTheme="minorEastAsia"/>
          <w:sz w:val="32"/>
          <w:szCs w:val="32"/>
        </w:rPr>
        <w:t>　　9、协助做好易地扶贫搬迁后续帮扶工作，协调搞好革命老区帮扶工作；</w:t>
      </w:r>
    </w:p>
    <w:p w14:paraId="4DC4718F">
      <w:pPr>
        <w:widowControl/>
        <w:spacing w:line="600" w:lineRule="exact"/>
        <w:rPr>
          <w:rFonts w:asciiTheme="minorEastAsia" w:hAnsiTheme="minorEastAsia"/>
          <w:sz w:val="32"/>
          <w:szCs w:val="32"/>
        </w:rPr>
      </w:pPr>
      <w:r>
        <w:rPr>
          <w:rFonts w:hint="eastAsia" w:asciiTheme="minorEastAsia" w:hAnsiTheme="minorEastAsia"/>
          <w:sz w:val="32"/>
          <w:szCs w:val="32"/>
        </w:rPr>
        <w:t>　　10、协助组织部门做好驻村第一书记和工作队选派管理工作和乡村振兴干部培训工作；</w:t>
      </w:r>
    </w:p>
    <w:p w14:paraId="77EFA20E">
      <w:pPr>
        <w:widowControl/>
        <w:spacing w:line="600" w:lineRule="exact"/>
        <w:rPr>
          <w:rFonts w:asciiTheme="minorEastAsia" w:hAnsiTheme="minorEastAsia"/>
          <w:sz w:val="32"/>
          <w:szCs w:val="32"/>
        </w:rPr>
      </w:pPr>
      <w:r>
        <w:rPr>
          <w:rFonts w:hint="eastAsia" w:asciiTheme="minorEastAsia" w:hAnsiTheme="minorEastAsia"/>
          <w:sz w:val="32"/>
          <w:szCs w:val="32"/>
        </w:rPr>
        <w:t>　　11、协助做好承接雨花区对口帮扶工作；</w:t>
      </w:r>
    </w:p>
    <w:p w14:paraId="5686F02D">
      <w:pPr>
        <w:widowControl/>
        <w:spacing w:line="600" w:lineRule="exact"/>
        <w:ind w:firstLine="640"/>
        <w:rPr>
          <w:rFonts w:asciiTheme="minorEastAsia" w:hAnsiTheme="minorEastAsia"/>
          <w:sz w:val="32"/>
          <w:szCs w:val="32"/>
        </w:rPr>
      </w:pPr>
      <w:r>
        <w:rPr>
          <w:rFonts w:hint="eastAsia" w:asciiTheme="minorEastAsia" w:hAnsiTheme="minorEastAsia"/>
          <w:sz w:val="32"/>
          <w:szCs w:val="32"/>
        </w:rPr>
        <w:t>12、承担领导小组日常事务工作，统筹推进实施乡村振兴战略各项工作和领导交办的其他事项。</w:t>
      </w:r>
    </w:p>
    <w:p w14:paraId="1076097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7EE9EEC">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p>
    <w:p w14:paraId="657FF3AD">
      <w:pPr>
        <w:widowControl/>
        <w:spacing w:line="240" w:lineRule="auto"/>
        <w:ind w:firstLine="0"/>
        <w:rPr>
          <w:rFonts w:hint="eastAsia" w:asciiTheme="minorEastAsia" w:hAnsiTheme="minorEastAsia"/>
          <w:sz w:val="32"/>
          <w:szCs w:val="32"/>
        </w:rPr>
      </w:pPr>
      <w:r>
        <w:rPr>
          <w:rFonts w:hint="eastAsia" w:asciiTheme="minorEastAsia" w:hAnsiTheme="minorEastAsia"/>
          <w:sz w:val="32"/>
          <w:szCs w:val="32"/>
          <w:lang w:eastAsia="zh-CN"/>
        </w:rPr>
        <w:t>根据《中共溆浦县委办公室文件》（溆办法【</w:t>
      </w:r>
      <w:r>
        <w:rPr>
          <w:rFonts w:hint="eastAsia" w:asciiTheme="minorEastAsia" w:hAnsiTheme="minorEastAsia"/>
          <w:sz w:val="32"/>
          <w:szCs w:val="32"/>
          <w:lang w:val="en-US" w:eastAsia="zh-CN"/>
        </w:rPr>
        <w:t>2019</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6号</w:t>
      </w:r>
      <w:r>
        <w:rPr>
          <w:rFonts w:hint="eastAsia" w:asciiTheme="minorEastAsia" w:hAnsiTheme="minorEastAsia"/>
          <w:sz w:val="32"/>
          <w:szCs w:val="32"/>
          <w:lang w:eastAsia="zh-CN"/>
        </w:rPr>
        <w:t>）溆浦县扶贫开发办公室溆浦县扶贫开发办公室从2019年4月25日下文起已属溆浦县人民政府工作部门，为正科级。截至2023年12月底止，我单位实有行政编工作人员9人，全额拨款事业编工作人员9人，离退休人员5人，其中提前退休人员1人。另因工作需要，向社会聘用辅助人员2人，公益岗位7人。</w:t>
      </w: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（二）决算单位构成。溆浦县乡村振兴局单位202</w:t>
      </w:r>
      <w:r>
        <w:rPr>
          <w:rFonts w:hint="eastAsia" w:asciiTheme="minorEastAsia" w:hAnsiTheme="minorEastAsia"/>
          <w:sz w:val="32"/>
          <w:szCs w:val="32"/>
          <w:lang w:eastAsia="zh-CN"/>
        </w:rPr>
        <w:t>3</w:t>
      </w:r>
      <w:r>
        <w:rPr>
          <w:rFonts w:hint="eastAsia" w:asciiTheme="minorEastAsia" w:hAnsiTheme="minorEastAsia"/>
          <w:sz w:val="32"/>
          <w:szCs w:val="32"/>
        </w:rPr>
        <w:t>年部门决算汇总公开单位构成包括：溆浦县乡村振兴局单位本级。</w:t>
      </w:r>
    </w:p>
    <w:p w14:paraId="2AB1A515">
      <w:pPr>
        <w:widowControl/>
        <w:spacing w:line="600" w:lineRule="exact"/>
        <w:ind w:firstLine="640"/>
        <w:rPr>
          <w:rFonts w:hint="eastAsia" w:asciiTheme="minorEastAsia" w:hAnsiTheme="minorEastAsia"/>
          <w:sz w:val="32"/>
          <w:szCs w:val="32"/>
        </w:rPr>
      </w:pPr>
    </w:p>
    <w:p w14:paraId="226A4410">
      <w:pPr>
        <w:jc w:val="center"/>
        <w:rPr>
          <w:rFonts w:ascii="黑体" w:hAnsi="黑体" w:eastAsia="黑体"/>
          <w:sz w:val="28"/>
          <w:szCs w:val="28"/>
        </w:rPr>
      </w:pPr>
    </w:p>
    <w:p w14:paraId="4FB38C92">
      <w:pPr>
        <w:jc w:val="center"/>
        <w:rPr>
          <w:rFonts w:ascii="黑体" w:hAnsi="黑体" w:eastAsia="黑体"/>
          <w:sz w:val="28"/>
          <w:szCs w:val="28"/>
        </w:rPr>
      </w:pPr>
    </w:p>
    <w:p w14:paraId="5E65B55F">
      <w:pPr>
        <w:jc w:val="center"/>
        <w:rPr>
          <w:rFonts w:ascii="黑体" w:hAnsi="黑体" w:eastAsia="黑体"/>
          <w:sz w:val="28"/>
          <w:szCs w:val="28"/>
        </w:rPr>
      </w:pPr>
    </w:p>
    <w:p w14:paraId="68E68F36">
      <w:pPr>
        <w:jc w:val="center"/>
        <w:rPr>
          <w:rFonts w:ascii="黑体" w:hAnsi="黑体" w:eastAsia="黑体"/>
          <w:sz w:val="28"/>
          <w:szCs w:val="28"/>
        </w:rPr>
      </w:pPr>
    </w:p>
    <w:p w14:paraId="54C8328A">
      <w:pPr>
        <w:jc w:val="center"/>
        <w:rPr>
          <w:rFonts w:ascii="黑体" w:hAnsi="黑体" w:eastAsia="黑体"/>
          <w:sz w:val="28"/>
          <w:szCs w:val="28"/>
        </w:rPr>
      </w:pPr>
    </w:p>
    <w:p w14:paraId="7DB022C0">
      <w:pPr>
        <w:jc w:val="center"/>
        <w:rPr>
          <w:rFonts w:ascii="黑体" w:hAnsi="黑体" w:eastAsia="黑体"/>
          <w:sz w:val="28"/>
          <w:szCs w:val="28"/>
        </w:rPr>
      </w:pPr>
    </w:p>
    <w:p w14:paraId="0D38DDEE">
      <w:pPr>
        <w:jc w:val="center"/>
        <w:rPr>
          <w:rFonts w:ascii="黑体" w:hAnsi="黑体" w:eastAsia="黑体"/>
          <w:sz w:val="28"/>
          <w:szCs w:val="28"/>
        </w:rPr>
      </w:pPr>
    </w:p>
    <w:p w14:paraId="0EAD89E4">
      <w:pPr>
        <w:jc w:val="center"/>
        <w:rPr>
          <w:rFonts w:ascii="黑体" w:hAnsi="黑体" w:eastAsia="黑体"/>
          <w:sz w:val="28"/>
          <w:szCs w:val="28"/>
        </w:rPr>
      </w:pPr>
    </w:p>
    <w:p w14:paraId="2916386F">
      <w:pPr>
        <w:jc w:val="center"/>
        <w:rPr>
          <w:rFonts w:ascii="黑体" w:hAnsi="黑体" w:eastAsia="黑体"/>
          <w:sz w:val="28"/>
          <w:szCs w:val="28"/>
        </w:rPr>
      </w:pPr>
    </w:p>
    <w:p w14:paraId="3F31F9DF">
      <w:pPr>
        <w:jc w:val="center"/>
        <w:rPr>
          <w:rFonts w:ascii="黑体" w:hAnsi="黑体" w:eastAsia="黑体"/>
          <w:sz w:val="28"/>
          <w:szCs w:val="28"/>
        </w:rPr>
      </w:pPr>
    </w:p>
    <w:p w14:paraId="41C4F68B">
      <w:pPr>
        <w:jc w:val="center"/>
        <w:rPr>
          <w:rFonts w:ascii="黑体" w:hAnsi="黑体" w:eastAsia="黑体"/>
          <w:sz w:val="28"/>
          <w:szCs w:val="28"/>
        </w:rPr>
      </w:pPr>
    </w:p>
    <w:p w14:paraId="042B4ECD">
      <w:pPr>
        <w:jc w:val="center"/>
        <w:rPr>
          <w:rFonts w:ascii="黑体" w:hAnsi="黑体" w:eastAsia="黑体"/>
          <w:sz w:val="28"/>
          <w:szCs w:val="28"/>
        </w:rPr>
      </w:pPr>
    </w:p>
    <w:p w14:paraId="5D91C9CD">
      <w:pPr>
        <w:jc w:val="center"/>
        <w:rPr>
          <w:sz w:val="72"/>
          <w:szCs w:val="72"/>
        </w:rPr>
      </w:pPr>
    </w:p>
    <w:p w14:paraId="29890D59">
      <w:pPr>
        <w:jc w:val="center"/>
        <w:rPr>
          <w:sz w:val="72"/>
          <w:szCs w:val="72"/>
        </w:rPr>
      </w:pPr>
    </w:p>
    <w:p w14:paraId="545CE75D">
      <w:pPr>
        <w:jc w:val="center"/>
        <w:rPr>
          <w:sz w:val="72"/>
          <w:szCs w:val="72"/>
        </w:rPr>
      </w:pPr>
    </w:p>
    <w:p w14:paraId="79C8945B">
      <w:pPr>
        <w:jc w:val="center"/>
        <w:rPr>
          <w:sz w:val="72"/>
          <w:szCs w:val="72"/>
        </w:rPr>
      </w:pPr>
    </w:p>
    <w:p w14:paraId="40A62502">
      <w:pPr>
        <w:pStyle w:val="15"/>
        <w:jc w:val="center"/>
        <w:rPr>
          <w:rFonts w:hint="eastAsia" w:ascii="方正小标宋_GBK" w:hAnsi="方正小标宋_GBK" w:eastAsia="方正小标宋_GBK" w:cs="方正小标宋_GBK"/>
          <w:sz w:val="84"/>
          <w:szCs w:val="84"/>
        </w:rPr>
      </w:pPr>
    </w:p>
    <w:p w14:paraId="68ACF34F">
      <w:pPr>
        <w:pStyle w:val="15"/>
        <w:jc w:val="center"/>
        <w:rPr>
          <w:rFonts w:hint="eastAsia" w:ascii="方正小标宋_GBK" w:hAnsi="方正小标宋_GBK" w:eastAsia="方正小标宋_GBK" w:cs="方正小标宋_GBK"/>
          <w:sz w:val="84"/>
          <w:szCs w:val="84"/>
        </w:rPr>
      </w:pPr>
    </w:p>
    <w:p w14:paraId="3403543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95D3CE0">
      <w:pPr>
        <w:pStyle w:val="15"/>
        <w:jc w:val="center"/>
        <w:rPr>
          <w:rFonts w:hint="eastAsia" w:ascii="方正小标宋_GBK" w:hAnsi="方正小标宋_GBK" w:eastAsia="方正小标宋_GBK" w:cs="方正小标宋_GBK"/>
          <w:sz w:val="84"/>
          <w:szCs w:val="84"/>
        </w:rPr>
      </w:pPr>
    </w:p>
    <w:p w14:paraId="44433FA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A868757">
      <w:pPr>
        <w:jc w:val="center"/>
        <w:rPr>
          <w:sz w:val="72"/>
          <w:szCs w:val="72"/>
        </w:rPr>
      </w:pPr>
    </w:p>
    <w:p w14:paraId="712CD83B">
      <w:pPr>
        <w:jc w:val="center"/>
        <w:rPr>
          <w:sz w:val="72"/>
          <w:szCs w:val="72"/>
        </w:rPr>
      </w:pPr>
    </w:p>
    <w:p w14:paraId="1E9588CD">
      <w:pPr>
        <w:jc w:val="center"/>
        <w:rPr>
          <w:sz w:val="72"/>
          <w:szCs w:val="72"/>
        </w:rPr>
      </w:pPr>
    </w:p>
    <w:p w14:paraId="40F4AEA2">
      <w:pPr>
        <w:jc w:val="center"/>
        <w:rPr>
          <w:sz w:val="72"/>
          <w:szCs w:val="72"/>
        </w:rPr>
      </w:pPr>
    </w:p>
    <w:p w14:paraId="3D9DA2F9">
      <w:pPr>
        <w:jc w:val="center"/>
        <w:rPr>
          <w:sz w:val="72"/>
          <w:szCs w:val="72"/>
        </w:rPr>
      </w:pPr>
    </w:p>
    <w:p w14:paraId="55B3CB19">
      <w:pPr>
        <w:jc w:val="center"/>
        <w:rPr>
          <w:sz w:val="72"/>
          <w:szCs w:val="72"/>
        </w:rPr>
      </w:pPr>
    </w:p>
    <w:p w14:paraId="44235BF2">
      <w:pPr>
        <w:jc w:val="left"/>
        <w:rPr>
          <w:sz w:val="32"/>
          <w:szCs w:val="32"/>
        </w:rPr>
      </w:pPr>
    </w:p>
    <w:p w14:paraId="6C1D0BC4">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62"/>
        <w:gridCol w:w="819"/>
        <w:gridCol w:w="1368"/>
        <w:gridCol w:w="4387"/>
        <w:gridCol w:w="819"/>
        <w:gridCol w:w="2015"/>
      </w:tblGrid>
      <w:tr w14:paraId="1A3E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center"/>
          </w:tcPr>
          <w:p w14:paraId="54D0E496">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0" w:name="RANGE!A1:F16"/>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tr w14:paraId="3B90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6296B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D5C25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0AD5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5C56A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5CF6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5C4845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24D4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5433F9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部门：溆浦县乡村振兴局</w:t>
            </w:r>
          </w:p>
        </w:tc>
        <w:tc>
          <w:tcPr>
            <w:tcW w:w="0" w:type="auto"/>
            <w:tcBorders>
              <w:top w:val="nil"/>
              <w:left w:val="nil"/>
              <w:bottom w:val="nil"/>
              <w:right w:val="nil"/>
            </w:tcBorders>
            <w:shd w:val="clear"/>
            <w:noWrap/>
            <w:vAlign w:val="center"/>
          </w:tcPr>
          <w:p w14:paraId="114803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CEF4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6213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039C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3BF28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2F7D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72F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F8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5533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D4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5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2F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E9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F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82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5326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3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984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B8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9A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2AA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45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2D46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2E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E2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2E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13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A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80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1C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B7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A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3D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E3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D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BB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27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BC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D6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87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E9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7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37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86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A2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7B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48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5F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34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44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5E0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CB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5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5D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68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C0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CD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B1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E7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FE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3BB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76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34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88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C5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17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5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38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388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7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77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9B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EE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5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20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4C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5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FF6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r>
      <w:tr w14:paraId="31DB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F847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63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C6C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FF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1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DB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r>
      <w:tr w14:paraId="5A7C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37B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73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CDE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914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5B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C7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FB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063B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FE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0C0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EC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A3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BB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7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F99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DC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A50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88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9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FE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5,086.09</w:t>
            </w:r>
          </w:p>
        </w:tc>
      </w:tr>
      <w:tr w14:paraId="143E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3C5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7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FC9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4E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00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67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CF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C17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4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604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73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6A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7C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F3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2462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B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0557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08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D0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5D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E4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DA4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80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5ED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94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94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E06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3D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3DF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2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08E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6B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1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5F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33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4D0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00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CDC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02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3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EE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12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0AF93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5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5ED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B2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68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8A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r>
      <w:tr w14:paraId="679B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13B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0D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6D5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99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7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CF7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A7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74F0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07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FD9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4F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67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6A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8F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6BA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3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5F7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D6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63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D2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A5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18F2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F8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0502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A9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C7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A6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73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C99F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C9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09CE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97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F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F9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B8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A2E1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AD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A2C0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5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0C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34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86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A9A0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88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B0A0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988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64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36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E7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02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AEF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D9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65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3F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60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5,137.70</w:t>
            </w:r>
          </w:p>
        </w:tc>
      </w:tr>
      <w:tr w14:paraId="4343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6E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3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57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8F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A9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F7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C7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CE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28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81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00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A1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04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EA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FEC1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F7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5F74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F786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1C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D8F5B">
            <w:pPr>
              <w:jc w:val="left"/>
              <w:rPr>
                <w:rFonts w:hint="eastAsia" w:ascii="宋体" w:hAnsi="宋体" w:eastAsia="宋体" w:cs="宋体"/>
                <w:i w:val="0"/>
                <w:iCs w:val="0"/>
                <w:color w:val="000000"/>
                <w:sz w:val="22"/>
                <w:szCs w:val="22"/>
                <w:u w:val="none"/>
              </w:rPr>
            </w:pPr>
          </w:p>
        </w:tc>
      </w:tr>
      <w:tr w14:paraId="2665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652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5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1B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83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B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BF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5,137.70</w:t>
            </w:r>
          </w:p>
        </w:tc>
      </w:tr>
      <w:tr w14:paraId="061B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12A17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6005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12FDF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471DF98A">
      <w:pPr>
        <w:widowControl/>
        <w:jc w:val="center"/>
        <w:rPr>
          <w:rFonts w:ascii="Times New Roman" w:hAnsi="Times New Roman" w:eastAsia="方正小标宋_GBK" w:cs="Times New Roman"/>
          <w:kern w:val="0"/>
          <w:sz w:val="36"/>
          <w:szCs w:val="36"/>
        </w:rPr>
      </w:pPr>
    </w:p>
    <w:p w14:paraId="3B8DE911">
      <w:pPr>
        <w:widowControl/>
        <w:jc w:val="center"/>
        <w:rPr>
          <w:rFonts w:ascii="Times New Roman" w:hAnsi="Times New Roman" w:eastAsia="方正小标宋_GBK" w:cs="Times New Roman"/>
          <w:kern w:val="0"/>
          <w:sz w:val="36"/>
          <w:szCs w:val="36"/>
        </w:rPr>
      </w:pPr>
    </w:p>
    <w:p w14:paraId="4C66D55F">
      <w:pPr>
        <w:widowControl/>
        <w:jc w:val="center"/>
        <w:rPr>
          <w:rFonts w:ascii="Times New Roman" w:hAnsi="Times New Roman" w:eastAsia="方正小标宋_GBK" w:cs="Times New Roman"/>
          <w:kern w:val="0"/>
          <w:sz w:val="36"/>
          <w:szCs w:val="36"/>
        </w:rPr>
      </w:pPr>
    </w:p>
    <w:p w14:paraId="7857459D">
      <w:pPr>
        <w:widowControl/>
        <w:jc w:val="center"/>
        <w:rPr>
          <w:rFonts w:ascii="Times New Roman" w:hAnsi="Times New Roman" w:eastAsia="方正小标宋_GBK" w:cs="Times New Roman"/>
          <w:kern w:val="0"/>
          <w:sz w:val="36"/>
          <w:szCs w:val="36"/>
        </w:rPr>
      </w:pPr>
    </w:p>
    <w:p w14:paraId="1FE86587">
      <w:pPr>
        <w:widowControl/>
        <w:jc w:val="center"/>
        <w:rPr>
          <w:rFonts w:ascii="Times New Roman" w:hAnsi="Times New Roman" w:eastAsia="方正小标宋_GBK" w:cs="Times New Roman"/>
          <w:kern w:val="0"/>
          <w:sz w:val="36"/>
          <w:szCs w:val="36"/>
        </w:rPr>
      </w:pPr>
    </w:p>
    <w:p w14:paraId="55CC0143">
      <w:pPr>
        <w:widowControl/>
        <w:jc w:val="center"/>
        <w:rPr>
          <w:rFonts w:ascii="Times New Roman" w:hAnsi="Times New Roman" w:eastAsia="方正小标宋_GBK" w:cs="Times New Roman"/>
          <w:kern w:val="0"/>
          <w:sz w:val="36"/>
          <w:szCs w:val="36"/>
        </w:rPr>
      </w:pPr>
    </w:p>
    <w:p w14:paraId="63DB23D2">
      <w:pPr>
        <w:widowControl/>
        <w:jc w:val="center"/>
        <w:rPr>
          <w:rFonts w:ascii="Times New Roman" w:hAnsi="Times New Roman" w:eastAsia="方正小标宋_GBK" w:cs="Times New Roman"/>
          <w:kern w:val="0"/>
          <w:sz w:val="36"/>
          <w:szCs w:val="36"/>
        </w:rPr>
      </w:pPr>
    </w:p>
    <w:p w14:paraId="63A92FF7">
      <w:pPr>
        <w:widowControl/>
        <w:jc w:val="center"/>
        <w:rPr>
          <w:rFonts w:ascii="Times New Roman" w:hAnsi="Times New Roman" w:eastAsia="方正小标宋_GBK" w:cs="Times New Roman"/>
          <w:kern w:val="0"/>
          <w:sz w:val="36"/>
          <w:szCs w:val="36"/>
        </w:rPr>
      </w:pPr>
    </w:p>
    <w:p w14:paraId="40C9C394">
      <w:pPr>
        <w:widowControl/>
        <w:jc w:val="center"/>
        <w:rPr>
          <w:rFonts w:ascii="Times New Roman" w:hAnsi="Times New Roman" w:eastAsia="方正小标宋_GBK" w:cs="Times New Roman"/>
          <w:kern w:val="0"/>
          <w:sz w:val="36"/>
          <w:szCs w:val="36"/>
        </w:rPr>
      </w:pPr>
    </w:p>
    <w:p w14:paraId="344F1CB7">
      <w:pPr>
        <w:widowControl/>
        <w:jc w:val="center"/>
        <w:rPr>
          <w:rFonts w:ascii="Times New Roman" w:hAnsi="Times New Roman" w:eastAsia="方正小标宋_GBK" w:cs="Times New Roman"/>
          <w:kern w:val="0"/>
          <w:sz w:val="36"/>
          <w:szCs w:val="36"/>
        </w:rPr>
      </w:pPr>
    </w:p>
    <w:p w14:paraId="31A05124">
      <w:pPr>
        <w:widowControl/>
        <w:jc w:val="center"/>
        <w:rPr>
          <w:rFonts w:ascii="Times New Roman" w:hAnsi="Times New Roman" w:eastAsia="方正小标宋_GBK" w:cs="Times New Roman"/>
          <w:kern w:val="0"/>
          <w:sz w:val="36"/>
          <w:szCs w:val="36"/>
        </w:rPr>
      </w:pPr>
    </w:p>
    <w:p w14:paraId="17C47A33">
      <w:pPr>
        <w:widowControl/>
        <w:jc w:val="center"/>
        <w:rPr>
          <w:rFonts w:ascii="Times New Roman" w:hAnsi="Times New Roman" w:eastAsia="方正小标宋_GBK" w:cs="Times New Roman"/>
          <w:kern w:val="0"/>
          <w:sz w:val="36"/>
          <w:szCs w:val="36"/>
        </w:rPr>
      </w:pPr>
    </w:p>
    <w:tbl>
      <w:tblPr>
        <w:tblW w:w="15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4176"/>
        <w:gridCol w:w="1568"/>
        <w:gridCol w:w="1568"/>
        <w:gridCol w:w="968"/>
        <w:gridCol w:w="968"/>
        <w:gridCol w:w="968"/>
        <w:gridCol w:w="968"/>
        <w:gridCol w:w="1616"/>
      </w:tblGrid>
      <w:tr w14:paraId="3252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15660" w:type="dxa"/>
            <w:gridSpan w:val="11"/>
            <w:tcBorders>
              <w:top w:val="nil"/>
              <w:left w:val="nil"/>
              <w:bottom w:val="nil"/>
              <w:right w:val="nil"/>
            </w:tcBorders>
            <w:shd w:val="clear"/>
            <w:noWrap/>
            <w:vAlign w:val="center"/>
          </w:tcPr>
          <w:p w14:paraId="4399B7D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265F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nil"/>
              <w:left w:val="nil"/>
              <w:bottom w:val="nil"/>
              <w:right w:val="nil"/>
            </w:tcBorders>
            <w:shd w:val="clear"/>
            <w:noWrap/>
            <w:vAlign w:val="center"/>
          </w:tcPr>
          <w:p w14:paraId="452FD6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86DC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FD04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0FAB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4294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6D94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BEA26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FB2E1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60E1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5EC9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656CF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5C90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nil"/>
              <w:left w:val="nil"/>
              <w:bottom w:val="nil"/>
              <w:right w:val="nil"/>
            </w:tcBorders>
            <w:shd w:val="clear"/>
            <w:noWrap/>
            <w:vAlign w:val="bottom"/>
          </w:tcPr>
          <w:p w14:paraId="32F9A3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部门：溆浦县乡村振兴局</w:t>
            </w:r>
          </w:p>
        </w:tc>
        <w:tc>
          <w:tcPr>
            <w:tcW w:w="0" w:type="auto"/>
            <w:tcBorders>
              <w:top w:val="nil"/>
              <w:left w:val="nil"/>
              <w:bottom w:val="nil"/>
              <w:right w:val="nil"/>
            </w:tcBorders>
            <w:shd w:val="clear"/>
            <w:noWrap/>
            <w:vAlign w:val="center"/>
          </w:tcPr>
          <w:p w14:paraId="576DCC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A8D3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6277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24D1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4DCE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B5C2B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EC19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053E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7300D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D1E17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6B7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ABEB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8B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6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850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C44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796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EAB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098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AF1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1A7E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5A51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5B1F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3A9825">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047DCE">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8129A5">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E499C8">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4E4F1">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89A2EA">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B63737">
            <w:pPr>
              <w:jc w:val="center"/>
              <w:rPr>
                <w:rFonts w:hint="eastAsia" w:ascii="宋体" w:hAnsi="宋体" w:eastAsia="宋体" w:cs="宋体"/>
                <w:i w:val="0"/>
                <w:iCs w:val="0"/>
                <w:color w:val="000000"/>
                <w:sz w:val="22"/>
                <w:szCs w:val="22"/>
                <w:u w:val="none"/>
              </w:rPr>
            </w:pPr>
          </w:p>
        </w:tc>
      </w:tr>
      <w:tr w14:paraId="7FCC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4D501A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FC7026">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9451B7">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71B6DC">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D8BFC0">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9FDC37">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7CBF99">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FAFAA">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D331D2">
            <w:pPr>
              <w:jc w:val="center"/>
              <w:rPr>
                <w:rFonts w:hint="eastAsia" w:ascii="宋体" w:hAnsi="宋体" w:eastAsia="宋体" w:cs="宋体"/>
                <w:i w:val="0"/>
                <w:iCs w:val="0"/>
                <w:color w:val="000000"/>
                <w:sz w:val="22"/>
                <w:szCs w:val="22"/>
                <w:u w:val="none"/>
              </w:rPr>
            </w:pPr>
          </w:p>
        </w:tc>
      </w:tr>
      <w:tr w14:paraId="22AE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BA4604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57138C">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42C174">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596E6">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4E19E">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BD0130">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5DDFD5">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6EC758">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9F1B9">
            <w:pPr>
              <w:jc w:val="center"/>
              <w:rPr>
                <w:rFonts w:hint="eastAsia" w:ascii="宋体" w:hAnsi="宋体" w:eastAsia="宋体" w:cs="宋体"/>
                <w:i w:val="0"/>
                <w:iCs w:val="0"/>
                <w:color w:val="000000"/>
                <w:sz w:val="22"/>
                <w:szCs w:val="22"/>
                <w:u w:val="none"/>
              </w:rPr>
            </w:pPr>
          </w:p>
        </w:tc>
      </w:tr>
      <w:tr w14:paraId="7892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E83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14:paraId="4B41F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14:paraId="4414C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326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5633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B2C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47D9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14:paraId="503E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6063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B94B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6C9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5,121.44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A8D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0C8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09C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6C3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C5E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45F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48.98</w:t>
            </w:r>
          </w:p>
        </w:tc>
      </w:tr>
      <w:tr w14:paraId="71CE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740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BD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1E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8A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5D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F3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EC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D6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B78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F0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9AF3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01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BE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16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F2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72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E9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3B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17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85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982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A1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5A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B0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5A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E1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86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E2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B8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60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1D7C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93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A4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0C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93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87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70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66E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A9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C3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43B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D4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27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4D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42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07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35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85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00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62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7A9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EA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4F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27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E7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8D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F7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4D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8C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26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714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09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73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664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76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2D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D0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C8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EF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C2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428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3C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E4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1F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BF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BF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F2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5C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BB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4E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03B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3A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AD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A4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CC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71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45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36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CD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13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506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64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D3A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5,069.83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9C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D0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CC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C7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67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7D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48.98</w:t>
            </w:r>
          </w:p>
        </w:tc>
      </w:tr>
      <w:tr w14:paraId="6E28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1A4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6D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8D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63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17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FF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88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7F5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91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EF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338C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C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34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69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4B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5F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50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26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5B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8A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D52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DA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AB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7C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5,019.85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F0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23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A7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0F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BF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48.98</w:t>
            </w:r>
          </w:p>
        </w:tc>
      </w:tr>
      <w:tr w14:paraId="5FD2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D70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2A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C8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F97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6A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1C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200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16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EB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E6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A55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9E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贷款奖补和贴息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04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61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03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CA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DA5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89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AF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67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4DF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EC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2A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80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E79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6B5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8E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18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77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48.98</w:t>
            </w:r>
          </w:p>
        </w:tc>
      </w:tr>
      <w:tr w14:paraId="6335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F3F9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1B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822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CEB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57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0C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5A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7D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C7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4F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EA6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BE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D5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E1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A9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C3C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20A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6B8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E0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5F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9AB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F8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CF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6B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4A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FE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06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40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30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B4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11"/>
            <w:tcBorders>
              <w:top w:val="nil"/>
              <w:left w:val="nil"/>
              <w:bottom w:val="nil"/>
              <w:right w:val="nil"/>
            </w:tcBorders>
            <w:shd w:val="clear"/>
            <w:noWrap/>
            <w:vAlign w:val="center"/>
          </w:tcPr>
          <w:p w14:paraId="2230B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21A84D70">
      <w:pPr>
        <w:widowControl/>
        <w:jc w:val="center"/>
        <w:rPr>
          <w:rFonts w:ascii="Times New Roman" w:hAnsi="Times New Roman" w:eastAsia="方正小标宋_GBK" w:cs="Times New Roman"/>
          <w:kern w:val="0"/>
          <w:sz w:val="36"/>
          <w:szCs w:val="36"/>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4176"/>
        <w:gridCol w:w="1698"/>
        <w:gridCol w:w="1698"/>
        <w:gridCol w:w="1164"/>
        <w:gridCol w:w="1164"/>
        <w:gridCol w:w="1164"/>
        <w:gridCol w:w="1800"/>
      </w:tblGrid>
      <w:tr w14:paraId="3D84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center"/>
          </w:tcPr>
          <w:p w14:paraId="5722370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2B90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35F2A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F19B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0A2B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29081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7E05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D646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FFDD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478E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C12D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354A75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5E25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50ACCD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部门：溆浦县乡村振兴局</w:t>
            </w:r>
          </w:p>
        </w:tc>
        <w:tc>
          <w:tcPr>
            <w:tcW w:w="0" w:type="auto"/>
            <w:tcBorders>
              <w:top w:val="nil"/>
              <w:left w:val="nil"/>
              <w:bottom w:val="nil"/>
              <w:right w:val="nil"/>
            </w:tcBorders>
            <w:shd w:val="clear"/>
            <w:noWrap/>
            <w:vAlign w:val="center"/>
          </w:tcPr>
          <w:p w14:paraId="25C711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12BC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1F425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5389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F3BD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2CD64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335B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4A6F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36B2F7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5CDB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B782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751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9C1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E5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62E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3C0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32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0819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A8CB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8BC8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B338D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67273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797AC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CDF1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01FF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536B8">
            <w:pPr>
              <w:jc w:val="center"/>
              <w:rPr>
                <w:rFonts w:hint="eastAsia" w:ascii="宋体" w:hAnsi="宋体" w:eastAsia="宋体" w:cs="宋体"/>
                <w:i w:val="0"/>
                <w:iCs w:val="0"/>
                <w:color w:val="000000"/>
                <w:sz w:val="22"/>
                <w:szCs w:val="22"/>
                <w:u w:val="none"/>
              </w:rPr>
            </w:pPr>
          </w:p>
        </w:tc>
      </w:tr>
      <w:tr w14:paraId="6733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3AE6ED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4F3CC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D8ABD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EF133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F88D1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B84E9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7208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9EF46">
            <w:pPr>
              <w:jc w:val="center"/>
              <w:rPr>
                <w:rFonts w:hint="eastAsia" w:ascii="宋体" w:hAnsi="宋体" w:eastAsia="宋体" w:cs="宋体"/>
                <w:i w:val="0"/>
                <w:iCs w:val="0"/>
                <w:color w:val="000000"/>
                <w:sz w:val="22"/>
                <w:szCs w:val="22"/>
                <w:u w:val="none"/>
              </w:rPr>
            </w:pPr>
          </w:p>
        </w:tc>
      </w:tr>
      <w:tr w14:paraId="70A5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D61F5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87A7F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ADA6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DD5B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CADC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B79D7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7FF2D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892E1">
            <w:pPr>
              <w:jc w:val="center"/>
              <w:rPr>
                <w:rFonts w:hint="eastAsia" w:ascii="宋体" w:hAnsi="宋体" w:eastAsia="宋体" w:cs="宋体"/>
                <w:i w:val="0"/>
                <w:iCs w:val="0"/>
                <w:color w:val="000000"/>
                <w:sz w:val="22"/>
                <w:szCs w:val="22"/>
                <w:u w:val="none"/>
              </w:rPr>
            </w:pPr>
          </w:p>
        </w:tc>
      </w:tr>
      <w:tr w14:paraId="18DD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4288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4D3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683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C6F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943D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9981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3D4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49D5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EB46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555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5,137.70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311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5,137.70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39A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D73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A95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9FD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2863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5C1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68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C8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AF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AA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C2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1B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5C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F9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4ED2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8B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DC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BA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1A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B6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76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3F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79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1D8D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A0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C4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58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E8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D8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69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314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31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430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92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88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8A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94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93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37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6F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D3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B37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54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82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67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C6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42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89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33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8B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6C51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18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80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E2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27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0E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9D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11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ED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555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21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63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E0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DA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41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FC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17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DE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639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FD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A1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A1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BF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68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79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2B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AA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D181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87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0F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4F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AA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C1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46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ED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0B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1B3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58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05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5,086.09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C86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5,086.09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64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50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CD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C5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2F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275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27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CF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66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F31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E58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2E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B7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7C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1DA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05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4D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83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842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B3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FD2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CD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D6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9E7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5A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964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3E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41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3E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79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7E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391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79B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D5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E7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2B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E6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B7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D5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65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10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F57A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EC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贷款奖补和贴息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B9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F4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5F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2F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5B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D8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62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9728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95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26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F6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CF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20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8C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E2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FF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2E4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E6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74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9C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D5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63E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D0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F6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42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E8E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8E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23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55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69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A6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89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E79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17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234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A0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2F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A4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46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E9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3E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8F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D3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7EDC7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18BD41EA">
      <w:pPr>
        <w:widowControl/>
        <w:jc w:val="center"/>
        <w:rPr>
          <w:rFonts w:ascii="Times New Roman" w:hAnsi="Times New Roman" w:eastAsia="方正小标宋_GBK" w:cs="Times New Roman"/>
          <w:kern w:val="0"/>
          <w:sz w:val="36"/>
          <w:szCs w:val="36"/>
        </w:rPr>
      </w:pPr>
    </w:p>
    <w:p w14:paraId="0D649E6E">
      <w:pPr>
        <w:widowControl/>
        <w:jc w:val="center"/>
        <w:rPr>
          <w:rFonts w:ascii="Times New Roman" w:hAnsi="Times New Roman" w:eastAsia="方正小标宋_GBK" w:cs="Times New Roman"/>
          <w:kern w:val="0"/>
          <w:sz w:val="36"/>
          <w:szCs w:val="36"/>
        </w:rPr>
      </w:pPr>
    </w:p>
    <w:tbl>
      <w:tblPr>
        <w:tblW w:w="15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53"/>
        <w:gridCol w:w="521"/>
        <w:gridCol w:w="1381"/>
        <w:gridCol w:w="3937"/>
        <w:gridCol w:w="521"/>
        <w:gridCol w:w="1182"/>
        <w:gridCol w:w="1381"/>
        <w:gridCol w:w="1018"/>
        <w:gridCol w:w="1846"/>
      </w:tblGrid>
      <w:tr w14:paraId="6B59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15440" w:type="dxa"/>
            <w:gridSpan w:val="9"/>
            <w:tcBorders>
              <w:top w:val="nil"/>
              <w:left w:val="nil"/>
              <w:bottom w:val="nil"/>
              <w:right w:val="nil"/>
            </w:tcBorders>
            <w:shd w:val="clear"/>
            <w:noWrap/>
            <w:vAlign w:val="center"/>
          </w:tcPr>
          <w:p w14:paraId="53843BE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5800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noWrap/>
            <w:vAlign w:val="center"/>
          </w:tcPr>
          <w:p w14:paraId="2934E1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BF11E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FC65D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8823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6A52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53BE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3BB4A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48C1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65FB4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2026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noWrap/>
            <w:vAlign w:val="bottom"/>
          </w:tcPr>
          <w:p w14:paraId="5C6CF6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部门：溆浦县乡村振兴局</w:t>
            </w:r>
          </w:p>
        </w:tc>
        <w:tc>
          <w:tcPr>
            <w:tcW w:w="0" w:type="auto"/>
            <w:tcBorders>
              <w:top w:val="nil"/>
              <w:left w:val="nil"/>
              <w:bottom w:val="nil"/>
              <w:right w:val="nil"/>
            </w:tcBorders>
            <w:shd w:val="clear"/>
            <w:noWrap/>
            <w:vAlign w:val="center"/>
          </w:tcPr>
          <w:p w14:paraId="74B996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C637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3436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AA00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D5674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7232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65F9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7E5ED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3758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335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51E93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2BD8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2AC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A30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2A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7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B14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E3D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A576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D7B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2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00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5CD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2DD3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4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6CF24">
            <w:pPr>
              <w:jc w:val="center"/>
              <w:rPr>
                <w:rFonts w:hint="eastAsia" w:ascii="宋体" w:hAnsi="宋体" w:eastAsia="宋体" w:cs="宋体"/>
                <w:i w:val="0"/>
                <w:iCs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436DA9">
            <w:pPr>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8BF6A">
            <w:pPr>
              <w:jc w:val="center"/>
              <w:rPr>
                <w:rFonts w:hint="eastAsia" w:ascii="宋体" w:hAnsi="宋体" w:eastAsia="宋体" w:cs="宋体"/>
                <w:i w:val="0"/>
                <w:iCs w:val="0"/>
                <w:color w:val="000000"/>
                <w:sz w:val="22"/>
                <w:szCs w:val="22"/>
                <w:u w:val="none"/>
              </w:rPr>
            </w:pPr>
          </w:p>
        </w:tc>
        <w:tc>
          <w:tcPr>
            <w:tcW w:w="37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4FE10">
            <w:pPr>
              <w:jc w:val="center"/>
              <w:rPr>
                <w:rFonts w:hint="eastAsia" w:ascii="宋体" w:hAnsi="宋体" w:eastAsia="宋体" w:cs="宋体"/>
                <w:i w:val="0"/>
                <w:iCs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43E35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DE252F">
            <w:pPr>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504BA">
            <w:pPr>
              <w:jc w:val="center"/>
              <w:rPr>
                <w:rFonts w:hint="eastAsia" w:ascii="宋体" w:hAnsi="宋体" w:eastAsia="宋体" w:cs="宋体"/>
                <w:i w:val="0"/>
                <w:iCs w:val="0"/>
                <w:color w:val="000000"/>
                <w:sz w:val="22"/>
                <w:szCs w:val="22"/>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2490D9">
            <w:pPr>
              <w:jc w:val="center"/>
              <w:rPr>
                <w:rFonts w:hint="eastAsia" w:ascii="宋体" w:hAnsi="宋体" w:eastAsia="宋体" w:cs="宋体"/>
                <w:i w:val="0"/>
                <w:iCs w:val="0"/>
                <w:color w:val="000000"/>
                <w:sz w:val="22"/>
                <w:szCs w:val="22"/>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2165A">
            <w:pPr>
              <w:jc w:val="center"/>
              <w:rPr>
                <w:rFonts w:hint="eastAsia" w:ascii="宋体" w:hAnsi="宋体" w:eastAsia="宋体" w:cs="宋体"/>
                <w:i w:val="0"/>
                <w:iCs w:val="0"/>
                <w:color w:val="000000"/>
                <w:sz w:val="22"/>
                <w:szCs w:val="22"/>
                <w:u w:val="none"/>
              </w:rPr>
            </w:pPr>
          </w:p>
        </w:tc>
      </w:tr>
      <w:tr w14:paraId="3B6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8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7A3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B3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814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74E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B5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E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3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22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0AE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61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E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E6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D2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E1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A2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90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40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82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4C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43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8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4B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BD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32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75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01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56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55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95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58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F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03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6A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5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0E4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D3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6E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5A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C6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2C6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52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B4A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7E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CB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60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41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5F5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AB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8B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2422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5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026C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4D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DC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D8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53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590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E5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C7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82B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8B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62D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CB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7D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17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22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14F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9E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C3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888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9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A6D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8A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9B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02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F6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2B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58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18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1D7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DBE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A0B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7C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1D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F9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7F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EC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5A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61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575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9B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256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C0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1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13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C4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95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42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47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01C3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3E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078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3C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3F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85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CD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3F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95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FD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437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8F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AA9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FB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0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62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F1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1E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C5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04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D3BE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2E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22D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A3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9B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D12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E0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5B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72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1C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2E5A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6E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F04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78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EC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FD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5F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28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53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0F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D8E2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ED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8C9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7B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7F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2F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10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62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9B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E4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BB4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64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B99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FD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B4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A9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4C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7A7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5F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82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925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B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498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F9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0A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60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B2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0F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C15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72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09B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AC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F08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10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AF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6E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19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21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913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58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D641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A1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385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BD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B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91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A9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AC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BC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AA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5980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81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238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DE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43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81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E5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92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BB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81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352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19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1E3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93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8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CF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26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CF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55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94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FFC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8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F89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23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C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95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C9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1F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15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5F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CAC2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09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6DF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34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72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00B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CA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7DD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56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63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EFB8B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B8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3A1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6C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8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A26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E3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55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F7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E6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DB20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4A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A61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4C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00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23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36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8F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FE3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9E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652E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0A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093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43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C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FE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E3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EE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D8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F6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A725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A3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FF2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4A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0D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C4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E6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91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E5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B2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3D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0D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25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DD3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76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E9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A6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7D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DE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0F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38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E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3D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88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F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49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58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4F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83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42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A9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D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DB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1B61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FB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6B2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4BD7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239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AD498">
            <w:pPr>
              <w:jc w:val="right"/>
              <w:rPr>
                <w:rFonts w:hint="eastAsia" w:ascii="宋体" w:hAnsi="宋体" w:eastAsia="宋体" w:cs="宋体"/>
                <w:i w:val="0"/>
                <w:iCs w:val="0"/>
                <w:color w:val="000000"/>
                <w:sz w:val="22"/>
                <w:szCs w:val="22"/>
                <w:u w:val="none"/>
              </w:rPr>
            </w:pPr>
          </w:p>
        </w:tc>
      </w:tr>
      <w:tr w14:paraId="4884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CC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3B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01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915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F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D4A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E05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AC9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03EE3">
            <w:pPr>
              <w:jc w:val="right"/>
              <w:rPr>
                <w:rFonts w:hint="eastAsia" w:ascii="宋体" w:hAnsi="宋体" w:eastAsia="宋体" w:cs="宋体"/>
                <w:i w:val="0"/>
                <w:iCs w:val="0"/>
                <w:color w:val="000000"/>
                <w:sz w:val="22"/>
                <w:szCs w:val="22"/>
                <w:u w:val="none"/>
              </w:rPr>
            </w:pPr>
          </w:p>
        </w:tc>
      </w:tr>
      <w:tr w14:paraId="16A1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7C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92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CD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86E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D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E22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2E9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7E1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C9CCF">
            <w:pPr>
              <w:jc w:val="right"/>
              <w:rPr>
                <w:rFonts w:hint="eastAsia" w:ascii="宋体" w:hAnsi="宋体" w:eastAsia="宋体" w:cs="宋体"/>
                <w:i w:val="0"/>
                <w:iCs w:val="0"/>
                <w:color w:val="000000"/>
                <w:sz w:val="22"/>
                <w:szCs w:val="22"/>
                <w:u w:val="none"/>
              </w:rPr>
            </w:pPr>
          </w:p>
        </w:tc>
      </w:tr>
      <w:tr w14:paraId="7F99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693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4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E2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13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DB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37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6A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EF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42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70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8"/>
            <w:tcBorders>
              <w:top w:val="nil"/>
              <w:left w:val="nil"/>
              <w:bottom w:val="nil"/>
              <w:right w:val="nil"/>
            </w:tcBorders>
            <w:shd w:val="clear"/>
            <w:noWrap/>
            <w:vAlign w:val="center"/>
          </w:tcPr>
          <w:p w14:paraId="63DED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14:paraId="01C185F0">
            <w:pPr>
              <w:jc w:val="left"/>
              <w:rPr>
                <w:rFonts w:hint="eastAsia" w:ascii="宋体" w:hAnsi="宋体" w:eastAsia="宋体" w:cs="宋体"/>
                <w:i w:val="0"/>
                <w:iCs w:val="0"/>
                <w:color w:val="000000"/>
                <w:sz w:val="20"/>
                <w:szCs w:val="20"/>
                <w:u w:val="none"/>
              </w:rPr>
            </w:pPr>
          </w:p>
        </w:tc>
      </w:tr>
    </w:tbl>
    <w:p w14:paraId="3FDB4D50">
      <w:pPr>
        <w:widowControl/>
        <w:jc w:val="center"/>
        <w:rPr>
          <w:rFonts w:ascii="Times New Roman" w:hAnsi="Times New Roman" w:eastAsia="方正小标宋_GBK" w:cs="Times New Roman"/>
          <w:kern w:val="0"/>
          <w:sz w:val="36"/>
          <w:szCs w:val="36"/>
        </w:rPr>
      </w:pPr>
    </w:p>
    <w:bookmarkEnd w:id="0"/>
    <w:p w14:paraId="3E5E3218">
      <w:pPr>
        <w:widowControl/>
        <w:jc w:val="left"/>
        <w:rPr>
          <w:rFonts w:ascii="Times New Roman" w:hAnsi="Times New Roman" w:eastAsia="仿宋_GB2312" w:cs="Times New Roman"/>
          <w:bCs/>
          <w:kern w:val="0"/>
          <w:szCs w:val="21"/>
        </w:rPr>
      </w:pPr>
    </w:p>
    <w:p w14:paraId="017B7A6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4176"/>
        <w:gridCol w:w="1361"/>
        <w:gridCol w:w="1361"/>
        <w:gridCol w:w="1913"/>
      </w:tblGrid>
      <w:tr w14:paraId="427F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center"/>
          </w:tcPr>
          <w:p w14:paraId="11150BF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00DE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23099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15B7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F0FEE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E1DE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BA32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314BC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51550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0B20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4BBAB8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部门：溆浦县乡村振兴局</w:t>
            </w:r>
          </w:p>
        </w:tc>
        <w:tc>
          <w:tcPr>
            <w:tcW w:w="0" w:type="auto"/>
            <w:tcBorders>
              <w:top w:val="nil"/>
              <w:left w:val="nil"/>
              <w:bottom w:val="nil"/>
              <w:right w:val="nil"/>
            </w:tcBorders>
            <w:shd w:val="clear"/>
            <w:noWrap/>
            <w:vAlign w:val="center"/>
          </w:tcPr>
          <w:p w14:paraId="089C74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8187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C505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00188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7B511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0FE84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68F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B62B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vAlign w:val="center"/>
          </w:tcPr>
          <w:p w14:paraId="598B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4C4D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2865B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ECD6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FE7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26E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BFE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080C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15ACF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BE9890">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DD046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334D4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75140E">
            <w:pPr>
              <w:jc w:val="center"/>
              <w:rPr>
                <w:rFonts w:hint="eastAsia" w:ascii="宋体" w:hAnsi="宋体" w:eastAsia="宋体" w:cs="宋体"/>
                <w:i w:val="0"/>
                <w:iCs w:val="0"/>
                <w:color w:val="000000"/>
                <w:sz w:val="22"/>
                <w:szCs w:val="22"/>
                <w:u w:val="none"/>
              </w:rPr>
            </w:pPr>
          </w:p>
        </w:tc>
      </w:tr>
      <w:tr w14:paraId="0991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8338AF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3C3972">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AD8BDF">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608E5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0CDE72">
            <w:pPr>
              <w:jc w:val="center"/>
              <w:rPr>
                <w:rFonts w:hint="eastAsia" w:ascii="宋体" w:hAnsi="宋体" w:eastAsia="宋体" w:cs="宋体"/>
                <w:i w:val="0"/>
                <w:iCs w:val="0"/>
                <w:color w:val="000000"/>
                <w:sz w:val="22"/>
                <w:szCs w:val="22"/>
                <w:u w:val="none"/>
              </w:rPr>
            </w:pPr>
          </w:p>
        </w:tc>
      </w:tr>
      <w:tr w14:paraId="33CE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3C05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7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E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6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4A3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C97D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869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F39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5,072.46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4AE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1C5E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331D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6E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31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39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8D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41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856D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25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E7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17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03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71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452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8C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8B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2A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C5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92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F041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24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16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B5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B8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20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68A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40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D4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15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2D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D4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140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71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02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FE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E8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3B6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74E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7C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8D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EA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32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11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778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60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2B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2F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1F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3E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1BC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81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EA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B3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FF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E3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8CB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1B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31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02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24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C2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9CE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B78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8B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E5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19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2C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58A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00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1B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9B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F7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EF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708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F3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61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5,019.85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58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5,019.85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2B2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DB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E01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78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D6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CE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7A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EA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1C6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F8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贷款奖补和贴息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D2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EB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E1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B0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B20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C6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92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E5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A5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2E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849E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7A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67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5B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A3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0F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C10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1E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27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A5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BB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B2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7CCB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97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7F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2D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72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70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noWrap/>
            <w:vAlign w:val="center"/>
          </w:tcPr>
          <w:p w14:paraId="2AE6A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2E417E05">
      <w:pPr>
        <w:widowControl/>
        <w:jc w:val="left"/>
        <w:rPr>
          <w:rFonts w:ascii="Times New Roman" w:hAnsi="Times New Roman" w:eastAsia="仿宋_GB2312" w:cs="Times New Roman"/>
          <w:bCs/>
          <w:kern w:val="0"/>
          <w:szCs w:val="21"/>
        </w:rPr>
      </w:pPr>
    </w:p>
    <w:p w14:paraId="1B9102C2">
      <w:pPr>
        <w:widowControl/>
        <w:jc w:val="left"/>
        <w:rPr>
          <w:rFonts w:ascii="Times New Roman" w:hAnsi="Times New Roman" w:eastAsia="仿宋_GB2312" w:cs="Times New Roman"/>
          <w:bCs/>
          <w:kern w:val="0"/>
          <w:szCs w:val="21"/>
        </w:rPr>
      </w:pPr>
    </w:p>
    <w:p w14:paraId="50F04713">
      <w:pPr>
        <w:widowControl/>
        <w:jc w:val="left"/>
        <w:rPr>
          <w:rFonts w:ascii="Times New Roman" w:hAnsi="Times New Roman" w:eastAsia="仿宋_GB2312" w:cs="Times New Roman"/>
          <w:bCs/>
          <w:kern w:val="0"/>
          <w:szCs w:val="21"/>
        </w:rPr>
      </w:pPr>
    </w:p>
    <w:p w14:paraId="7C769362">
      <w:pPr>
        <w:widowControl/>
        <w:jc w:val="left"/>
        <w:rPr>
          <w:rFonts w:ascii="Times New Roman" w:hAnsi="Times New Roman" w:eastAsia="仿宋_GB2312" w:cs="Times New Roman"/>
          <w:bCs/>
          <w:kern w:val="0"/>
          <w:szCs w:val="21"/>
        </w:rPr>
      </w:pPr>
    </w:p>
    <w:tbl>
      <w:tblPr>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2544"/>
        <w:gridCol w:w="1345"/>
        <w:gridCol w:w="1308"/>
        <w:gridCol w:w="1842"/>
        <w:gridCol w:w="1369"/>
        <w:gridCol w:w="1271"/>
        <w:gridCol w:w="3758"/>
        <w:gridCol w:w="1004"/>
      </w:tblGrid>
      <w:tr w14:paraId="64FA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noWrap/>
            <w:vAlign w:val="center"/>
          </w:tcPr>
          <w:p w14:paraId="6ADF3D3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7CE7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noWrap/>
            <w:vAlign w:val="center"/>
          </w:tcPr>
          <w:p w14:paraId="41E30862">
            <w:pPr>
              <w:rPr>
                <w:rFonts w:hint="eastAsia" w:ascii="宋体" w:hAnsi="宋体" w:eastAsia="宋体" w:cs="宋体"/>
                <w:i w:val="0"/>
                <w:iCs w:val="0"/>
                <w:color w:val="000000"/>
                <w:sz w:val="22"/>
                <w:szCs w:val="22"/>
                <w:u w:val="none"/>
              </w:rPr>
            </w:pPr>
          </w:p>
        </w:tc>
        <w:tc>
          <w:tcPr>
            <w:tcW w:w="2544" w:type="dxa"/>
            <w:tcBorders>
              <w:top w:val="nil"/>
              <w:left w:val="nil"/>
              <w:bottom w:val="nil"/>
              <w:right w:val="nil"/>
            </w:tcBorders>
            <w:shd w:val="clear"/>
            <w:noWrap/>
            <w:vAlign w:val="center"/>
          </w:tcPr>
          <w:p w14:paraId="415075CA">
            <w:pPr>
              <w:rPr>
                <w:rFonts w:hint="eastAsia" w:ascii="宋体" w:hAnsi="宋体" w:eastAsia="宋体" w:cs="宋体"/>
                <w:i w:val="0"/>
                <w:iCs w:val="0"/>
                <w:color w:val="000000"/>
                <w:sz w:val="22"/>
                <w:szCs w:val="22"/>
                <w:u w:val="none"/>
              </w:rPr>
            </w:pPr>
          </w:p>
        </w:tc>
        <w:tc>
          <w:tcPr>
            <w:tcW w:w="1345" w:type="dxa"/>
            <w:tcBorders>
              <w:top w:val="nil"/>
              <w:left w:val="nil"/>
              <w:bottom w:val="nil"/>
              <w:right w:val="nil"/>
            </w:tcBorders>
            <w:shd w:val="clear"/>
            <w:noWrap/>
            <w:vAlign w:val="center"/>
          </w:tcPr>
          <w:p w14:paraId="1370936A">
            <w:pPr>
              <w:rPr>
                <w:rFonts w:hint="eastAsia" w:ascii="宋体" w:hAnsi="宋体" w:eastAsia="宋体" w:cs="宋体"/>
                <w:i w:val="0"/>
                <w:iCs w:val="0"/>
                <w:color w:val="000000"/>
                <w:sz w:val="22"/>
                <w:szCs w:val="22"/>
                <w:u w:val="none"/>
              </w:rPr>
            </w:pPr>
          </w:p>
        </w:tc>
        <w:tc>
          <w:tcPr>
            <w:tcW w:w="1308" w:type="dxa"/>
            <w:tcBorders>
              <w:top w:val="nil"/>
              <w:left w:val="nil"/>
              <w:bottom w:val="nil"/>
              <w:right w:val="nil"/>
            </w:tcBorders>
            <w:shd w:val="clear"/>
            <w:noWrap/>
            <w:vAlign w:val="center"/>
          </w:tcPr>
          <w:p w14:paraId="34B65535">
            <w:pPr>
              <w:rPr>
                <w:rFonts w:hint="eastAsia" w:ascii="宋体" w:hAnsi="宋体" w:eastAsia="宋体" w:cs="宋体"/>
                <w:i w:val="0"/>
                <w:iCs w:val="0"/>
                <w:color w:val="000000"/>
                <w:sz w:val="22"/>
                <w:szCs w:val="22"/>
                <w:u w:val="none"/>
              </w:rPr>
            </w:pPr>
          </w:p>
        </w:tc>
        <w:tc>
          <w:tcPr>
            <w:tcW w:w="1842" w:type="dxa"/>
            <w:tcBorders>
              <w:top w:val="nil"/>
              <w:left w:val="nil"/>
              <w:bottom w:val="nil"/>
              <w:right w:val="nil"/>
            </w:tcBorders>
            <w:shd w:val="clear"/>
            <w:noWrap/>
            <w:vAlign w:val="center"/>
          </w:tcPr>
          <w:p w14:paraId="64A07980">
            <w:pPr>
              <w:rPr>
                <w:rFonts w:hint="eastAsia" w:ascii="宋体" w:hAnsi="宋体" w:eastAsia="宋体" w:cs="宋体"/>
                <w:i w:val="0"/>
                <w:iCs w:val="0"/>
                <w:color w:val="000000"/>
                <w:sz w:val="22"/>
                <w:szCs w:val="22"/>
                <w:u w:val="none"/>
              </w:rPr>
            </w:pPr>
          </w:p>
        </w:tc>
        <w:tc>
          <w:tcPr>
            <w:tcW w:w="1369" w:type="dxa"/>
            <w:tcBorders>
              <w:top w:val="nil"/>
              <w:left w:val="nil"/>
              <w:bottom w:val="nil"/>
              <w:right w:val="nil"/>
            </w:tcBorders>
            <w:shd w:val="clear"/>
            <w:noWrap/>
            <w:vAlign w:val="center"/>
          </w:tcPr>
          <w:p w14:paraId="4754ADA9">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noWrap/>
            <w:vAlign w:val="center"/>
          </w:tcPr>
          <w:p w14:paraId="4EFF5F91">
            <w:pPr>
              <w:rPr>
                <w:rFonts w:hint="eastAsia" w:ascii="宋体" w:hAnsi="宋体" w:eastAsia="宋体" w:cs="宋体"/>
                <w:i w:val="0"/>
                <w:iCs w:val="0"/>
                <w:color w:val="000000"/>
                <w:sz w:val="22"/>
                <w:szCs w:val="22"/>
                <w:u w:val="none"/>
              </w:rPr>
            </w:pPr>
          </w:p>
        </w:tc>
        <w:tc>
          <w:tcPr>
            <w:tcW w:w="3758" w:type="dxa"/>
            <w:tcBorders>
              <w:top w:val="nil"/>
              <w:left w:val="nil"/>
              <w:bottom w:val="nil"/>
              <w:right w:val="nil"/>
            </w:tcBorders>
            <w:shd w:val="clear"/>
            <w:noWrap/>
            <w:vAlign w:val="center"/>
          </w:tcPr>
          <w:p w14:paraId="7F4D73D1">
            <w:pPr>
              <w:rPr>
                <w:rFonts w:hint="eastAsia" w:ascii="宋体" w:hAnsi="宋体" w:eastAsia="宋体" w:cs="宋体"/>
                <w:i w:val="0"/>
                <w:iCs w:val="0"/>
                <w:color w:val="000000"/>
                <w:sz w:val="22"/>
                <w:szCs w:val="22"/>
                <w:u w:val="none"/>
              </w:rPr>
            </w:pPr>
          </w:p>
        </w:tc>
        <w:tc>
          <w:tcPr>
            <w:tcW w:w="1004" w:type="dxa"/>
            <w:tcBorders>
              <w:top w:val="nil"/>
              <w:left w:val="nil"/>
              <w:bottom w:val="nil"/>
              <w:right w:val="nil"/>
            </w:tcBorders>
            <w:shd w:val="clear"/>
            <w:noWrap/>
            <w:vAlign w:val="bottom"/>
          </w:tcPr>
          <w:p w14:paraId="57BDEA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0BCB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24" w:type="dxa"/>
            <w:gridSpan w:val="2"/>
            <w:tcBorders>
              <w:top w:val="nil"/>
              <w:left w:val="nil"/>
              <w:bottom w:val="nil"/>
              <w:right w:val="nil"/>
            </w:tcBorders>
            <w:shd w:val="clear"/>
            <w:noWrap/>
            <w:vAlign w:val="bottom"/>
          </w:tcPr>
          <w:p w14:paraId="1563EC0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部门：溆浦县乡村振兴局</w:t>
            </w:r>
          </w:p>
        </w:tc>
        <w:tc>
          <w:tcPr>
            <w:tcW w:w="1345" w:type="dxa"/>
            <w:tcBorders>
              <w:top w:val="nil"/>
              <w:left w:val="nil"/>
              <w:bottom w:val="nil"/>
              <w:right w:val="nil"/>
            </w:tcBorders>
            <w:shd w:val="clear"/>
            <w:noWrap/>
            <w:vAlign w:val="center"/>
          </w:tcPr>
          <w:p w14:paraId="2770F50A">
            <w:pPr>
              <w:rPr>
                <w:rFonts w:hint="eastAsia" w:ascii="宋体" w:hAnsi="宋体" w:eastAsia="宋体" w:cs="宋体"/>
                <w:i w:val="0"/>
                <w:iCs w:val="0"/>
                <w:color w:val="000000"/>
                <w:sz w:val="22"/>
                <w:szCs w:val="22"/>
                <w:u w:val="none"/>
              </w:rPr>
            </w:pPr>
          </w:p>
        </w:tc>
        <w:tc>
          <w:tcPr>
            <w:tcW w:w="1308" w:type="dxa"/>
            <w:tcBorders>
              <w:top w:val="nil"/>
              <w:left w:val="nil"/>
              <w:bottom w:val="nil"/>
              <w:right w:val="nil"/>
            </w:tcBorders>
            <w:shd w:val="clear"/>
            <w:noWrap/>
            <w:vAlign w:val="center"/>
          </w:tcPr>
          <w:p w14:paraId="74D7C6AE">
            <w:pPr>
              <w:rPr>
                <w:rFonts w:hint="eastAsia" w:ascii="宋体" w:hAnsi="宋体" w:eastAsia="宋体" w:cs="宋体"/>
                <w:i w:val="0"/>
                <w:iCs w:val="0"/>
                <w:color w:val="000000"/>
                <w:sz w:val="22"/>
                <w:szCs w:val="22"/>
                <w:u w:val="none"/>
              </w:rPr>
            </w:pPr>
          </w:p>
        </w:tc>
        <w:tc>
          <w:tcPr>
            <w:tcW w:w="1842" w:type="dxa"/>
            <w:tcBorders>
              <w:top w:val="nil"/>
              <w:left w:val="nil"/>
              <w:bottom w:val="nil"/>
              <w:right w:val="nil"/>
            </w:tcBorders>
            <w:shd w:val="clear"/>
            <w:noWrap/>
            <w:vAlign w:val="center"/>
          </w:tcPr>
          <w:p w14:paraId="61F64401">
            <w:pPr>
              <w:rPr>
                <w:rFonts w:hint="eastAsia" w:ascii="宋体" w:hAnsi="宋体" w:eastAsia="宋体" w:cs="宋体"/>
                <w:i w:val="0"/>
                <w:iCs w:val="0"/>
                <w:color w:val="000000"/>
                <w:sz w:val="22"/>
                <w:szCs w:val="22"/>
                <w:u w:val="none"/>
              </w:rPr>
            </w:pPr>
          </w:p>
        </w:tc>
        <w:tc>
          <w:tcPr>
            <w:tcW w:w="1369" w:type="dxa"/>
            <w:tcBorders>
              <w:top w:val="nil"/>
              <w:left w:val="nil"/>
              <w:bottom w:val="nil"/>
              <w:right w:val="nil"/>
            </w:tcBorders>
            <w:shd w:val="clear"/>
            <w:noWrap/>
            <w:vAlign w:val="center"/>
          </w:tcPr>
          <w:p w14:paraId="112B6D3F">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noWrap/>
            <w:vAlign w:val="center"/>
          </w:tcPr>
          <w:p w14:paraId="35BF71F4">
            <w:pPr>
              <w:rPr>
                <w:rFonts w:hint="eastAsia" w:ascii="宋体" w:hAnsi="宋体" w:eastAsia="宋体" w:cs="宋体"/>
                <w:i w:val="0"/>
                <w:iCs w:val="0"/>
                <w:color w:val="000000"/>
                <w:sz w:val="22"/>
                <w:szCs w:val="22"/>
                <w:u w:val="none"/>
              </w:rPr>
            </w:pPr>
          </w:p>
        </w:tc>
        <w:tc>
          <w:tcPr>
            <w:tcW w:w="4762" w:type="dxa"/>
            <w:gridSpan w:val="2"/>
            <w:tcBorders>
              <w:top w:val="nil"/>
              <w:left w:val="nil"/>
              <w:bottom w:val="nil"/>
              <w:right w:val="nil"/>
            </w:tcBorders>
            <w:shd w:val="clear"/>
            <w:noWrap/>
            <w:vAlign w:val="center"/>
          </w:tcPr>
          <w:p w14:paraId="6E7BBDB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7E5D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9"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4E41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0552"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14B3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5F6F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4A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5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981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3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01D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093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8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050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36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2B0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2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E56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5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251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24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1E24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543B5">
            <w:pPr>
              <w:jc w:val="center"/>
              <w:rPr>
                <w:rFonts w:hint="eastAsia" w:ascii="宋体" w:hAnsi="宋体" w:eastAsia="宋体" w:cs="宋体"/>
                <w:i w:val="0"/>
                <w:iCs w:val="0"/>
                <w:color w:val="000000"/>
                <w:sz w:val="22"/>
                <w:szCs w:val="22"/>
                <w:u w:val="none"/>
              </w:rPr>
            </w:pPr>
          </w:p>
        </w:tc>
        <w:tc>
          <w:tcPr>
            <w:tcW w:w="25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C70DA">
            <w:pPr>
              <w:jc w:val="center"/>
              <w:rPr>
                <w:rFonts w:hint="eastAsia" w:ascii="宋体" w:hAnsi="宋体" w:eastAsia="宋体" w:cs="宋体"/>
                <w:i w:val="0"/>
                <w:iCs w:val="0"/>
                <w:color w:val="000000"/>
                <w:sz w:val="22"/>
                <w:szCs w:val="22"/>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04177">
            <w:pPr>
              <w:jc w:val="center"/>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890916">
            <w:pPr>
              <w:jc w:val="center"/>
              <w:rPr>
                <w:rFonts w:hint="eastAsia" w:ascii="宋体" w:hAnsi="宋体" w:eastAsia="宋体" w:cs="宋体"/>
                <w:i w:val="0"/>
                <w:iCs w:val="0"/>
                <w:color w:val="000000"/>
                <w:sz w:val="22"/>
                <w:szCs w:val="22"/>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E71CA2">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9004DB">
            <w:pPr>
              <w:jc w:val="center"/>
              <w:rPr>
                <w:rFonts w:hint="eastAsia" w:ascii="宋体" w:hAnsi="宋体" w:eastAsia="宋体" w:cs="宋体"/>
                <w:i w:val="0"/>
                <w:iCs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20814A">
            <w:pPr>
              <w:jc w:val="center"/>
              <w:rPr>
                <w:rFonts w:hint="eastAsia" w:ascii="宋体" w:hAnsi="宋体" w:eastAsia="宋体" w:cs="宋体"/>
                <w:i w:val="0"/>
                <w:iCs w:val="0"/>
                <w:color w:val="000000"/>
                <w:sz w:val="22"/>
                <w:szCs w:val="22"/>
                <w:u w:val="none"/>
              </w:rPr>
            </w:pPr>
          </w:p>
        </w:tc>
        <w:tc>
          <w:tcPr>
            <w:tcW w:w="375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11F575">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B4E70F">
            <w:pPr>
              <w:jc w:val="center"/>
              <w:rPr>
                <w:rFonts w:hint="eastAsia" w:ascii="宋体" w:hAnsi="宋体" w:eastAsia="宋体" w:cs="宋体"/>
                <w:i w:val="0"/>
                <w:iCs w:val="0"/>
                <w:color w:val="000000"/>
                <w:sz w:val="22"/>
                <w:szCs w:val="22"/>
                <w:u w:val="none"/>
              </w:rPr>
            </w:pPr>
          </w:p>
        </w:tc>
      </w:tr>
      <w:tr w14:paraId="68DF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89B0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2D10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F947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334.53</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02BA3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445C7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1CF1C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502.20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3F73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CC18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A6F5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DA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AC15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ABC4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19AE6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90.74</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42FBD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0B839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60613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62.08</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9CAA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06D2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5896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CB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6B341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0DAD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55FAE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43.93</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42673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9AAC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5623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140.77</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64E0F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185FD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334B4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FA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1FD0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CD45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1A2FE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22.24</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020D9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19AA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229E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649F4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4309E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58204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70.02</w:t>
            </w:r>
          </w:p>
        </w:tc>
      </w:tr>
      <w:tr w14:paraId="3260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4857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630B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0B0F0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28.26</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5FF9C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70443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B7D7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2101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01DF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62F70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32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2ACB0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1982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6AF73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26.85</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51F04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19D86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44A4F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0.77</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25952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4A782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5A144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r>
      <w:tr w14:paraId="6B93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1BCF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3F5E5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79F56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26.81</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2DFCF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42140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9B7BA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72EB5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E6B4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7F361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68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2CAE6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43C7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07116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7902B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0E92C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508C6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5.69</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2D8FE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7DE68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0602A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8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8696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2F13E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B04D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64528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1CD08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262B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2E16D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6F4A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129FB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E7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6AC8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53C8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4B62C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39DE9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05804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372E6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4E7D1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0DCE1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2C577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68.90</w:t>
            </w:r>
          </w:p>
        </w:tc>
      </w:tr>
      <w:tr w14:paraId="2D10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D91B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68A4C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4208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5B6C6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74FB8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BFFE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56.61</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7DD74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FA1F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72FE1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25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0AF7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7EEED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65C1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198C6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2C240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37A04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560C9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3CDEF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11E23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D2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AA81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44318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0968C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2F605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2BE6F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6A8CB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24.57</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73B88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04BC8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6B66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39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4984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45FB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4C18A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48.09</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38703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19A79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164B0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51FE1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33672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0D76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88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F474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0DBA5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326E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4,165.71</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06438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5B05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E576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33.81</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2FC8D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3104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0E960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20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2D12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D26F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66145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31493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5297B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0263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11.12</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2F519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6DBF8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037D0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9F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65A8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41081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8F23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4B9D9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7200E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5EE09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DC23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E960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BA10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2C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B74D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51EC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545A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778EA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5E06F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11C5C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699AC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43BC1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6FFF9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BE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04FD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69DF5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4E76C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50E6C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75BB1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40ADC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5980C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30039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EA8F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AE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A57F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2D92A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B3C8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501.60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4CEA2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A642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F446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480F3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4297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5CE47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D6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DFB8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EEE5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48C7A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0.32</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23B78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8AE2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33F39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15934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63155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14B55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5A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27D4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B31B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76F9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6A7A9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2369E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1116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381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29852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5949D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C9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60A1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13B04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5984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79A63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02572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5CB07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9.97</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54926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4D046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59A3D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19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62E12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B20A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20F45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7F77E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2F0D1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2D5BD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50222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07EA6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11EFF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2F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B86F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836B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1D35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292CB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614C3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43AB1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31E38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61EB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2DD87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EA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C2F2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5A9B4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57AFF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331DB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3F90A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5AC04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79.84</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057EF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CFDC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17A70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B0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2A11B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3DB91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3DE82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3,663.69</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3F8DA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2C380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77223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4B389E3A">
            <w:pPr>
              <w:jc w:val="left"/>
              <w:rPr>
                <w:rFonts w:hint="eastAsia" w:ascii="宋体" w:hAnsi="宋体" w:eastAsia="宋体" w:cs="宋体"/>
                <w:i w:val="0"/>
                <w:iCs w:val="0"/>
                <w:color w:val="000000"/>
                <w:sz w:val="22"/>
                <w:szCs w:val="22"/>
                <w:u w:val="none"/>
              </w:rPr>
            </w:pP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51CDBEB1">
            <w:pPr>
              <w:jc w:val="left"/>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4C3E43EF">
            <w:pPr>
              <w:jc w:val="right"/>
              <w:rPr>
                <w:rFonts w:hint="eastAsia" w:ascii="宋体" w:hAnsi="宋体" w:eastAsia="宋体" w:cs="宋体"/>
                <w:i w:val="0"/>
                <w:iCs w:val="0"/>
                <w:color w:val="000000"/>
                <w:sz w:val="22"/>
                <w:szCs w:val="22"/>
                <w:u w:val="none"/>
              </w:rPr>
            </w:pPr>
          </w:p>
        </w:tc>
      </w:tr>
      <w:tr w14:paraId="20B4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E9F52C8">
            <w:pPr>
              <w:jc w:val="left"/>
              <w:rPr>
                <w:rFonts w:hint="eastAsia" w:ascii="宋体" w:hAnsi="宋体" w:eastAsia="宋体" w:cs="宋体"/>
                <w:i w:val="0"/>
                <w:iCs w:val="0"/>
                <w:color w:val="000000"/>
                <w:sz w:val="22"/>
                <w:szCs w:val="22"/>
                <w:u w:val="none"/>
              </w:rPr>
            </w:pPr>
          </w:p>
        </w:tc>
        <w:tc>
          <w:tcPr>
            <w:tcW w:w="2544" w:type="dxa"/>
            <w:tcBorders>
              <w:top w:val="single" w:color="000000" w:sz="4" w:space="0"/>
              <w:left w:val="single" w:color="000000" w:sz="4" w:space="0"/>
              <w:bottom w:val="single" w:color="000000" w:sz="4" w:space="0"/>
              <w:right w:val="single" w:color="000000" w:sz="4" w:space="0"/>
            </w:tcBorders>
            <w:shd w:val="clear"/>
            <w:noWrap/>
            <w:vAlign w:val="center"/>
          </w:tcPr>
          <w:p w14:paraId="6BB21798">
            <w:pPr>
              <w:jc w:val="left"/>
              <w:rPr>
                <w:rFonts w:hint="eastAsia" w:ascii="宋体" w:hAnsi="宋体" w:eastAsia="宋体" w:cs="宋体"/>
                <w:i w:val="0"/>
                <w:iCs w:val="0"/>
                <w:color w:val="000000"/>
                <w:sz w:val="22"/>
                <w:szCs w:val="22"/>
                <w:u w:val="none"/>
              </w:rPr>
            </w:pP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0741F116">
            <w:pPr>
              <w:jc w:val="right"/>
              <w:rPr>
                <w:rFonts w:hint="eastAsia" w:ascii="宋体" w:hAnsi="宋体" w:eastAsia="宋体" w:cs="宋体"/>
                <w:i w:val="0"/>
                <w:iCs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14:paraId="0AF83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1842" w:type="dxa"/>
            <w:tcBorders>
              <w:top w:val="single" w:color="000000" w:sz="4" w:space="0"/>
              <w:left w:val="single" w:color="000000" w:sz="4" w:space="0"/>
              <w:bottom w:val="single" w:color="000000" w:sz="4" w:space="0"/>
              <w:right w:val="single" w:color="000000" w:sz="4" w:space="0"/>
            </w:tcBorders>
            <w:shd w:val="clear"/>
            <w:noWrap/>
            <w:vAlign w:val="center"/>
          </w:tcPr>
          <w:p w14:paraId="0F27A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369" w:type="dxa"/>
            <w:tcBorders>
              <w:top w:val="single" w:color="000000" w:sz="4" w:space="0"/>
              <w:left w:val="single" w:color="000000" w:sz="4" w:space="0"/>
              <w:bottom w:val="single" w:color="000000" w:sz="4" w:space="0"/>
              <w:right w:val="single" w:color="000000" w:sz="4" w:space="0"/>
            </w:tcBorders>
            <w:shd w:val="clear"/>
            <w:noWrap/>
            <w:vAlign w:val="center"/>
          </w:tcPr>
          <w:p w14:paraId="0605B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57.70</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70F16B3B">
            <w:pPr>
              <w:jc w:val="left"/>
              <w:rPr>
                <w:rFonts w:hint="eastAsia" w:ascii="宋体" w:hAnsi="宋体" w:eastAsia="宋体" w:cs="宋体"/>
                <w:i w:val="0"/>
                <w:iCs w:val="0"/>
                <w:color w:val="000000"/>
                <w:sz w:val="22"/>
                <w:szCs w:val="22"/>
                <w:u w:val="none"/>
              </w:rPr>
            </w:pPr>
          </w:p>
        </w:tc>
        <w:tc>
          <w:tcPr>
            <w:tcW w:w="3758" w:type="dxa"/>
            <w:tcBorders>
              <w:top w:val="single" w:color="000000" w:sz="4" w:space="0"/>
              <w:left w:val="single" w:color="000000" w:sz="4" w:space="0"/>
              <w:bottom w:val="single" w:color="000000" w:sz="4" w:space="0"/>
              <w:right w:val="single" w:color="000000" w:sz="4" w:space="0"/>
            </w:tcBorders>
            <w:shd w:val="clear"/>
            <w:noWrap/>
            <w:vAlign w:val="center"/>
          </w:tcPr>
          <w:p w14:paraId="7CD11F52">
            <w:pPr>
              <w:jc w:val="left"/>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21D265D3">
            <w:pPr>
              <w:jc w:val="right"/>
              <w:rPr>
                <w:rFonts w:hint="eastAsia" w:ascii="宋体" w:hAnsi="宋体" w:eastAsia="宋体" w:cs="宋体"/>
                <w:i w:val="0"/>
                <w:iCs w:val="0"/>
                <w:color w:val="000000"/>
                <w:sz w:val="22"/>
                <w:szCs w:val="22"/>
                <w:u w:val="none"/>
              </w:rPr>
            </w:pPr>
          </w:p>
        </w:tc>
      </w:tr>
      <w:tr w14:paraId="25B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A97B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14:paraId="09AAA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4,500.24</w:t>
            </w:r>
          </w:p>
        </w:tc>
        <w:tc>
          <w:tcPr>
            <w:tcW w:w="9548"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3C55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14:paraId="731B7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572.22</w:t>
            </w:r>
          </w:p>
        </w:tc>
      </w:tr>
      <w:tr w14:paraId="6A95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21" w:type="dxa"/>
            <w:gridSpan w:val="9"/>
            <w:tcBorders>
              <w:top w:val="nil"/>
              <w:left w:val="nil"/>
              <w:bottom w:val="nil"/>
              <w:right w:val="nil"/>
            </w:tcBorders>
            <w:shd w:val="clear"/>
            <w:noWrap/>
            <w:vAlign w:val="center"/>
          </w:tcPr>
          <w:p w14:paraId="61AE0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0150EDA3">
      <w:pPr>
        <w:widowControl/>
        <w:jc w:val="left"/>
        <w:rPr>
          <w:rFonts w:ascii="Times New Roman" w:hAnsi="Times New Roman" w:eastAsia="仿宋_GB2312" w:cs="Times New Roman"/>
          <w:bCs/>
          <w:kern w:val="0"/>
          <w:szCs w:val="21"/>
        </w:rPr>
      </w:pPr>
    </w:p>
    <w:p w14:paraId="5920B2D0">
      <w:pPr>
        <w:widowControl/>
        <w:jc w:val="left"/>
        <w:rPr>
          <w:rFonts w:ascii="Times New Roman" w:hAnsi="Times New Roman" w:eastAsia="仿宋_GB2312" w:cs="Times New Roman"/>
          <w:bCs/>
          <w:kern w:val="0"/>
          <w:szCs w:val="21"/>
        </w:rPr>
      </w:pPr>
    </w:p>
    <w:p w14:paraId="500466CC">
      <w:pPr>
        <w:widowControl/>
        <w:jc w:val="left"/>
        <w:rPr>
          <w:rFonts w:ascii="Times New Roman" w:hAnsi="Times New Roman" w:eastAsia="仿宋_GB2312" w:cs="Times New Roman"/>
          <w:bCs/>
          <w:kern w:val="0"/>
          <w:szCs w:val="21"/>
        </w:rPr>
      </w:pPr>
    </w:p>
    <w:p w14:paraId="32BB7A04">
      <w:pPr>
        <w:widowControl/>
        <w:jc w:val="left"/>
        <w:rPr>
          <w:rFonts w:ascii="Times New Roman" w:hAnsi="Times New Roman" w:eastAsia="仿宋_GB2312" w:cs="Times New Roman"/>
          <w:bCs/>
          <w:kern w:val="0"/>
          <w:szCs w:val="21"/>
        </w:rPr>
      </w:pPr>
    </w:p>
    <w:p w14:paraId="4F6FE6A4">
      <w:pPr>
        <w:widowControl/>
        <w:jc w:val="left"/>
        <w:rPr>
          <w:rFonts w:ascii="Times New Roman" w:hAnsi="Times New Roman" w:eastAsia="仿宋_GB2312" w:cs="Times New Roman"/>
          <w:bCs/>
          <w:kern w:val="0"/>
          <w:szCs w:val="21"/>
        </w:rPr>
      </w:pPr>
    </w:p>
    <w:p w14:paraId="075A49F8">
      <w:pPr>
        <w:widowControl/>
        <w:jc w:val="left"/>
        <w:rPr>
          <w:rFonts w:ascii="Times New Roman" w:hAnsi="Times New Roman" w:eastAsia="仿宋_GB2312" w:cs="Times New Roman"/>
          <w:bCs/>
          <w:kern w:val="0"/>
          <w:szCs w:val="21"/>
        </w:rPr>
      </w:pPr>
    </w:p>
    <w:p w14:paraId="7B500DE5">
      <w:pPr>
        <w:widowControl/>
        <w:jc w:val="left"/>
        <w:rPr>
          <w:rFonts w:ascii="Times New Roman" w:hAnsi="Times New Roman" w:eastAsia="仿宋_GB2312" w:cs="Times New Roman"/>
          <w:bCs/>
          <w:kern w:val="0"/>
          <w:szCs w:val="21"/>
        </w:rPr>
      </w:pPr>
    </w:p>
    <w:p w14:paraId="3BE70CAD">
      <w:pPr>
        <w:widowControl/>
        <w:jc w:val="left"/>
        <w:rPr>
          <w:rFonts w:ascii="Times New Roman" w:hAnsi="Times New Roman" w:eastAsia="仿宋_GB2312" w:cs="Times New Roman"/>
          <w:bCs/>
          <w:kern w:val="0"/>
          <w:szCs w:val="21"/>
        </w:rPr>
      </w:pPr>
    </w:p>
    <w:p w14:paraId="30012FEE">
      <w:pPr>
        <w:widowControl/>
        <w:jc w:val="left"/>
        <w:rPr>
          <w:rFonts w:ascii="Times New Roman" w:hAnsi="Times New Roman" w:eastAsia="仿宋_GB2312" w:cs="Times New Roman"/>
          <w:bCs/>
          <w:kern w:val="0"/>
          <w:szCs w:val="21"/>
        </w:rPr>
      </w:pPr>
    </w:p>
    <w:p w14:paraId="287D0F93">
      <w:pPr>
        <w:widowControl/>
        <w:jc w:val="left"/>
        <w:rPr>
          <w:rFonts w:ascii="Times New Roman" w:hAnsi="Times New Roman" w:eastAsia="仿宋_GB2312" w:cs="Times New Roman"/>
          <w:bCs/>
          <w:kern w:val="0"/>
          <w:szCs w:val="21"/>
        </w:rPr>
      </w:pPr>
    </w:p>
    <w:p w14:paraId="19691D9E">
      <w:pPr>
        <w:widowControl/>
        <w:jc w:val="left"/>
        <w:rPr>
          <w:rFonts w:ascii="Times New Roman" w:hAnsi="Times New Roman" w:eastAsia="仿宋_GB2312" w:cs="Times New Roman"/>
          <w:bCs/>
          <w:kern w:val="0"/>
          <w:szCs w:val="21"/>
        </w:rPr>
      </w:pPr>
    </w:p>
    <w:p w14:paraId="17243EE9">
      <w:pPr>
        <w:widowControl/>
        <w:jc w:val="left"/>
        <w:rPr>
          <w:rFonts w:ascii="Times New Roman" w:hAnsi="Times New Roman" w:eastAsia="仿宋_GB2312" w:cs="Times New Roman"/>
          <w:bCs/>
          <w:kern w:val="0"/>
          <w:szCs w:val="21"/>
        </w:rPr>
      </w:pPr>
    </w:p>
    <w:p w14:paraId="6212FA3A">
      <w:pPr>
        <w:widowControl/>
        <w:jc w:val="left"/>
        <w:rPr>
          <w:rFonts w:ascii="Times New Roman" w:hAnsi="Times New Roman" w:eastAsia="仿宋_GB2312" w:cs="Times New Roman"/>
          <w:bCs/>
          <w:kern w:val="0"/>
          <w:szCs w:val="21"/>
        </w:rPr>
      </w:pPr>
    </w:p>
    <w:p w14:paraId="165F6FB7">
      <w:pPr>
        <w:widowControl/>
        <w:jc w:val="left"/>
        <w:rPr>
          <w:rFonts w:ascii="Times New Roman" w:hAnsi="Times New Roman" w:eastAsia="仿宋_GB2312" w:cs="Times New Roman"/>
          <w:bCs/>
          <w:kern w:val="0"/>
          <w:szCs w:val="21"/>
        </w:rPr>
      </w:pPr>
    </w:p>
    <w:p w14:paraId="35A4C777">
      <w:pPr>
        <w:widowControl/>
        <w:jc w:val="left"/>
        <w:rPr>
          <w:rFonts w:ascii="Times New Roman" w:hAnsi="Times New Roman" w:eastAsia="仿宋_GB2312" w:cs="Times New Roman"/>
          <w:bCs/>
          <w:kern w:val="0"/>
          <w:szCs w:val="21"/>
        </w:rPr>
      </w:pPr>
    </w:p>
    <w:p w14:paraId="558AE4F2">
      <w:pPr>
        <w:widowControl/>
        <w:jc w:val="left"/>
        <w:rPr>
          <w:rFonts w:ascii="Times New Roman" w:hAnsi="Times New Roman" w:eastAsia="仿宋_GB2312" w:cs="Times New Roman"/>
          <w:bCs/>
          <w:kern w:val="0"/>
          <w:szCs w:val="21"/>
        </w:rPr>
      </w:pPr>
    </w:p>
    <w:p w14:paraId="48517187">
      <w:pPr>
        <w:widowControl/>
        <w:jc w:val="left"/>
        <w:rPr>
          <w:rFonts w:ascii="Times New Roman" w:hAnsi="Times New Roman" w:eastAsia="仿宋_GB2312" w:cs="Times New Roman"/>
          <w:bCs/>
          <w:kern w:val="0"/>
          <w:szCs w:val="21"/>
        </w:rPr>
      </w:pPr>
    </w:p>
    <w:p w14:paraId="2853EFCA">
      <w:pPr>
        <w:widowControl/>
        <w:jc w:val="left"/>
        <w:rPr>
          <w:rFonts w:ascii="Times New Roman" w:hAnsi="Times New Roman" w:eastAsia="仿宋_GB2312" w:cs="Times New Roman"/>
          <w:bCs/>
          <w:kern w:val="0"/>
          <w:szCs w:val="21"/>
        </w:rPr>
      </w:pPr>
    </w:p>
    <w:p w14:paraId="292A8321">
      <w:pPr>
        <w:widowControl/>
        <w:jc w:val="left"/>
        <w:rPr>
          <w:rFonts w:ascii="Times New Roman" w:hAnsi="Times New Roman" w:eastAsia="仿宋_GB2312" w:cs="Times New Roman"/>
          <w:bCs/>
          <w:kern w:val="0"/>
          <w:szCs w:val="21"/>
        </w:rPr>
      </w:pPr>
    </w:p>
    <w:p w14:paraId="4A62175E">
      <w:pPr>
        <w:widowControl/>
        <w:jc w:val="left"/>
        <w:rPr>
          <w:rFonts w:ascii="Times New Roman" w:hAnsi="Times New Roman" w:eastAsia="仿宋_GB2312" w:cs="Times New Roman"/>
          <w:bCs/>
          <w:kern w:val="0"/>
          <w:szCs w:val="21"/>
        </w:rPr>
      </w:pPr>
    </w:p>
    <w:tbl>
      <w:tblPr>
        <w:tblStyle w:val="11"/>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8"/>
        <w:gridCol w:w="313"/>
        <w:gridCol w:w="313"/>
        <w:gridCol w:w="1546"/>
        <w:gridCol w:w="1363"/>
        <w:gridCol w:w="1363"/>
        <w:gridCol w:w="1363"/>
        <w:gridCol w:w="1363"/>
        <w:gridCol w:w="1363"/>
        <w:gridCol w:w="2740"/>
      </w:tblGrid>
      <w:tr w14:paraId="200A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35" w:type="dxa"/>
            <w:gridSpan w:val="10"/>
            <w:tcBorders>
              <w:top w:val="nil"/>
              <w:left w:val="nil"/>
              <w:bottom w:val="nil"/>
              <w:right w:val="nil"/>
            </w:tcBorders>
            <w:shd w:val="clear" w:color="auto" w:fill="auto"/>
            <w:vAlign w:val="bottom"/>
          </w:tcPr>
          <w:p w14:paraId="40D6A4B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3F20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08" w:type="dxa"/>
            <w:tcBorders>
              <w:top w:val="nil"/>
              <w:left w:val="nil"/>
              <w:bottom w:val="nil"/>
              <w:right w:val="nil"/>
            </w:tcBorders>
            <w:shd w:val="clear" w:color="auto" w:fill="auto"/>
            <w:vAlign w:val="bottom"/>
          </w:tcPr>
          <w:p w14:paraId="480C1AB3">
            <w:pPr>
              <w:rPr>
                <w:rFonts w:hint="eastAsia" w:ascii="Arial" w:hAnsi="Arial" w:cs="Arial"/>
                <w:i w:val="0"/>
                <w:iCs w:val="0"/>
                <w:color w:val="000000"/>
                <w:sz w:val="20"/>
                <w:szCs w:val="20"/>
                <w:u w:val="none"/>
              </w:rPr>
            </w:pPr>
          </w:p>
        </w:tc>
        <w:tc>
          <w:tcPr>
            <w:tcW w:w="313" w:type="dxa"/>
            <w:tcBorders>
              <w:top w:val="nil"/>
              <w:left w:val="nil"/>
              <w:bottom w:val="nil"/>
              <w:right w:val="nil"/>
            </w:tcBorders>
            <w:shd w:val="clear" w:color="auto" w:fill="auto"/>
            <w:vAlign w:val="bottom"/>
          </w:tcPr>
          <w:p w14:paraId="69D0C9C3">
            <w:pPr>
              <w:rPr>
                <w:rFonts w:hint="default" w:ascii="Arial" w:hAnsi="Arial" w:cs="Arial"/>
                <w:i w:val="0"/>
                <w:iCs w:val="0"/>
                <w:color w:val="000000"/>
                <w:sz w:val="20"/>
                <w:szCs w:val="20"/>
                <w:u w:val="none"/>
              </w:rPr>
            </w:pPr>
          </w:p>
        </w:tc>
        <w:tc>
          <w:tcPr>
            <w:tcW w:w="313" w:type="dxa"/>
            <w:tcBorders>
              <w:top w:val="nil"/>
              <w:left w:val="nil"/>
              <w:bottom w:val="nil"/>
              <w:right w:val="nil"/>
            </w:tcBorders>
            <w:shd w:val="clear" w:color="auto" w:fill="auto"/>
            <w:vAlign w:val="bottom"/>
          </w:tcPr>
          <w:p w14:paraId="5352C25D">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vAlign w:val="bottom"/>
          </w:tcPr>
          <w:p w14:paraId="4E5C878D">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3F1FEE30">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79D7D3F7">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0A7625D8">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081DA4A0">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278D36A3">
            <w:pPr>
              <w:rPr>
                <w:rFonts w:hint="default" w:ascii="Arial" w:hAnsi="Arial" w:cs="Arial"/>
                <w:i w:val="0"/>
                <w:iCs w:val="0"/>
                <w:color w:val="000000"/>
                <w:sz w:val="20"/>
                <w:szCs w:val="20"/>
                <w:u w:val="none"/>
              </w:rPr>
            </w:pPr>
          </w:p>
        </w:tc>
        <w:tc>
          <w:tcPr>
            <w:tcW w:w="2740" w:type="dxa"/>
            <w:tcBorders>
              <w:top w:val="nil"/>
              <w:left w:val="nil"/>
              <w:bottom w:val="nil"/>
              <w:right w:val="nil"/>
            </w:tcBorders>
            <w:shd w:val="clear" w:color="auto" w:fill="auto"/>
            <w:vAlign w:val="bottom"/>
          </w:tcPr>
          <w:p w14:paraId="404B67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130C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3408" w:type="dxa"/>
            <w:tcBorders>
              <w:top w:val="nil"/>
              <w:left w:val="nil"/>
              <w:bottom w:val="nil"/>
              <w:right w:val="nil"/>
            </w:tcBorders>
            <w:shd w:val="clear" w:color="auto" w:fill="auto"/>
            <w:vAlign w:val="bottom"/>
          </w:tcPr>
          <w:p w14:paraId="724705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部门：溆浦县乡村振兴局</w:t>
            </w:r>
          </w:p>
        </w:tc>
        <w:tc>
          <w:tcPr>
            <w:tcW w:w="313" w:type="dxa"/>
            <w:tcBorders>
              <w:top w:val="nil"/>
              <w:left w:val="nil"/>
              <w:bottom w:val="nil"/>
              <w:right w:val="nil"/>
            </w:tcBorders>
            <w:shd w:val="clear" w:color="auto" w:fill="auto"/>
            <w:vAlign w:val="bottom"/>
          </w:tcPr>
          <w:p w14:paraId="224788CA">
            <w:pPr>
              <w:rPr>
                <w:rFonts w:hint="default" w:ascii="Arial" w:hAnsi="Arial" w:cs="Arial"/>
                <w:i w:val="0"/>
                <w:iCs w:val="0"/>
                <w:color w:val="000000"/>
                <w:sz w:val="20"/>
                <w:szCs w:val="20"/>
                <w:u w:val="none"/>
              </w:rPr>
            </w:pPr>
          </w:p>
        </w:tc>
        <w:tc>
          <w:tcPr>
            <w:tcW w:w="313" w:type="dxa"/>
            <w:tcBorders>
              <w:top w:val="nil"/>
              <w:left w:val="nil"/>
              <w:bottom w:val="nil"/>
              <w:right w:val="nil"/>
            </w:tcBorders>
            <w:shd w:val="clear" w:color="auto" w:fill="auto"/>
            <w:vAlign w:val="bottom"/>
          </w:tcPr>
          <w:p w14:paraId="21D5D150">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vAlign w:val="bottom"/>
          </w:tcPr>
          <w:p w14:paraId="004D904E">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6683FFC2">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74D84266">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207D11CE">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10018EF5">
            <w:pPr>
              <w:rPr>
                <w:rFonts w:hint="default" w:ascii="Arial" w:hAnsi="Arial" w:cs="Arial"/>
                <w:i w:val="0"/>
                <w:iCs w:val="0"/>
                <w:color w:val="000000"/>
                <w:sz w:val="20"/>
                <w:szCs w:val="20"/>
                <w:u w:val="none"/>
              </w:rPr>
            </w:pPr>
          </w:p>
        </w:tc>
        <w:tc>
          <w:tcPr>
            <w:tcW w:w="1363" w:type="dxa"/>
            <w:tcBorders>
              <w:top w:val="nil"/>
              <w:left w:val="nil"/>
              <w:bottom w:val="nil"/>
              <w:right w:val="nil"/>
            </w:tcBorders>
            <w:shd w:val="clear" w:color="auto" w:fill="auto"/>
            <w:vAlign w:val="bottom"/>
          </w:tcPr>
          <w:p w14:paraId="1004F37D">
            <w:pPr>
              <w:rPr>
                <w:rFonts w:hint="default" w:ascii="Arial" w:hAnsi="Arial" w:cs="Arial"/>
                <w:i w:val="0"/>
                <w:iCs w:val="0"/>
                <w:color w:val="000000"/>
                <w:sz w:val="20"/>
                <w:szCs w:val="20"/>
                <w:u w:val="none"/>
              </w:rPr>
            </w:pPr>
          </w:p>
        </w:tc>
        <w:tc>
          <w:tcPr>
            <w:tcW w:w="2740" w:type="dxa"/>
            <w:tcBorders>
              <w:top w:val="nil"/>
              <w:left w:val="nil"/>
              <w:bottom w:val="nil"/>
              <w:right w:val="nil"/>
            </w:tcBorders>
            <w:shd w:val="clear" w:color="auto" w:fill="auto"/>
            <w:vAlign w:val="bottom"/>
          </w:tcPr>
          <w:p w14:paraId="193D93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42F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DA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63" w:type="dxa"/>
            <w:vMerge w:val="restart"/>
            <w:tcBorders>
              <w:top w:val="single" w:color="000000" w:sz="4" w:space="0"/>
              <w:left w:val="nil"/>
              <w:bottom w:val="single" w:color="000000" w:sz="4" w:space="0"/>
              <w:right w:val="single" w:color="000000" w:sz="4" w:space="0"/>
            </w:tcBorders>
            <w:shd w:val="clear" w:color="auto" w:fill="auto"/>
            <w:vAlign w:val="center"/>
          </w:tcPr>
          <w:p w14:paraId="3929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63" w:type="dxa"/>
            <w:vMerge w:val="restart"/>
            <w:tcBorders>
              <w:top w:val="single" w:color="000000" w:sz="4" w:space="0"/>
              <w:left w:val="nil"/>
              <w:bottom w:val="single" w:color="000000" w:sz="4" w:space="0"/>
              <w:right w:val="single" w:color="000000" w:sz="4" w:space="0"/>
            </w:tcBorders>
            <w:shd w:val="clear" w:color="auto" w:fill="auto"/>
            <w:vAlign w:val="center"/>
          </w:tcPr>
          <w:p w14:paraId="04C70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089" w:type="dxa"/>
            <w:gridSpan w:val="3"/>
            <w:tcBorders>
              <w:top w:val="single" w:color="000000" w:sz="4" w:space="0"/>
              <w:left w:val="nil"/>
              <w:bottom w:val="single" w:color="000000" w:sz="4" w:space="0"/>
              <w:right w:val="single" w:color="000000" w:sz="4" w:space="0"/>
            </w:tcBorders>
            <w:shd w:val="clear" w:color="auto" w:fill="auto"/>
            <w:vAlign w:val="center"/>
          </w:tcPr>
          <w:p w14:paraId="4CBCB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740" w:type="dxa"/>
            <w:vMerge w:val="restart"/>
            <w:tcBorders>
              <w:top w:val="single" w:color="000000" w:sz="4" w:space="0"/>
              <w:left w:val="nil"/>
              <w:bottom w:val="single" w:color="000000" w:sz="4" w:space="0"/>
              <w:right w:val="single" w:color="000000" w:sz="4" w:space="0"/>
            </w:tcBorders>
            <w:shd w:val="clear" w:color="auto" w:fill="auto"/>
            <w:vAlign w:val="center"/>
          </w:tcPr>
          <w:p w14:paraId="5B2C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3DF7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7458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46" w:type="dxa"/>
            <w:vMerge w:val="restart"/>
            <w:tcBorders>
              <w:top w:val="nil"/>
              <w:left w:val="nil"/>
              <w:bottom w:val="single" w:color="000000" w:sz="4" w:space="0"/>
              <w:right w:val="single" w:color="000000" w:sz="4" w:space="0"/>
            </w:tcBorders>
            <w:shd w:val="clear" w:color="auto" w:fill="auto"/>
            <w:vAlign w:val="center"/>
          </w:tcPr>
          <w:p w14:paraId="4E180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7AC294E2">
            <w:pPr>
              <w:jc w:val="cente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0E93E05D">
            <w:pPr>
              <w:jc w:val="center"/>
              <w:rPr>
                <w:rFonts w:hint="eastAsia" w:ascii="宋体" w:hAnsi="宋体" w:eastAsia="宋体" w:cs="宋体"/>
                <w:i w:val="0"/>
                <w:iCs w:val="0"/>
                <w:color w:val="000000"/>
                <w:sz w:val="22"/>
                <w:szCs w:val="22"/>
                <w:u w:val="none"/>
              </w:rPr>
            </w:pPr>
          </w:p>
        </w:tc>
        <w:tc>
          <w:tcPr>
            <w:tcW w:w="1363" w:type="dxa"/>
            <w:vMerge w:val="restart"/>
            <w:tcBorders>
              <w:top w:val="nil"/>
              <w:left w:val="nil"/>
              <w:bottom w:val="single" w:color="000000" w:sz="4" w:space="0"/>
              <w:right w:val="single" w:color="000000" w:sz="4" w:space="0"/>
            </w:tcBorders>
            <w:shd w:val="clear" w:color="auto" w:fill="auto"/>
            <w:vAlign w:val="center"/>
          </w:tcPr>
          <w:p w14:paraId="73B88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63" w:type="dxa"/>
            <w:vMerge w:val="restart"/>
            <w:tcBorders>
              <w:top w:val="nil"/>
              <w:left w:val="nil"/>
              <w:bottom w:val="single" w:color="000000" w:sz="4" w:space="0"/>
              <w:right w:val="single" w:color="000000" w:sz="4" w:space="0"/>
            </w:tcBorders>
            <w:shd w:val="clear" w:color="auto" w:fill="auto"/>
            <w:vAlign w:val="center"/>
          </w:tcPr>
          <w:p w14:paraId="06B35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3" w:type="dxa"/>
            <w:vMerge w:val="restart"/>
            <w:tcBorders>
              <w:top w:val="nil"/>
              <w:left w:val="nil"/>
              <w:bottom w:val="single" w:color="000000" w:sz="4" w:space="0"/>
              <w:right w:val="single" w:color="000000" w:sz="4" w:space="0"/>
            </w:tcBorders>
            <w:shd w:val="clear" w:color="auto" w:fill="auto"/>
            <w:vAlign w:val="center"/>
          </w:tcPr>
          <w:p w14:paraId="6E4CD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740" w:type="dxa"/>
            <w:vMerge w:val="continue"/>
            <w:tcBorders>
              <w:top w:val="single" w:color="000000" w:sz="4" w:space="0"/>
              <w:left w:val="nil"/>
              <w:bottom w:val="single" w:color="000000" w:sz="4" w:space="0"/>
              <w:right w:val="single" w:color="000000" w:sz="4" w:space="0"/>
            </w:tcBorders>
            <w:shd w:val="clear" w:color="auto" w:fill="auto"/>
            <w:vAlign w:val="center"/>
          </w:tcPr>
          <w:p w14:paraId="7B9D0946">
            <w:pPr>
              <w:jc w:val="center"/>
              <w:rPr>
                <w:rFonts w:hint="eastAsia" w:ascii="宋体" w:hAnsi="宋体" w:eastAsia="宋体" w:cs="宋体"/>
                <w:i w:val="0"/>
                <w:iCs w:val="0"/>
                <w:color w:val="000000"/>
                <w:sz w:val="22"/>
                <w:szCs w:val="22"/>
                <w:u w:val="none"/>
              </w:rPr>
            </w:pPr>
          </w:p>
        </w:tc>
      </w:tr>
      <w:tr w14:paraId="3645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87F4237">
            <w:pPr>
              <w:jc w:val="center"/>
              <w:rPr>
                <w:rFonts w:hint="eastAsia" w:ascii="宋体" w:hAnsi="宋体" w:eastAsia="宋体" w:cs="宋体"/>
                <w:i w:val="0"/>
                <w:iCs w:val="0"/>
                <w:color w:val="000000"/>
                <w:sz w:val="22"/>
                <w:szCs w:val="22"/>
                <w:u w:val="none"/>
              </w:rPr>
            </w:pPr>
          </w:p>
        </w:tc>
        <w:tc>
          <w:tcPr>
            <w:tcW w:w="1546" w:type="dxa"/>
            <w:vMerge w:val="continue"/>
            <w:tcBorders>
              <w:top w:val="nil"/>
              <w:left w:val="nil"/>
              <w:bottom w:val="single" w:color="000000" w:sz="4" w:space="0"/>
              <w:right w:val="single" w:color="000000" w:sz="4" w:space="0"/>
            </w:tcBorders>
            <w:shd w:val="clear" w:color="auto" w:fill="auto"/>
            <w:vAlign w:val="center"/>
          </w:tcPr>
          <w:p w14:paraId="40F1FAF0">
            <w:pPr>
              <w:jc w:val="cente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4FBA6460">
            <w:pPr>
              <w:jc w:val="cente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41CB5CE3">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1C552710">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0600659D">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6FA2B36B">
            <w:pPr>
              <w:jc w:val="center"/>
              <w:rPr>
                <w:rFonts w:hint="eastAsia" w:ascii="宋体" w:hAnsi="宋体" w:eastAsia="宋体" w:cs="宋体"/>
                <w:i w:val="0"/>
                <w:iCs w:val="0"/>
                <w:color w:val="000000"/>
                <w:sz w:val="22"/>
                <w:szCs w:val="22"/>
                <w:u w:val="none"/>
              </w:rPr>
            </w:pPr>
          </w:p>
        </w:tc>
        <w:tc>
          <w:tcPr>
            <w:tcW w:w="2740" w:type="dxa"/>
            <w:vMerge w:val="continue"/>
            <w:tcBorders>
              <w:top w:val="single" w:color="000000" w:sz="4" w:space="0"/>
              <w:left w:val="nil"/>
              <w:bottom w:val="single" w:color="000000" w:sz="4" w:space="0"/>
              <w:right w:val="single" w:color="000000" w:sz="4" w:space="0"/>
            </w:tcBorders>
            <w:shd w:val="clear" w:color="auto" w:fill="auto"/>
            <w:vAlign w:val="center"/>
          </w:tcPr>
          <w:p w14:paraId="40386865">
            <w:pPr>
              <w:jc w:val="center"/>
              <w:rPr>
                <w:rFonts w:hint="eastAsia" w:ascii="宋体" w:hAnsi="宋体" w:eastAsia="宋体" w:cs="宋体"/>
                <w:i w:val="0"/>
                <w:iCs w:val="0"/>
                <w:color w:val="000000"/>
                <w:sz w:val="22"/>
                <w:szCs w:val="22"/>
                <w:u w:val="none"/>
              </w:rPr>
            </w:pPr>
          </w:p>
        </w:tc>
      </w:tr>
      <w:tr w14:paraId="09EB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E699D1E">
            <w:pPr>
              <w:jc w:val="center"/>
              <w:rPr>
                <w:rFonts w:hint="eastAsia" w:ascii="宋体" w:hAnsi="宋体" w:eastAsia="宋体" w:cs="宋体"/>
                <w:i w:val="0"/>
                <w:iCs w:val="0"/>
                <w:color w:val="000000"/>
                <w:sz w:val="22"/>
                <w:szCs w:val="22"/>
                <w:u w:val="none"/>
              </w:rPr>
            </w:pPr>
          </w:p>
        </w:tc>
        <w:tc>
          <w:tcPr>
            <w:tcW w:w="1546" w:type="dxa"/>
            <w:vMerge w:val="continue"/>
            <w:tcBorders>
              <w:top w:val="nil"/>
              <w:left w:val="nil"/>
              <w:bottom w:val="single" w:color="000000" w:sz="4" w:space="0"/>
              <w:right w:val="single" w:color="000000" w:sz="4" w:space="0"/>
            </w:tcBorders>
            <w:shd w:val="clear" w:color="auto" w:fill="auto"/>
            <w:vAlign w:val="center"/>
          </w:tcPr>
          <w:p w14:paraId="3E3EA031">
            <w:pPr>
              <w:jc w:val="cente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35BCEF87">
            <w:pPr>
              <w:jc w:val="cente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auto"/>
            <w:vAlign w:val="center"/>
          </w:tcPr>
          <w:p w14:paraId="30EF4620">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61C600FD">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0019E360">
            <w:pPr>
              <w:jc w:val="center"/>
              <w:rPr>
                <w:rFonts w:hint="eastAsia" w:ascii="宋体" w:hAnsi="宋体" w:eastAsia="宋体" w:cs="宋体"/>
                <w:i w:val="0"/>
                <w:iCs w:val="0"/>
                <w:color w:val="000000"/>
                <w:sz w:val="22"/>
                <w:szCs w:val="22"/>
                <w:u w:val="none"/>
              </w:rPr>
            </w:pPr>
          </w:p>
        </w:tc>
        <w:tc>
          <w:tcPr>
            <w:tcW w:w="1363" w:type="dxa"/>
            <w:vMerge w:val="continue"/>
            <w:tcBorders>
              <w:top w:val="nil"/>
              <w:left w:val="nil"/>
              <w:bottom w:val="single" w:color="000000" w:sz="4" w:space="0"/>
              <w:right w:val="single" w:color="000000" w:sz="4" w:space="0"/>
            </w:tcBorders>
            <w:shd w:val="clear" w:color="auto" w:fill="auto"/>
            <w:vAlign w:val="center"/>
          </w:tcPr>
          <w:p w14:paraId="386717BE">
            <w:pPr>
              <w:jc w:val="center"/>
              <w:rPr>
                <w:rFonts w:hint="eastAsia" w:ascii="宋体" w:hAnsi="宋体" w:eastAsia="宋体" w:cs="宋体"/>
                <w:i w:val="0"/>
                <w:iCs w:val="0"/>
                <w:color w:val="000000"/>
                <w:sz w:val="22"/>
                <w:szCs w:val="22"/>
                <w:u w:val="none"/>
              </w:rPr>
            </w:pPr>
          </w:p>
        </w:tc>
        <w:tc>
          <w:tcPr>
            <w:tcW w:w="2740" w:type="dxa"/>
            <w:vMerge w:val="continue"/>
            <w:tcBorders>
              <w:top w:val="single" w:color="000000" w:sz="4" w:space="0"/>
              <w:left w:val="nil"/>
              <w:bottom w:val="single" w:color="000000" w:sz="4" w:space="0"/>
              <w:right w:val="single" w:color="000000" w:sz="4" w:space="0"/>
            </w:tcBorders>
            <w:shd w:val="clear" w:color="auto" w:fill="auto"/>
            <w:vAlign w:val="center"/>
          </w:tcPr>
          <w:p w14:paraId="79B5D7DF">
            <w:pPr>
              <w:jc w:val="center"/>
              <w:rPr>
                <w:rFonts w:hint="eastAsia" w:ascii="宋体" w:hAnsi="宋体" w:eastAsia="宋体" w:cs="宋体"/>
                <w:i w:val="0"/>
                <w:iCs w:val="0"/>
                <w:color w:val="000000"/>
                <w:sz w:val="22"/>
                <w:szCs w:val="22"/>
                <w:u w:val="none"/>
              </w:rPr>
            </w:pPr>
          </w:p>
        </w:tc>
      </w:tr>
      <w:tr w14:paraId="5B59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80" w:type="dxa"/>
            <w:gridSpan w:val="4"/>
            <w:tcBorders>
              <w:top w:val="nil"/>
              <w:left w:val="single" w:color="000000" w:sz="4" w:space="0"/>
              <w:bottom w:val="single" w:color="000000" w:sz="4" w:space="0"/>
              <w:right w:val="single" w:color="000000" w:sz="4" w:space="0"/>
            </w:tcBorders>
            <w:shd w:val="clear" w:color="auto" w:fill="auto"/>
            <w:vAlign w:val="center"/>
          </w:tcPr>
          <w:p w14:paraId="29A65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63" w:type="dxa"/>
            <w:tcBorders>
              <w:top w:val="nil"/>
              <w:left w:val="nil"/>
              <w:bottom w:val="single" w:color="000000" w:sz="4" w:space="0"/>
              <w:right w:val="single" w:color="000000" w:sz="4" w:space="0"/>
            </w:tcBorders>
            <w:shd w:val="clear" w:color="auto" w:fill="auto"/>
            <w:vAlign w:val="center"/>
          </w:tcPr>
          <w:p w14:paraId="73738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3" w:type="dxa"/>
            <w:tcBorders>
              <w:top w:val="nil"/>
              <w:left w:val="nil"/>
              <w:bottom w:val="single" w:color="000000" w:sz="4" w:space="0"/>
              <w:right w:val="single" w:color="000000" w:sz="4" w:space="0"/>
            </w:tcBorders>
            <w:shd w:val="clear" w:color="auto" w:fill="auto"/>
            <w:vAlign w:val="center"/>
          </w:tcPr>
          <w:p w14:paraId="2E45B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3" w:type="dxa"/>
            <w:tcBorders>
              <w:top w:val="nil"/>
              <w:left w:val="nil"/>
              <w:bottom w:val="single" w:color="000000" w:sz="4" w:space="0"/>
              <w:right w:val="single" w:color="000000" w:sz="4" w:space="0"/>
            </w:tcBorders>
            <w:shd w:val="clear" w:color="auto" w:fill="auto"/>
            <w:vAlign w:val="center"/>
          </w:tcPr>
          <w:p w14:paraId="32C1E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3" w:type="dxa"/>
            <w:tcBorders>
              <w:top w:val="nil"/>
              <w:left w:val="nil"/>
              <w:bottom w:val="single" w:color="000000" w:sz="4" w:space="0"/>
              <w:right w:val="single" w:color="000000" w:sz="4" w:space="0"/>
            </w:tcBorders>
            <w:shd w:val="clear" w:color="auto" w:fill="auto"/>
            <w:vAlign w:val="center"/>
          </w:tcPr>
          <w:p w14:paraId="25D9A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3" w:type="dxa"/>
            <w:tcBorders>
              <w:top w:val="nil"/>
              <w:left w:val="nil"/>
              <w:bottom w:val="single" w:color="000000" w:sz="4" w:space="0"/>
              <w:right w:val="single" w:color="000000" w:sz="4" w:space="0"/>
            </w:tcBorders>
            <w:shd w:val="clear" w:color="auto" w:fill="auto"/>
            <w:vAlign w:val="center"/>
          </w:tcPr>
          <w:p w14:paraId="66649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40" w:type="dxa"/>
            <w:tcBorders>
              <w:top w:val="nil"/>
              <w:left w:val="nil"/>
              <w:bottom w:val="single" w:color="000000" w:sz="4" w:space="0"/>
              <w:right w:val="single" w:color="000000" w:sz="4" w:space="0"/>
            </w:tcBorders>
            <w:shd w:val="clear" w:color="auto" w:fill="auto"/>
            <w:vAlign w:val="center"/>
          </w:tcPr>
          <w:p w14:paraId="38FD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151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80" w:type="dxa"/>
            <w:gridSpan w:val="4"/>
            <w:tcBorders>
              <w:top w:val="nil"/>
              <w:left w:val="single" w:color="000000" w:sz="4" w:space="0"/>
              <w:bottom w:val="single" w:color="000000" w:sz="4" w:space="0"/>
              <w:right w:val="single" w:color="000000" w:sz="4" w:space="0"/>
            </w:tcBorders>
            <w:shd w:val="clear" w:color="auto" w:fill="auto"/>
            <w:vAlign w:val="center"/>
          </w:tcPr>
          <w:p w14:paraId="3B4B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55" w:type="dxa"/>
            <w:gridSpan w:val="6"/>
            <w:tcBorders>
              <w:top w:val="nil"/>
              <w:left w:val="nil"/>
              <w:bottom w:val="single" w:color="000000" w:sz="4" w:space="0"/>
              <w:right w:val="single" w:color="000000" w:sz="4" w:space="0"/>
            </w:tcBorders>
            <w:shd w:val="clear" w:color="auto" w:fill="auto"/>
            <w:vAlign w:val="center"/>
          </w:tcPr>
          <w:p w14:paraId="257BEDEB">
            <w:pPr>
              <w:jc w:val="right"/>
              <w:rPr>
                <w:rFonts w:hint="eastAsia" w:ascii="宋体" w:hAnsi="宋体" w:eastAsia="宋体" w:cs="宋体"/>
                <w:b/>
                <w:bCs/>
                <w:i w:val="0"/>
                <w:iCs w:val="0"/>
                <w:color w:val="000000"/>
                <w:sz w:val="22"/>
                <w:szCs w:val="22"/>
                <w:u w:val="none"/>
              </w:rPr>
            </w:pPr>
            <w:r>
              <w:rPr>
                <w:rStyle w:val="21"/>
                <w:lang w:val="en-US" w:eastAsia="zh-CN" w:bidi="ar"/>
              </w:rPr>
              <w:t>我单位没有政府性基金收入，也没有使用政府性基金安排的支出，故本表无数据。</w:t>
            </w:r>
          </w:p>
        </w:tc>
      </w:tr>
      <w:tr w14:paraId="5AC8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524C3E42">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52F0B701">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21D7CE81">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3762EC21">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EED6B9E">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322D7B8C">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38B092D">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1914A0B4">
            <w:pPr>
              <w:jc w:val="right"/>
              <w:rPr>
                <w:rFonts w:hint="eastAsia" w:ascii="宋体" w:hAnsi="宋体" w:eastAsia="宋体" w:cs="宋体"/>
                <w:i w:val="0"/>
                <w:iCs w:val="0"/>
                <w:color w:val="000000"/>
                <w:sz w:val="22"/>
                <w:szCs w:val="22"/>
                <w:u w:val="none"/>
              </w:rPr>
            </w:pPr>
          </w:p>
        </w:tc>
      </w:tr>
      <w:tr w14:paraId="3C15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7A052C50">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0CD62BBA">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6A9A9D21">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0BD066E2">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5477EEB6">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04933DA">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3EA64BB5">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448C008F">
            <w:pPr>
              <w:jc w:val="right"/>
              <w:rPr>
                <w:rFonts w:hint="eastAsia" w:ascii="宋体" w:hAnsi="宋体" w:eastAsia="宋体" w:cs="宋体"/>
                <w:i w:val="0"/>
                <w:iCs w:val="0"/>
                <w:color w:val="000000"/>
                <w:sz w:val="22"/>
                <w:szCs w:val="22"/>
                <w:u w:val="none"/>
              </w:rPr>
            </w:pPr>
          </w:p>
        </w:tc>
      </w:tr>
      <w:tr w14:paraId="45E2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7D983F0F">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24330144">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3FF05CC7">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04647075">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2CE141E7">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567FA65D">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6DB4A04">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2BD857AB">
            <w:pPr>
              <w:jc w:val="right"/>
              <w:rPr>
                <w:rFonts w:hint="eastAsia" w:ascii="宋体" w:hAnsi="宋体" w:eastAsia="宋体" w:cs="宋体"/>
                <w:i w:val="0"/>
                <w:iCs w:val="0"/>
                <w:color w:val="000000"/>
                <w:sz w:val="22"/>
                <w:szCs w:val="22"/>
                <w:u w:val="none"/>
              </w:rPr>
            </w:pPr>
          </w:p>
        </w:tc>
      </w:tr>
      <w:tr w14:paraId="0FA4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52648E9F">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0121BAFB">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48DA4D11">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EABBCA9">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20EF250B">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07A3E7A9">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5E1957D9">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4DF67587">
            <w:pPr>
              <w:jc w:val="right"/>
              <w:rPr>
                <w:rFonts w:hint="eastAsia" w:ascii="宋体" w:hAnsi="宋体" w:eastAsia="宋体" w:cs="宋体"/>
                <w:i w:val="0"/>
                <w:iCs w:val="0"/>
                <w:color w:val="000000"/>
                <w:sz w:val="22"/>
                <w:szCs w:val="22"/>
                <w:u w:val="none"/>
              </w:rPr>
            </w:pPr>
          </w:p>
        </w:tc>
      </w:tr>
      <w:tr w14:paraId="6565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534DEC7F">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4A1A4527">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6CC105A7">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5E4FE05">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0CF1B6C2">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4222C5BA">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308838E1">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24D56615">
            <w:pPr>
              <w:jc w:val="right"/>
              <w:rPr>
                <w:rFonts w:hint="eastAsia" w:ascii="宋体" w:hAnsi="宋体" w:eastAsia="宋体" w:cs="宋体"/>
                <w:i w:val="0"/>
                <w:iCs w:val="0"/>
                <w:color w:val="000000"/>
                <w:sz w:val="22"/>
                <w:szCs w:val="22"/>
                <w:u w:val="none"/>
              </w:rPr>
            </w:pPr>
          </w:p>
        </w:tc>
      </w:tr>
      <w:tr w14:paraId="2633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vAlign w:val="center"/>
          </w:tcPr>
          <w:p w14:paraId="22939472">
            <w:pPr>
              <w:jc w:val="left"/>
              <w:rPr>
                <w:rFonts w:hint="eastAsia" w:ascii="宋体" w:hAnsi="宋体" w:eastAsia="宋体" w:cs="宋体"/>
                <w:i w:val="0"/>
                <w:iCs w:val="0"/>
                <w:color w:val="000000"/>
                <w:sz w:val="22"/>
                <w:szCs w:val="22"/>
                <w:u w:val="none"/>
              </w:rPr>
            </w:pPr>
          </w:p>
        </w:tc>
        <w:tc>
          <w:tcPr>
            <w:tcW w:w="1546" w:type="dxa"/>
            <w:tcBorders>
              <w:top w:val="nil"/>
              <w:left w:val="nil"/>
              <w:bottom w:val="single" w:color="000000" w:sz="4" w:space="0"/>
              <w:right w:val="single" w:color="000000" w:sz="4" w:space="0"/>
            </w:tcBorders>
            <w:shd w:val="clear" w:color="auto" w:fill="auto"/>
            <w:vAlign w:val="center"/>
          </w:tcPr>
          <w:p w14:paraId="051BB8C8">
            <w:pPr>
              <w:jc w:val="lef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E9ACF3A">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5C67B7D3">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00DF3A11">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064F886">
            <w:pPr>
              <w:jc w:val="right"/>
              <w:rPr>
                <w:rFonts w:hint="eastAsia" w:ascii="宋体" w:hAnsi="宋体" w:eastAsia="宋体" w:cs="宋体"/>
                <w:i w:val="0"/>
                <w:iCs w:val="0"/>
                <w:color w:val="000000"/>
                <w:sz w:val="22"/>
                <w:szCs w:val="22"/>
                <w:u w:val="none"/>
              </w:rPr>
            </w:pPr>
          </w:p>
        </w:tc>
        <w:tc>
          <w:tcPr>
            <w:tcW w:w="1363" w:type="dxa"/>
            <w:tcBorders>
              <w:top w:val="nil"/>
              <w:left w:val="nil"/>
              <w:bottom w:val="single" w:color="000000" w:sz="4" w:space="0"/>
              <w:right w:val="single" w:color="000000" w:sz="4" w:space="0"/>
            </w:tcBorders>
            <w:shd w:val="clear" w:color="auto" w:fill="auto"/>
            <w:vAlign w:val="center"/>
          </w:tcPr>
          <w:p w14:paraId="1B034886">
            <w:pPr>
              <w:jc w:val="right"/>
              <w:rPr>
                <w:rFonts w:hint="eastAsia" w:ascii="宋体" w:hAnsi="宋体" w:eastAsia="宋体" w:cs="宋体"/>
                <w:i w:val="0"/>
                <w:iCs w:val="0"/>
                <w:color w:val="000000"/>
                <w:sz w:val="22"/>
                <w:szCs w:val="22"/>
                <w:u w:val="none"/>
              </w:rPr>
            </w:pPr>
          </w:p>
        </w:tc>
        <w:tc>
          <w:tcPr>
            <w:tcW w:w="2740" w:type="dxa"/>
            <w:tcBorders>
              <w:top w:val="nil"/>
              <w:left w:val="nil"/>
              <w:bottom w:val="single" w:color="000000" w:sz="4" w:space="0"/>
              <w:right w:val="single" w:color="000000" w:sz="4" w:space="0"/>
            </w:tcBorders>
            <w:shd w:val="clear" w:color="auto" w:fill="auto"/>
            <w:vAlign w:val="center"/>
          </w:tcPr>
          <w:p w14:paraId="4B35C83C">
            <w:pPr>
              <w:jc w:val="right"/>
              <w:rPr>
                <w:rFonts w:hint="eastAsia" w:ascii="宋体" w:hAnsi="宋体" w:eastAsia="宋体" w:cs="宋体"/>
                <w:i w:val="0"/>
                <w:iCs w:val="0"/>
                <w:color w:val="000000"/>
                <w:sz w:val="22"/>
                <w:szCs w:val="22"/>
                <w:u w:val="none"/>
              </w:rPr>
            </w:pPr>
          </w:p>
        </w:tc>
      </w:tr>
      <w:tr w14:paraId="6E02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5" w:type="dxa"/>
            <w:gridSpan w:val="10"/>
            <w:tcBorders>
              <w:top w:val="nil"/>
              <w:left w:val="nil"/>
              <w:bottom w:val="nil"/>
              <w:right w:val="nil"/>
            </w:tcBorders>
            <w:shd w:val="clear" w:color="auto" w:fill="auto"/>
            <w:vAlign w:val="center"/>
          </w:tcPr>
          <w:p w14:paraId="57BF6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47C3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5" w:type="dxa"/>
            <w:gridSpan w:val="10"/>
            <w:tcBorders>
              <w:top w:val="nil"/>
              <w:left w:val="nil"/>
              <w:bottom w:val="nil"/>
              <w:right w:val="nil"/>
            </w:tcBorders>
            <w:shd w:val="clear" w:color="auto" w:fill="auto"/>
            <w:vAlign w:val="center"/>
          </w:tcPr>
          <w:p w14:paraId="1E717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说明：我单位没有政府性基金收入，也没有使用政府性基金安排的支出，故本表无数据。</w:t>
            </w:r>
          </w:p>
        </w:tc>
      </w:tr>
    </w:tbl>
    <w:p w14:paraId="2A779968">
      <w:pPr>
        <w:widowControl/>
        <w:jc w:val="center"/>
        <w:rPr>
          <w:rFonts w:hint="eastAsia" w:ascii="Times New Roman" w:hAnsi="Times New Roman" w:eastAsia="方正小标宋_GBK" w:cs="Times New Roman"/>
          <w:color w:val="000000"/>
          <w:kern w:val="0"/>
          <w:sz w:val="36"/>
          <w:szCs w:val="36"/>
        </w:rPr>
      </w:pPr>
    </w:p>
    <w:p w14:paraId="6E39B415">
      <w:pPr>
        <w:pStyle w:val="9"/>
        <w:rPr>
          <w:rFonts w:hint="eastAsia" w:ascii="Times New Roman" w:hAnsi="Times New Roman" w:eastAsia="方正小标宋_GBK" w:cs="Times New Roman"/>
          <w:color w:val="000000"/>
          <w:kern w:val="0"/>
          <w:sz w:val="36"/>
          <w:szCs w:val="36"/>
        </w:rPr>
      </w:pPr>
    </w:p>
    <w:p w14:paraId="70BA0559">
      <w:pPr>
        <w:pStyle w:val="9"/>
        <w:rPr>
          <w:rFonts w:hint="eastAsia" w:ascii="Times New Roman" w:hAnsi="Times New Roman" w:eastAsia="方正小标宋_GBK" w:cs="Times New Roman"/>
          <w:color w:val="000000"/>
          <w:kern w:val="0"/>
          <w:sz w:val="36"/>
          <w:szCs w:val="36"/>
        </w:rPr>
      </w:pPr>
    </w:p>
    <w:p w14:paraId="2C1C44BD">
      <w:pPr>
        <w:pStyle w:val="9"/>
        <w:rPr>
          <w:rFonts w:hint="eastAsia" w:ascii="Times New Roman" w:hAnsi="Times New Roman" w:eastAsia="方正小标宋_GBK" w:cs="Times New Roman"/>
          <w:color w:val="000000"/>
          <w:kern w:val="0"/>
          <w:sz w:val="36"/>
          <w:szCs w:val="36"/>
        </w:rPr>
      </w:pPr>
    </w:p>
    <w:p w14:paraId="0E695144">
      <w:pPr>
        <w:pStyle w:val="9"/>
        <w:rPr>
          <w:rFonts w:hint="eastAsia" w:ascii="Times New Roman" w:hAnsi="Times New Roman" w:eastAsia="方正小标宋_GBK" w:cs="Times New Roman"/>
          <w:color w:val="000000"/>
          <w:kern w:val="0"/>
          <w:sz w:val="36"/>
          <w:szCs w:val="36"/>
        </w:rPr>
      </w:pPr>
    </w:p>
    <w:p w14:paraId="07C0809D">
      <w:pPr>
        <w:pStyle w:val="9"/>
        <w:rPr>
          <w:rFonts w:hint="eastAsia" w:ascii="Times New Roman" w:hAnsi="Times New Roman" w:eastAsia="方正小标宋_GBK" w:cs="Times New Roman"/>
          <w:color w:val="000000"/>
          <w:kern w:val="0"/>
          <w:sz w:val="36"/>
          <w:szCs w:val="36"/>
        </w:rPr>
      </w:pPr>
    </w:p>
    <w:p w14:paraId="725764E3">
      <w:pPr>
        <w:widowControl/>
        <w:jc w:val="center"/>
        <w:rPr>
          <w:rFonts w:hint="eastAsia" w:ascii="Times New Roman" w:hAnsi="Times New Roman" w:eastAsia="方正小标宋_GBK" w:cs="Times New Roman"/>
          <w:color w:val="000000"/>
          <w:kern w:val="0"/>
          <w:sz w:val="36"/>
          <w:szCs w:val="36"/>
        </w:rPr>
      </w:pPr>
    </w:p>
    <w:tbl>
      <w:tblPr>
        <w:tblStyle w:val="11"/>
        <w:tblW w:w="12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6"/>
        <w:gridCol w:w="261"/>
        <w:gridCol w:w="637"/>
        <w:gridCol w:w="1286"/>
        <w:gridCol w:w="2116"/>
        <w:gridCol w:w="1885"/>
        <w:gridCol w:w="3240"/>
      </w:tblGrid>
      <w:tr w14:paraId="5E84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261" w:type="dxa"/>
            <w:gridSpan w:val="7"/>
            <w:tcBorders>
              <w:top w:val="nil"/>
              <w:left w:val="nil"/>
              <w:bottom w:val="nil"/>
              <w:right w:val="nil"/>
            </w:tcBorders>
            <w:shd w:val="clear" w:color="auto" w:fill="auto"/>
            <w:vAlign w:val="bottom"/>
          </w:tcPr>
          <w:p w14:paraId="12E555F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4171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836" w:type="dxa"/>
            <w:tcBorders>
              <w:top w:val="nil"/>
              <w:left w:val="nil"/>
              <w:bottom w:val="nil"/>
              <w:right w:val="nil"/>
            </w:tcBorders>
            <w:shd w:val="clear" w:color="auto" w:fill="auto"/>
            <w:vAlign w:val="bottom"/>
          </w:tcPr>
          <w:p w14:paraId="1DBC1F9B">
            <w:pPr>
              <w:rPr>
                <w:rFonts w:hint="eastAsia" w:ascii="Arial" w:hAnsi="Arial" w:cs="Arial"/>
                <w:i w:val="0"/>
                <w:iCs w:val="0"/>
                <w:color w:val="000000"/>
                <w:sz w:val="20"/>
                <w:szCs w:val="20"/>
                <w:u w:val="none"/>
              </w:rPr>
            </w:pPr>
          </w:p>
        </w:tc>
        <w:tc>
          <w:tcPr>
            <w:tcW w:w="261" w:type="dxa"/>
            <w:tcBorders>
              <w:top w:val="nil"/>
              <w:left w:val="nil"/>
              <w:bottom w:val="nil"/>
              <w:right w:val="nil"/>
            </w:tcBorders>
            <w:shd w:val="clear" w:color="auto" w:fill="auto"/>
            <w:vAlign w:val="bottom"/>
          </w:tcPr>
          <w:p w14:paraId="1DE55D32">
            <w:pPr>
              <w:rPr>
                <w:rFonts w:hint="default" w:ascii="Arial" w:hAnsi="Arial" w:cs="Arial"/>
                <w:i w:val="0"/>
                <w:iCs w:val="0"/>
                <w:color w:val="000000"/>
                <w:sz w:val="20"/>
                <w:szCs w:val="20"/>
                <w:u w:val="none"/>
              </w:rPr>
            </w:pPr>
          </w:p>
        </w:tc>
        <w:tc>
          <w:tcPr>
            <w:tcW w:w="637" w:type="dxa"/>
            <w:tcBorders>
              <w:top w:val="nil"/>
              <w:left w:val="nil"/>
              <w:bottom w:val="nil"/>
              <w:right w:val="nil"/>
            </w:tcBorders>
            <w:shd w:val="clear" w:color="auto" w:fill="auto"/>
            <w:vAlign w:val="bottom"/>
          </w:tcPr>
          <w:p w14:paraId="306326CB">
            <w:pPr>
              <w:rPr>
                <w:rFonts w:hint="default" w:ascii="Arial" w:hAnsi="Arial" w:cs="Arial"/>
                <w:i w:val="0"/>
                <w:iCs w:val="0"/>
                <w:color w:val="000000"/>
                <w:sz w:val="20"/>
                <w:szCs w:val="20"/>
                <w:u w:val="none"/>
              </w:rPr>
            </w:pPr>
          </w:p>
        </w:tc>
        <w:tc>
          <w:tcPr>
            <w:tcW w:w="1286" w:type="dxa"/>
            <w:tcBorders>
              <w:top w:val="nil"/>
              <w:left w:val="nil"/>
              <w:bottom w:val="nil"/>
              <w:right w:val="nil"/>
            </w:tcBorders>
            <w:shd w:val="clear" w:color="auto" w:fill="auto"/>
            <w:vAlign w:val="bottom"/>
          </w:tcPr>
          <w:p w14:paraId="19004EE7">
            <w:pPr>
              <w:rPr>
                <w:rFonts w:hint="default" w:ascii="Arial" w:hAnsi="Arial"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5D0E4223">
            <w:pPr>
              <w:rPr>
                <w:rFonts w:hint="default" w:ascii="Arial" w:hAnsi="Arial" w:cs="Arial"/>
                <w:i w:val="0"/>
                <w:iCs w:val="0"/>
                <w:color w:val="000000"/>
                <w:sz w:val="20"/>
                <w:szCs w:val="20"/>
                <w:u w:val="none"/>
              </w:rPr>
            </w:pPr>
          </w:p>
        </w:tc>
        <w:tc>
          <w:tcPr>
            <w:tcW w:w="1885" w:type="dxa"/>
            <w:tcBorders>
              <w:top w:val="nil"/>
              <w:left w:val="nil"/>
              <w:bottom w:val="nil"/>
              <w:right w:val="nil"/>
            </w:tcBorders>
            <w:shd w:val="clear" w:color="auto" w:fill="auto"/>
            <w:vAlign w:val="bottom"/>
          </w:tcPr>
          <w:p w14:paraId="750B1590">
            <w:pPr>
              <w:rPr>
                <w:rFonts w:hint="default" w:ascii="Arial" w:hAnsi="Arial" w:cs="Arial"/>
                <w:i w:val="0"/>
                <w:iCs w:val="0"/>
                <w:color w:val="000000"/>
                <w:sz w:val="20"/>
                <w:szCs w:val="20"/>
                <w:u w:val="none"/>
              </w:rPr>
            </w:pPr>
          </w:p>
        </w:tc>
        <w:tc>
          <w:tcPr>
            <w:tcW w:w="3240" w:type="dxa"/>
            <w:tcBorders>
              <w:top w:val="nil"/>
              <w:left w:val="nil"/>
              <w:bottom w:val="nil"/>
              <w:right w:val="nil"/>
            </w:tcBorders>
            <w:shd w:val="clear" w:color="auto" w:fill="auto"/>
            <w:vAlign w:val="bottom"/>
          </w:tcPr>
          <w:p w14:paraId="4C4DF3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7BB1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836" w:type="dxa"/>
            <w:tcBorders>
              <w:top w:val="nil"/>
              <w:left w:val="nil"/>
              <w:bottom w:val="nil"/>
              <w:right w:val="nil"/>
            </w:tcBorders>
            <w:shd w:val="clear" w:color="auto" w:fill="auto"/>
            <w:vAlign w:val="bottom"/>
          </w:tcPr>
          <w:p w14:paraId="79DE6C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部门：溆浦县乡村振兴局</w:t>
            </w:r>
          </w:p>
        </w:tc>
        <w:tc>
          <w:tcPr>
            <w:tcW w:w="261" w:type="dxa"/>
            <w:tcBorders>
              <w:top w:val="nil"/>
              <w:left w:val="nil"/>
              <w:bottom w:val="nil"/>
              <w:right w:val="nil"/>
            </w:tcBorders>
            <w:shd w:val="clear" w:color="auto" w:fill="auto"/>
            <w:vAlign w:val="bottom"/>
          </w:tcPr>
          <w:p w14:paraId="7D3D5CDC">
            <w:pPr>
              <w:rPr>
                <w:rFonts w:hint="default" w:ascii="Arial" w:hAnsi="Arial" w:cs="Arial"/>
                <w:i w:val="0"/>
                <w:iCs w:val="0"/>
                <w:color w:val="000000"/>
                <w:sz w:val="20"/>
                <w:szCs w:val="20"/>
                <w:u w:val="none"/>
              </w:rPr>
            </w:pPr>
          </w:p>
        </w:tc>
        <w:tc>
          <w:tcPr>
            <w:tcW w:w="637" w:type="dxa"/>
            <w:tcBorders>
              <w:top w:val="nil"/>
              <w:left w:val="nil"/>
              <w:bottom w:val="nil"/>
              <w:right w:val="nil"/>
            </w:tcBorders>
            <w:shd w:val="clear" w:color="auto" w:fill="auto"/>
            <w:vAlign w:val="bottom"/>
          </w:tcPr>
          <w:p w14:paraId="4F0763EE">
            <w:pPr>
              <w:rPr>
                <w:rFonts w:hint="default" w:ascii="Arial" w:hAnsi="Arial" w:cs="Arial"/>
                <w:i w:val="0"/>
                <w:iCs w:val="0"/>
                <w:color w:val="000000"/>
                <w:sz w:val="20"/>
                <w:szCs w:val="20"/>
                <w:u w:val="none"/>
              </w:rPr>
            </w:pPr>
          </w:p>
        </w:tc>
        <w:tc>
          <w:tcPr>
            <w:tcW w:w="1286" w:type="dxa"/>
            <w:tcBorders>
              <w:top w:val="nil"/>
              <w:left w:val="nil"/>
              <w:bottom w:val="nil"/>
              <w:right w:val="nil"/>
            </w:tcBorders>
            <w:shd w:val="clear" w:color="auto" w:fill="auto"/>
            <w:vAlign w:val="bottom"/>
          </w:tcPr>
          <w:p w14:paraId="3C4A28E9">
            <w:pPr>
              <w:rPr>
                <w:rFonts w:hint="default" w:ascii="Arial" w:hAnsi="Arial"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23673D5">
            <w:pPr>
              <w:rPr>
                <w:rFonts w:hint="default" w:ascii="Arial" w:hAnsi="Arial" w:cs="Arial"/>
                <w:i w:val="0"/>
                <w:iCs w:val="0"/>
                <w:color w:val="000000"/>
                <w:sz w:val="20"/>
                <w:szCs w:val="20"/>
                <w:u w:val="none"/>
              </w:rPr>
            </w:pPr>
          </w:p>
        </w:tc>
        <w:tc>
          <w:tcPr>
            <w:tcW w:w="1885" w:type="dxa"/>
            <w:tcBorders>
              <w:top w:val="nil"/>
              <w:left w:val="nil"/>
              <w:bottom w:val="nil"/>
              <w:right w:val="nil"/>
            </w:tcBorders>
            <w:shd w:val="clear" w:color="auto" w:fill="auto"/>
            <w:vAlign w:val="bottom"/>
          </w:tcPr>
          <w:p w14:paraId="28C9123F">
            <w:pPr>
              <w:rPr>
                <w:rFonts w:hint="default" w:ascii="Arial" w:hAnsi="Arial" w:cs="Arial"/>
                <w:i w:val="0"/>
                <w:iCs w:val="0"/>
                <w:color w:val="000000"/>
                <w:sz w:val="20"/>
                <w:szCs w:val="20"/>
                <w:u w:val="none"/>
              </w:rPr>
            </w:pPr>
          </w:p>
        </w:tc>
        <w:tc>
          <w:tcPr>
            <w:tcW w:w="3240" w:type="dxa"/>
            <w:tcBorders>
              <w:top w:val="nil"/>
              <w:left w:val="nil"/>
              <w:bottom w:val="nil"/>
              <w:right w:val="nil"/>
            </w:tcBorders>
            <w:shd w:val="clear" w:color="auto" w:fill="auto"/>
            <w:vAlign w:val="bottom"/>
          </w:tcPr>
          <w:p w14:paraId="479B19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B4E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F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1" w:type="dxa"/>
            <w:gridSpan w:val="3"/>
            <w:tcBorders>
              <w:top w:val="single" w:color="000000" w:sz="4" w:space="0"/>
              <w:left w:val="nil"/>
              <w:bottom w:val="single" w:color="000000" w:sz="4" w:space="0"/>
              <w:right w:val="single" w:color="000000" w:sz="4" w:space="0"/>
            </w:tcBorders>
            <w:shd w:val="clear" w:color="auto" w:fill="auto"/>
            <w:vAlign w:val="center"/>
          </w:tcPr>
          <w:p w14:paraId="2F0F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39D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568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86" w:type="dxa"/>
            <w:vMerge w:val="restart"/>
            <w:tcBorders>
              <w:top w:val="nil"/>
              <w:left w:val="nil"/>
              <w:bottom w:val="single" w:color="000000" w:sz="4" w:space="0"/>
              <w:right w:val="single" w:color="000000" w:sz="4" w:space="0"/>
            </w:tcBorders>
            <w:shd w:val="clear" w:color="auto" w:fill="auto"/>
            <w:vAlign w:val="center"/>
          </w:tcPr>
          <w:p w14:paraId="7CA2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16" w:type="dxa"/>
            <w:vMerge w:val="restart"/>
            <w:tcBorders>
              <w:top w:val="nil"/>
              <w:left w:val="nil"/>
              <w:bottom w:val="single" w:color="000000" w:sz="4" w:space="0"/>
              <w:right w:val="single" w:color="000000" w:sz="4" w:space="0"/>
            </w:tcBorders>
            <w:shd w:val="clear" w:color="auto" w:fill="auto"/>
            <w:vAlign w:val="center"/>
          </w:tcPr>
          <w:p w14:paraId="534A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5" w:type="dxa"/>
            <w:vMerge w:val="restart"/>
            <w:tcBorders>
              <w:top w:val="nil"/>
              <w:left w:val="nil"/>
              <w:bottom w:val="single" w:color="000000" w:sz="4" w:space="0"/>
              <w:right w:val="single" w:color="000000" w:sz="4" w:space="0"/>
            </w:tcBorders>
            <w:shd w:val="clear" w:color="auto" w:fill="auto"/>
            <w:vAlign w:val="center"/>
          </w:tcPr>
          <w:p w14:paraId="6BFED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40" w:type="dxa"/>
            <w:vMerge w:val="restart"/>
            <w:tcBorders>
              <w:top w:val="nil"/>
              <w:left w:val="nil"/>
              <w:bottom w:val="single" w:color="000000" w:sz="4" w:space="0"/>
              <w:right w:val="single" w:color="000000" w:sz="4" w:space="0"/>
            </w:tcBorders>
            <w:shd w:val="clear" w:color="auto" w:fill="auto"/>
            <w:vAlign w:val="center"/>
          </w:tcPr>
          <w:p w14:paraId="2291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01E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F301C69">
            <w:pPr>
              <w:jc w:val="center"/>
              <w:rPr>
                <w:rFonts w:hint="eastAsia" w:ascii="宋体" w:hAnsi="宋体" w:eastAsia="宋体" w:cs="宋体"/>
                <w:i w:val="0"/>
                <w:iCs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auto" w:fill="auto"/>
            <w:vAlign w:val="center"/>
          </w:tcPr>
          <w:p w14:paraId="3CADDBA5">
            <w:pPr>
              <w:jc w:val="center"/>
              <w:rPr>
                <w:rFonts w:hint="eastAsia" w:ascii="宋体" w:hAnsi="宋体" w:eastAsia="宋体" w:cs="宋体"/>
                <w:i w:val="0"/>
                <w:iCs w:val="0"/>
                <w:color w:val="000000"/>
                <w:sz w:val="22"/>
                <w:szCs w:val="22"/>
                <w:u w:val="none"/>
              </w:rPr>
            </w:pPr>
          </w:p>
        </w:tc>
        <w:tc>
          <w:tcPr>
            <w:tcW w:w="2116" w:type="dxa"/>
            <w:vMerge w:val="continue"/>
            <w:tcBorders>
              <w:top w:val="nil"/>
              <w:left w:val="nil"/>
              <w:bottom w:val="single" w:color="000000" w:sz="4" w:space="0"/>
              <w:right w:val="single" w:color="000000" w:sz="4" w:space="0"/>
            </w:tcBorders>
            <w:shd w:val="clear" w:color="auto" w:fill="auto"/>
            <w:vAlign w:val="center"/>
          </w:tcPr>
          <w:p w14:paraId="745A4899">
            <w:pPr>
              <w:jc w:val="center"/>
              <w:rPr>
                <w:rFonts w:hint="eastAsia" w:ascii="宋体" w:hAnsi="宋体" w:eastAsia="宋体" w:cs="宋体"/>
                <w:i w:val="0"/>
                <w:iCs w:val="0"/>
                <w:color w:val="000000"/>
                <w:sz w:val="22"/>
                <w:szCs w:val="22"/>
                <w:u w:val="none"/>
              </w:rPr>
            </w:pPr>
          </w:p>
        </w:tc>
        <w:tc>
          <w:tcPr>
            <w:tcW w:w="1885" w:type="dxa"/>
            <w:vMerge w:val="continue"/>
            <w:tcBorders>
              <w:top w:val="nil"/>
              <w:left w:val="nil"/>
              <w:bottom w:val="single" w:color="000000" w:sz="4" w:space="0"/>
              <w:right w:val="single" w:color="000000" w:sz="4" w:space="0"/>
            </w:tcBorders>
            <w:shd w:val="clear" w:color="auto" w:fill="auto"/>
            <w:vAlign w:val="center"/>
          </w:tcPr>
          <w:p w14:paraId="6651E5D7">
            <w:pPr>
              <w:jc w:val="center"/>
              <w:rPr>
                <w:rFonts w:hint="eastAsia" w:ascii="宋体" w:hAnsi="宋体" w:eastAsia="宋体" w:cs="宋体"/>
                <w:i w:val="0"/>
                <w:iCs w:val="0"/>
                <w:color w:val="000000"/>
                <w:sz w:val="22"/>
                <w:szCs w:val="22"/>
                <w:u w:val="none"/>
              </w:rPr>
            </w:pPr>
          </w:p>
        </w:tc>
        <w:tc>
          <w:tcPr>
            <w:tcW w:w="3240" w:type="dxa"/>
            <w:vMerge w:val="continue"/>
            <w:tcBorders>
              <w:top w:val="nil"/>
              <w:left w:val="nil"/>
              <w:bottom w:val="single" w:color="000000" w:sz="4" w:space="0"/>
              <w:right w:val="single" w:color="000000" w:sz="4" w:space="0"/>
            </w:tcBorders>
            <w:shd w:val="clear" w:color="auto" w:fill="auto"/>
            <w:vAlign w:val="center"/>
          </w:tcPr>
          <w:p w14:paraId="7329FFEB">
            <w:pPr>
              <w:jc w:val="center"/>
              <w:rPr>
                <w:rFonts w:hint="eastAsia" w:ascii="宋体" w:hAnsi="宋体" w:eastAsia="宋体" w:cs="宋体"/>
                <w:i w:val="0"/>
                <w:iCs w:val="0"/>
                <w:color w:val="000000"/>
                <w:sz w:val="22"/>
                <w:szCs w:val="22"/>
                <w:u w:val="none"/>
              </w:rPr>
            </w:pPr>
          </w:p>
        </w:tc>
      </w:tr>
      <w:tr w14:paraId="3A65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5FF057F">
            <w:pPr>
              <w:jc w:val="center"/>
              <w:rPr>
                <w:rFonts w:hint="eastAsia" w:ascii="宋体" w:hAnsi="宋体" w:eastAsia="宋体" w:cs="宋体"/>
                <w:i w:val="0"/>
                <w:iCs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auto" w:fill="auto"/>
            <w:vAlign w:val="center"/>
          </w:tcPr>
          <w:p w14:paraId="4A604E2A">
            <w:pPr>
              <w:jc w:val="center"/>
              <w:rPr>
                <w:rFonts w:hint="eastAsia" w:ascii="宋体" w:hAnsi="宋体" w:eastAsia="宋体" w:cs="宋体"/>
                <w:i w:val="0"/>
                <w:iCs w:val="0"/>
                <w:color w:val="000000"/>
                <w:sz w:val="22"/>
                <w:szCs w:val="22"/>
                <w:u w:val="none"/>
              </w:rPr>
            </w:pPr>
          </w:p>
        </w:tc>
        <w:tc>
          <w:tcPr>
            <w:tcW w:w="2116" w:type="dxa"/>
            <w:vMerge w:val="continue"/>
            <w:tcBorders>
              <w:top w:val="nil"/>
              <w:left w:val="nil"/>
              <w:bottom w:val="single" w:color="000000" w:sz="4" w:space="0"/>
              <w:right w:val="single" w:color="000000" w:sz="4" w:space="0"/>
            </w:tcBorders>
            <w:shd w:val="clear" w:color="auto" w:fill="auto"/>
            <w:vAlign w:val="center"/>
          </w:tcPr>
          <w:p w14:paraId="78197C2F">
            <w:pPr>
              <w:jc w:val="center"/>
              <w:rPr>
                <w:rFonts w:hint="eastAsia" w:ascii="宋体" w:hAnsi="宋体" w:eastAsia="宋体" w:cs="宋体"/>
                <w:i w:val="0"/>
                <w:iCs w:val="0"/>
                <w:color w:val="000000"/>
                <w:sz w:val="22"/>
                <w:szCs w:val="22"/>
                <w:u w:val="none"/>
              </w:rPr>
            </w:pPr>
          </w:p>
        </w:tc>
        <w:tc>
          <w:tcPr>
            <w:tcW w:w="1885" w:type="dxa"/>
            <w:vMerge w:val="continue"/>
            <w:tcBorders>
              <w:top w:val="nil"/>
              <w:left w:val="nil"/>
              <w:bottom w:val="single" w:color="000000" w:sz="4" w:space="0"/>
              <w:right w:val="single" w:color="000000" w:sz="4" w:space="0"/>
            </w:tcBorders>
            <w:shd w:val="clear" w:color="auto" w:fill="auto"/>
            <w:vAlign w:val="center"/>
          </w:tcPr>
          <w:p w14:paraId="2D80E25B">
            <w:pPr>
              <w:jc w:val="center"/>
              <w:rPr>
                <w:rFonts w:hint="eastAsia" w:ascii="宋体" w:hAnsi="宋体" w:eastAsia="宋体" w:cs="宋体"/>
                <w:i w:val="0"/>
                <w:iCs w:val="0"/>
                <w:color w:val="000000"/>
                <w:sz w:val="22"/>
                <w:szCs w:val="22"/>
                <w:u w:val="none"/>
              </w:rPr>
            </w:pPr>
          </w:p>
        </w:tc>
        <w:tc>
          <w:tcPr>
            <w:tcW w:w="3240" w:type="dxa"/>
            <w:vMerge w:val="continue"/>
            <w:tcBorders>
              <w:top w:val="nil"/>
              <w:left w:val="nil"/>
              <w:bottom w:val="single" w:color="000000" w:sz="4" w:space="0"/>
              <w:right w:val="single" w:color="000000" w:sz="4" w:space="0"/>
            </w:tcBorders>
            <w:shd w:val="clear" w:color="auto" w:fill="auto"/>
            <w:vAlign w:val="center"/>
          </w:tcPr>
          <w:p w14:paraId="63DAA198">
            <w:pPr>
              <w:jc w:val="center"/>
              <w:rPr>
                <w:rFonts w:hint="eastAsia" w:ascii="宋体" w:hAnsi="宋体" w:eastAsia="宋体" w:cs="宋体"/>
                <w:i w:val="0"/>
                <w:iCs w:val="0"/>
                <w:color w:val="000000"/>
                <w:sz w:val="22"/>
                <w:szCs w:val="22"/>
                <w:u w:val="none"/>
              </w:rPr>
            </w:pPr>
          </w:p>
        </w:tc>
      </w:tr>
      <w:tr w14:paraId="5532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20" w:type="dxa"/>
            <w:gridSpan w:val="4"/>
            <w:tcBorders>
              <w:top w:val="nil"/>
              <w:left w:val="single" w:color="000000" w:sz="4" w:space="0"/>
              <w:bottom w:val="single" w:color="000000" w:sz="4" w:space="0"/>
              <w:right w:val="single" w:color="000000" w:sz="4" w:space="0"/>
            </w:tcBorders>
            <w:shd w:val="clear" w:color="auto" w:fill="auto"/>
            <w:vAlign w:val="center"/>
          </w:tcPr>
          <w:p w14:paraId="654E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16" w:type="dxa"/>
            <w:tcBorders>
              <w:top w:val="nil"/>
              <w:left w:val="nil"/>
              <w:bottom w:val="single" w:color="000000" w:sz="4" w:space="0"/>
              <w:right w:val="single" w:color="000000" w:sz="4" w:space="0"/>
            </w:tcBorders>
            <w:shd w:val="clear" w:color="auto" w:fill="auto"/>
            <w:vAlign w:val="center"/>
          </w:tcPr>
          <w:p w14:paraId="3CD0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5" w:type="dxa"/>
            <w:tcBorders>
              <w:top w:val="nil"/>
              <w:left w:val="nil"/>
              <w:bottom w:val="single" w:color="000000" w:sz="4" w:space="0"/>
              <w:right w:val="single" w:color="000000" w:sz="4" w:space="0"/>
            </w:tcBorders>
            <w:shd w:val="clear" w:color="auto" w:fill="auto"/>
            <w:vAlign w:val="center"/>
          </w:tcPr>
          <w:p w14:paraId="2A75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40" w:type="dxa"/>
            <w:tcBorders>
              <w:top w:val="nil"/>
              <w:left w:val="nil"/>
              <w:bottom w:val="single" w:color="000000" w:sz="4" w:space="0"/>
              <w:right w:val="single" w:color="000000" w:sz="4" w:space="0"/>
            </w:tcBorders>
            <w:shd w:val="clear" w:color="auto" w:fill="auto"/>
            <w:vAlign w:val="center"/>
          </w:tcPr>
          <w:p w14:paraId="5C52A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9D4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20" w:type="dxa"/>
            <w:gridSpan w:val="4"/>
            <w:tcBorders>
              <w:top w:val="nil"/>
              <w:left w:val="single" w:color="000000" w:sz="4" w:space="0"/>
              <w:bottom w:val="single" w:color="000000" w:sz="4" w:space="0"/>
              <w:right w:val="single" w:color="000000" w:sz="4" w:space="0"/>
            </w:tcBorders>
            <w:shd w:val="clear" w:color="auto" w:fill="auto"/>
            <w:vAlign w:val="center"/>
          </w:tcPr>
          <w:p w14:paraId="264B4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41" w:type="dxa"/>
            <w:gridSpan w:val="3"/>
            <w:tcBorders>
              <w:top w:val="nil"/>
              <w:left w:val="nil"/>
              <w:bottom w:val="single" w:color="000000" w:sz="4" w:space="0"/>
              <w:right w:val="single" w:color="000000" w:sz="4" w:space="0"/>
            </w:tcBorders>
            <w:shd w:val="clear" w:color="auto" w:fill="auto"/>
            <w:vAlign w:val="center"/>
          </w:tcPr>
          <w:p w14:paraId="0E98D2A4">
            <w:pPr>
              <w:jc w:val="center"/>
              <w:rPr>
                <w:rFonts w:hint="eastAsia" w:ascii="宋体" w:hAnsi="宋体" w:eastAsia="宋体" w:cs="宋体"/>
                <w:b/>
                <w:bCs/>
                <w:i w:val="0"/>
                <w:iCs w:val="0"/>
                <w:color w:val="000000"/>
                <w:sz w:val="22"/>
                <w:szCs w:val="22"/>
                <w:u w:val="none"/>
              </w:rPr>
            </w:pPr>
            <w:r>
              <w:rPr>
                <w:rFonts w:ascii="楷体" w:hAnsi="楷体" w:eastAsia="楷体" w:cs="楷体"/>
                <w:b/>
                <w:bCs/>
                <w:i w:val="0"/>
                <w:iCs w:val="0"/>
                <w:color w:val="000000"/>
                <w:kern w:val="0"/>
                <w:sz w:val="24"/>
                <w:szCs w:val="24"/>
                <w:u w:val="none"/>
                <w:lang w:val="en-US" w:eastAsia="zh-CN" w:bidi="ar"/>
              </w:rPr>
              <w:t>我单位没有使用国有资本经营预算安排的支出，故本表无数据。</w:t>
            </w:r>
          </w:p>
        </w:tc>
      </w:tr>
      <w:tr w14:paraId="2241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30906D72">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46B3672A">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393929B6">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7024AD4C">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3B04E5F9">
            <w:pPr>
              <w:jc w:val="right"/>
              <w:rPr>
                <w:rFonts w:hint="eastAsia" w:ascii="宋体" w:hAnsi="宋体" w:eastAsia="宋体" w:cs="宋体"/>
                <w:i w:val="0"/>
                <w:iCs w:val="0"/>
                <w:color w:val="000000"/>
                <w:sz w:val="22"/>
                <w:szCs w:val="22"/>
                <w:u w:val="none"/>
              </w:rPr>
            </w:pPr>
          </w:p>
        </w:tc>
      </w:tr>
      <w:tr w14:paraId="1041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516E7611">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260A3BB7">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22A7F160">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39DA89B1">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2B2C6A8E">
            <w:pPr>
              <w:jc w:val="right"/>
              <w:rPr>
                <w:rFonts w:hint="eastAsia" w:ascii="宋体" w:hAnsi="宋体" w:eastAsia="宋体" w:cs="宋体"/>
                <w:i w:val="0"/>
                <w:iCs w:val="0"/>
                <w:color w:val="000000"/>
                <w:sz w:val="22"/>
                <w:szCs w:val="22"/>
                <w:u w:val="none"/>
              </w:rPr>
            </w:pPr>
          </w:p>
        </w:tc>
      </w:tr>
      <w:tr w14:paraId="338C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23FF5F13">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7BC8948B">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1550C0CE">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7DFE0B6C">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695FA1BB">
            <w:pPr>
              <w:jc w:val="right"/>
              <w:rPr>
                <w:rFonts w:hint="eastAsia" w:ascii="宋体" w:hAnsi="宋体" w:eastAsia="宋体" w:cs="宋体"/>
                <w:i w:val="0"/>
                <w:iCs w:val="0"/>
                <w:color w:val="000000"/>
                <w:sz w:val="22"/>
                <w:szCs w:val="22"/>
                <w:u w:val="none"/>
              </w:rPr>
            </w:pPr>
          </w:p>
        </w:tc>
      </w:tr>
      <w:tr w14:paraId="3275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5EEB6D10">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01E77B00">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56030D23">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1ED6805D">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0B1078FF">
            <w:pPr>
              <w:jc w:val="right"/>
              <w:rPr>
                <w:rFonts w:hint="eastAsia" w:ascii="宋体" w:hAnsi="宋体" w:eastAsia="宋体" w:cs="宋体"/>
                <w:i w:val="0"/>
                <w:iCs w:val="0"/>
                <w:color w:val="000000"/>
                <w:sz w:val="22"/>
                <w:szCs w:val="22"/>
                <w:u w:val="none"/>
              </w:rPr>
            </w:pPr>
          </w:p>
        </w:tc>
      </w:tr>
      <w:tr w14:paraId="5FCF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56A29700">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06A473F4">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10F18652">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37C61209">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36B598CC">
            <w:pPr>
              <w:jc w:val="right"/>
              <w:rPr>
                <w:rFonts w:hint="eastAsia" w:ascii="宋体" w:hAnsi="宋体" w:eastAsia="宋体" w:cs="宋体"/>
                <w:i w:val="0"/>
                <w:iCs w:val="0"/>
                <w:color w:val="000000"/>
                <w:sz w:val="22"/>
                <w:szCs w:val="22"/>
                <w:u w:val="none"/>
              </w:rPr>
            </w:pPr>
          </w:p>
        </w:tc>
      </w:tr>
      <w:tr w14:paraId="2971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34" w:type="dxa"/>
            <w:gridSpan w:val="3"/>
            <w:tcBorders>
              <w:top w:val="nil"/>
              <w:left w:val="single" w:color="000000" w:sz="4" w:space="0"/>
              <w:bottom w:val="single" w:color="000000" w:sz="4" w:space="0"/>
              <w:right w:val="single" w:color="000000" w:sz="4" w:space="0"/>
            </w:tcBorders>
            <w:shd w:val="clear" w:color="auto" w:fill="auto"/>
            <w:vAlign w:val="center"/>
          </w:tcPr>
          <w:p w14:paraId="08DCE44B">
            <w:pPr>
              <w:jc w:val="left"/>
              <w:rPr>
                <w:rFonts w:hint="eastAsia" w:ascii="宋体" w:hAnsi="宋体" w:eastAsia="宋体" w:cs="宋体"/>
                <w:i w:val="0"/>
                <w:iCs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vAlign w:val="center"/>
          </w:tcPr>
          <w:p w14:paraId="1DC6C269">
            <w:pPr>
              <w:jc w:val="left"/>
              <w:rPr>
                <w:rFonts w:hint="eastAsia" w:ascii="宋体" w:hAnsi="宋体" w:eastAsia="宋体" w:cs="宋体"/>
                <w:i w:val="0"/>
                <w:iCs w:val="0"/>
                <w:color w:val="000000"/>
                <w:sz w:val="22"/>
                <w:szCs w:val="22"/>
                <w:u w:val="none"/>
              </w:rPr>
            </w:pPr>
          </w:p>
        </w:tc>
        <w:tc>
          <w:tcPr>
            <w:tcW w:w="2116" w:type="dxa"/>
            <w:tcBorders>
              <w:top w:val="nil"/>
              <w:left w:val="nil"/>
              <w:bottom w:val="single" w:color="000000" w:sz="4" w:space="0"/>
              <w:right w:val="single" w:color="000000" w:sz="4" w:space="0"/>
            </w:tcBorders>
            <w:shd w:val="clear" w:color="auto" w:fill="auto"/>
            <w:vAlign w:val="center"/>
          </w:tcPr>
          <w:p w14:paraId="651C5E92">
            <w:pPr>
              <w:jc w:val="right"/>
              <w:rPr>
                <w:rFonts w:hint="eastAsia" w:ascii="宋体" w:hAnsi="宋体" w:eastAsia="宋体" w:cs="宋体"/>
                <w:i w:val="0"/>
                <w:iCs w:val="0"/>
                <w:color w:val="000000"/>
                <w:sz w:val="22"/>
                <w:szCs w:val="22"/>
                <w:u w:val="none"/>
              </w:rPr>
            </w:pPr>
          </w:p>
        </w:tc>
        <w:tc>
          <w:tcPr>
            <w:tcW w:w="1885" w:type="dxa"/>
            <w:tcBorders>
              <w:top w:val="nil"/>
              <w:left w:val="nil"/>
              <w:bottom w:val="single" w:color="000000" w:sz="4" w:space="0"/>
              <w:right w:val="single" w:color="000000" w:sz="4" w:space="0"/>
            </w:tcBorders>
            <w:shd w:val="clear" w:color="auto" w:fill="auto"/>
            <w:vAlign w:val="center"/>
          </w:tcPr>
          <w:p w14:paraId="59BCFACD">
            <w:pPr>
              <w:jc w:val="right"/>
              <w:rPr>
                <w:rFonts w:hint="eastAsia" w:ascii="宋体" w:hAnsi="宋体" w:eastAsia="宋体" w:cs="宋体"/>
                <w:i w:val="0"/>
                <w:iCs w:val="0"/>
                <w:color w:val="000000"/>
                <w:sz w:val="22"/>
                <w:szCs w:val="22"/>
                <w:u w:val="none"/>
              </w:rPr>
            </w:pPr>
          </w:p>
        </w:tc>
        <w:tc>
          <w:tcPr>
            <w:tcW w:w="3240" w:type="dxa"/>
            <w:tcBorders>
              <w:top w:val="nil"/>
              <w:left w:val="nil"/>
              <w:bottom w:val="single" w:color="000000" w:sz="4" w:space="0"/>
              <w:right w:val="single" w:color="000000" w:sz="4" w:space="0"/>
            </w:tcBorders>
            <w:shd w:val="clear" w:color="auto" w:fill="auto"/>
            <w:vAlign w:val="center"/>
          </w:tcPr>
          <w:p w14:paraId="0ABCBCDA">
            <w:pPr>
              <w:jc w:val="right"/>
              <w:rPr>
                <w:rFonts w:hint="eastAsia" w:ascii="宋体" w:hAnsi="宋体" w:eastAsia="宋体" w:cs="宋体"/>
                <w:i w:val="0"/>
                <w:iCs w:val="0"/>
                <w:color w:val="000000"/>
                <w:sz w:val="22"/>
                <w:szCs w:val="22"/>
                <w:u w:val="none"/>
              </w:rPr>
            </w:pPr>
          </w:p>
        </w:tc>
      </w:tr>
      <w:tr w14:paraId="3629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61" w:type="dxa"/>
            <w:gridSpan w:val="7"/>
            <w:tcBorders>
              <w:top w:val="nil"/>
              <w:left w:val="nil"/>
              <w:bottom w:val="nil"/>
              <w:right w:val="nil"/>
            </w:tcBorders>
            <w:shd w:val="clear" w:color="auto" w:fill="auto"/>
            <w:vAlign w:val="center"/>
          </w:tcPr>
          <w:p w14:paraId="3F37C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66BF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61" w:type="dxa"/>
            <w:gridSpan w:val="7"/>
            <w:tcBorders>
              <w:top w:val="nil"/>
              <w:left w:val="nil"/>
              <w:bottom w:val="nil"/>
              <w:right w:val="nil"/>
            </w:tcBorders>
            <w:shd w:val="clear" w:color="auto" w:fill="auto"/>
            <w:vAlign w:val="center"/>
          </w:tcPr>
          <w:p w14:paraId="3D546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楷体" w:hAnsi="楷体" w:eastAsia="楷体" w:cs="楷体"/>
                <w:b/>
                <w:bCs/>
                <w:i w:val="0"/>
                <w:iCs w:val="0"/>
                <w:color w:val="000000"/>
                <w:kern w:val="0"/>
                <w:sz w:val="24"/>
                <w:szCs w:val="24"/>
                <w:u w:val="none"/>
                <w:lang w:val="en-US" w:eastAsia="zh-CN" w:bidi="ar"/>
              </w:rPr>
              <w:t>说明：我单位没有使用国有资本经营预算安排的支出，故本表无数据。</w:t>
            </w:r>
          </w:p>
        </w:tc>
      </w:tr>
    </w:tbl>
    <w:p w14:paraId="6AD4389C">
      <w:pPr>
        <w:widowControl/>
        <w:jc w:val="center"/>
        <w:rPr>
          <w:rFonts w:hint="eastAsia" w:ascii="Times New Roman" w:hAnsi="Times New Roman" w:eastAsia="方正小标宋_GBK" w:cs="Times New Roman"/>
          <w:color w:val="000000"/>
          <w:kern w:val="0"/>
          <w:sz w:val="36"/>
          <w:szCs w:val="36"/>
        </w:rPr>
      </w:pPr>
    </w:p>
    <w:p w14:paraId="2DB825C4">
      <w:pPr>
        <w:widowControl/>
        <w:jc w:val="center"/>
        <w:rPr>
          <w:rFonts w:hint="eastAsia" w:ascii="Times New Roman" w:hAnsi="Times New Roman" w:eastAsia="方正小标宋_GBK" w:cs="Times New Roman"/>
          <w:color w:val="000000"/>
          <w:kern w:val="0"/>
          <w:sz w:val="36"/>
          <w:szCs w:val="36"/>
        </w:rPr>
      </w:pPr>
    </w:p>
    <w:p w14:paraId="23E8122A">
      <w:pPr>
        <w:widowControl/>
        <w:jc w:val="center"/>
        <w:rPr>
          <w:rFonts w:hint="eastAsia" w:ascii="Times New Roman" w:hAnsi="Times New Roman" w:eastAsia="方正小标宋_GBK" w:cs="Times New Roman"/>
          <w:color w:val="000000"/>
          <w:kern w:val="0"/>
          <w:sz w:val="36"/>
          <w:szCs w:val="36"/>
        </w:rPr>
      </w:pPr>
    </w:p>
    <w:p w14:paraId="6566D228">
      <w:pPr>
        <w:widowControl/>
        <w:jc w:val="center"/>
        <w:rPr>
          <w:rFonts w:hint="eastAsia" w:ascii="Times New Roman" w:hAnsi="Times New Roman" w:eastAsia="方正小标宋_GBK" w:cs="Times New Roman"/>
          <w:color w:val="000000"/>
          <w:kern w:val="0"/>
          <w:sz w:val="36"/>
          <w:szCs w:val="36"/>
        </w:rPr>
      </w:pPr>
    </w:p>
    <w:p w14:paraId="6F789F5A">
      <w:pPr>
        <w:widowControl/>
        <w:jc w:val="center"/>
        <w:rPr>
          <w:rFonts w:hint="eastAsia" w:ascii="Times New Roman" w:hAnsi="Times New Roman" w:eastAsia="方正小标宋_GBK" w:cs="Times New Roman"/>
          <w:color w:val="000000"/>
          <w:kern w:val="0"/>
          <w:sz w:val="36"/>
          <w:szCs w:val="36"/>
        </w:rPr>
      </w:pPr>
    </w:p>
    <w:p w14:paraId="026266FC">
      <w:pPr>
        <w:widowControl/>
        <w:jc w:val="center"/>
        <w:rPr>
          <w:rFonts w:hint="eastAsia" w:ascii="Times New Roman" w:hAnsi="Times New Roman" w:eastAsia="方正小标宋_GBK" w:cs="Times New Roman"/>
          <w:color w:val="000000"/>
          <w:kern w:val="0"/>
          <w:sz w:val="36"/>
          <w:szCs w:val="36"/>
        </w:rPr>
      </w:pPr>
    </w:p>
    <w:p w14:paraId="0DFF0F3E">
      <w:pPr>
        <w:widowControl/>
        <w:jc w:val="center"/>
        <w:rPr>
          <w:rFonts w:hint="eastAsia" w:ascii="Times New Roman" w:hAnsi="Times New Roman" w:eastAsia="方正小标宋_GBK" w:cs="Times New Roman"/>
          <w:color w:val="000000"/>
          <w:kern w:val="0"/>
          <w:sz w:val="36"/>
          <w:szCs w:val="36"/>
        </w:rPr>
      </w:pPr>
    </w:p>
    <w:tbl>
      <w:tblPr>
        <w:tblStyle w:val="11"/>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6"/>
        <w:gridCol w:w="1410"/>
        <w:gridCol w:w="849"/>
        <w:gridCol w:w="914"/>
        <w:gridCol w:w="975"/>
        <w:gridCol w:w="859"/>
        <w:gridCol w:w="896"/>
        <w:gridCol w:w="1185"/>
        <w:gridCol w:w="1007"/>
        <w:gridCol w:w="882"/>
        <w:gridCol w:w="1007"/>
        <w:gridCol w:w="1616"/>
      </w:tblGrid>
      <w:tr w14:paraId="5FF6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16" w:type="dxa"/>
            <w:gridSpan w:val="12"/>
            <w:tcBorders>
              <w:top w:val="nil"/>
              <w:left w:val="nil"/>
              <w:bottom w:val="nil"/>
              <w:right w:val="nil"/>
            </w:tcBorders>
            <w:shd w:val="clear" w:color="auto" w:fill="auto"/>
            <w:vAlign w:val="bottom"/>
          </w:tcPr>
          <w:p w14:paraId="68EEBDCC">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1715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416" w:type="dxa"/>
            <w:tcBorders>
              <w:top w:val="nil"/>
              <w:left w:val="nil"/>
              <w:bottom w:val="nil"/>
              <w:right w:val="nil"/>
            </w:tcBorders>
            <w:shd w:val="clear" w:color="auto" w:fill="auto"/>
            <w:vAlign w:val="bottom"/>
          </w:tcPr>
          <w:p w14:paraId="22351857">
            <w:pPr>
              <w:rPr>
                <w:rFonts w:hint="eastAsia" w:ascii="Arial" w:hAnsi="Arial" w:cs="Arial"/>
                <w:i w:val="0"/>
                <w:iCs w:val="0"/>
                <w:color w:val="000000"/>
                <w:sz w:val="20"/>
                <w:szCs w:val="20"/>
                <w:u w:val="none"/>
              </w:rPr>
            </w:pPr>
          </w:p>
        </w:tc>
        <w:tc>
          <w:tcPr>
            <w:tcW w:w="1410" w:type="dxa"/>
            <w:tcBorders>
              <w:top w:val="nil"/>
              <w:left w:val="nil"/>
              <w:bottom w:val="nil"/>
              <w:right w:val="nil"/>
            </w:tcBorders>
            <w:shd w:val="clear" w:color="auto" w:fill="auto"/>
            <w:vAlign w:val="bottom"/>
          </w:tcPr>
          <w:p w14:paraId="60CB6BF4">
            <w:pPr>
              <w:rPr>
                <w:rFonts w:hint="default" w:ascii="Arial" w:hAnsi="Arial" w:cs="Arial"/>
                <w:i w:val="0"/>
                <w:iCs w:val="0"/>
                <w:color w:val="000000"/>
                <w:sz w:val="20"/>
                <w:szCs w:val="20"/>
                <w:u w:val="none"/>
              </w:rPr>
            </w:pPr>
          </w:p>
        </w:tc>
        <w:tc>
          <w:tcPr>
            <w:tcW w:w="849" w:type="dxa"/>
            <w:tcBorders>
              <w:top w:val="nil"/>
              <w:left w:val="nil"/>
              <w:bottom w:val="nil"/>
              <w:right w:val="nil"/>
            </w:tcBorders>
            <w:shd w:val="clear" w:color="auto" w:fill="auto"/>
            <w:vAlign w:val="bottom"/>
          </w:tcPr>
          <w:p w14:paraId="2F173CEB">
            <w:pPr>
              <w:rPr>
                <w:rFonts w:hint="default" w:ascii="Arial" w:hAnsi="Arial" w:cs="Arial"/>
                <w:i w:val="0"/>
                <w:iCs w:val="0"/>
                <w:color w:val="000000"/>
                <w:sz w:val="20"/>
                <w:szCs w:val="20"/>
                <w:u w:val="none"/>
              </w:rPr>
            </w:pPr>
          </w:p>
        </w:tc>
        <w:tc>
          <w:tcPr>
            <w:tcW w:w="914" w:type="dxa"/>
            <w:tcBorders>
              <w:top w:val="nil"/>
              <w:left w:val="nil"/>
              <w:bottom w:val="nil"/>
              <w:right w:val="nil"/>
            </w:tcBorders>
            <w:shd w:val="clear" w:color="auto" w:fill="auto"/>
            <w:vAlign w:val="bottom"/>
          </w:tcPr>
          <w:p w14:paraId="5F9C6275">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vAlign w:val="bottom"/>
          </w:tcPr>
          <w:p w14:paraId="69DC1A05">
            <w:pPr>
              <w:rPr>
                <w:rFonts w:hint="default" w:ascii="Arial" w:hAnsi="Arial" w:cs="Arial"/>
                <w:i w:val="0"/>
                <w:iCs w:val="0"/>
                <w:color w:val="000000"/>
                <w:sz w:val="20"/>
                <w:szCs w:val="20"/>
                <w:u w:val="none"/>
              </w:rPr>
            </w:pPr>
          </w:p>
        </w:tc>
        <w:tc>
          <w:tcPr>
            <w:tcW w:w="859" w:type="dxa"/>
            <w:tcBorders>
              <w:top w:val="nil"/>
              <w:left w:val="nil"/>
              <w:bottom w:val="nil"/>
              <w:right w:val="nil"/>
            </w:tcBorders>
            <w:shd w:val="clear" w:color="auto" w:fill="auto"/>
            <w:vAlign w:val="bottom"/>
          </w:tcPr>
          <w:p w14:paraId="7C55E491">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vAlign w:val="bottom"/>
          </w:tcPr>
          <w:p w14:paraId="61CC6BB9">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vAlign w:val="bottom"/>
          </w:tcPr>
          <w:p w14:paraId="3A00CA21">
            <w:pPr>
              <w:rPr>
                <w:rFonts w:hint="default" w:ascii="Arial" w:hAnsi="Arial" w:cs="Arial"/>
                <w:i w:val="0"/>
                <w:iCs w:val="0"/>
                <w:color w:val="000000"/>
                <w:sz w:val="20"/>
                <w:szCs w:val="20"/>
                <w:u w:val="none"/>
              </w:rPr>
            </w:pPr>
          </w:p>
        </w:tc>
        <w:tc>
          <w:tcPr>
            <w:tcW w:w="1007" w:type="dxa"/>
            <w:tcBorders>
              <w:top w:val="nil"/>
              <w:left w:val="nil"/>
              <w:bottom w:val="nil"/>
              <w:right w:val="nil"/>
            </w:tcBorders>
            <w:shd w:val="clear" w:color="auto" w:fill="auto"/>
            <w:vAlign w:val="bottom"/>
          </w:tcPr>
          <w:p w14:paraId="6E24B2F5">
            <w:pPr>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vAlign w:val="bottom"/>
          </w:tcPr>
          <w:p w14:paraId="1421FA44">
            <w:pPr>
              <w:rPr>
                <w:rFonts w:hint="default" w:ascii="Arial" w:hAnsi="Arial" w:cs="Arial"/>
                <w:i w:val="0"/>
                <w:iCs w:val="0"/>
                <w:color w:val="000000"/>
                <w:sz w:val="20"/>
                <w:szCs w:val="20"/>
                <w:u w:val="none"/>
              </w:rPr>
            </w:pPr>
          </w:p>
        </w:tc>
        <w:tc>
          <w:tcPr>
            <w:tcW w:w="1007" w:type="dxa"/>
            <w:tcBorders>
              <w:top w:val="nil"/>
              <w:left w:val="nil"/>
              <w:bottom w:val="nil"/>
              <w:right w:val="nil"/>
            </w:tcBorders>
            <w:shd w:val="clear" w:color="auto" w:fill="auto"/>
            <w:vAlign w:val="bottom"/>
          </w:tcPr>
          <w:p w14:paraId="118524D5">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vAlign w:val="bottom"/>
          </w:tcPr>
          <w:p w14:paraId="045DADA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6735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416" w:type="dxa"/>
            <w:tcBorders>
              <w:top w:val="nil"/>
              <w:left w:val="nil"/>
              <w:bottom w:val="nil"/>
              <w:right w:val="nil"/>
            </w:tcBorders>
            <w:shd w:val="clear" w:color="auto" w:fill="auto"/>
            <w:vAlign w:val="bottom"/>
          </w:tcPr>
          <w:p w14:paraId="7B2E3E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部门：溆浦县乡村振兴局</w:t>
            </w:r>
          </w:p>
        </w:tc>
        <w:tc>
          <w:tcPr>
            <w:tcW w:w="1410" w:type="dxa"/>
            <w:tcBorders>
              <w:top w:val="nil"/>
              <w:left w:val="nil"/>
              <w:bottom w:val="nil"/>
              <w:right w:val="nil"/>
            </w:tcBorders>
            <w:shd w:val="clear" w:color="auto" w:fill="auto"/>
            <w:vAlign w:val="bottom"/>
          </w:tcPr>
          <w:p w14:paraId="6FB0AE68">
            <w:pPr>
              <w:rPr>
                <w:rFonts w:hint="default" w:ascii="Arial" w:hAnsi="Arial" w:cs="Arial"/>
                <w:i w:val="0"/>
                <w:iCs w:val="0"/>
                <w:color w:val="000000"/>
                <w:sz w:val="20"/>
                <w:szCs w:val="20"/>
                <w:u w:val="none"/>
              </w:rPr>
            </w:pPr>
          </w:p>
        </w:tc>
        <w:tc>
          <w:tcPr>
            <w:tcW w:w="849" w:type="dxa"/>
            <w:tcBorders>
              <w:top w:val="nil"/>
              <w:left w:val="nil"/>
              <w:bottom w:val="nil"/>
              <w:right w:val="nil"/>
            </w:tcBorders>
            <w:shd w:val="clear" w:color="auto" w:fill="auto"/>
            <w:vAlign w:val="bottom"/>
          </w:tcPr>
          <w:p w14:paraId="5F533191">
            <w:pPr>
              <w:rPr>
                <w:rFonts w:hint="default" w:ascii="Arial" w:hAnsi="Arial" w:cs="Arial"/>
                <w:i w:val="0"/>
                <w:iCs w:val="0"/>
                <w:color w:val="000000"/>
                <w:sz w:val="20"/>
                <w:szCs w:val="20"/>
                <w:u w:val="none"/>
              </w:rPr>
            </w:pPr>
          </w:p>
        </w:tc>
        <w:tc>
          <w:tcPr>
            <w:tcW w:w="914" w:type="dxa"/>
            <w:tcBorders>
              <w:top w:val="nil"/>
              <w:left w:val="nil"/>
              <w:bottom w:val="nil"/>
              <w:right w:val="nil"/>
            </w:tcBorders>
            <w:shd w:val="clear" w:color="auto" w:fill="auto"/>
            <w:vAlign w:val="bottom"/>
          </w:tcPr>
          <w:p w14:paraId="5E8C7516">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vAlign w:val="bottom"/>
          </w:tcPr>
          <w:p w14:paraId="616FA658">
            <w:pPr>
              <w:rPr>
                <w:rFonts w:hint="default" w:ascii="Arial" w:hAnsi="Arial" w:cs="Arial"/>
                <w:i w:val="0"/>
                <w:iCs w:val="0"/>
                <w:color w:val="000000"/>
                <w:sz w:val="20"/>
                <w:szCs w:val="20"/>
                <w:u w:val="none"/>
              </w:rPr>
            </w:pPr>
          </w:p>
        </w:tc>
        <w:tc>
          <w:tcPr>
            <w:tcW w:w="859" w:type="dxa"/>
            <w:tcBorders>
              <w:top w:val="nil"/>
              <w:left w:val="nil"/>
              <w:bottom w:val="nil"/>
              <w:right w:val="nil"/>
            </w:tcBorders>
            <w:shd w:val="clear" w:color="auto" w:fill="auto"/>
            <w:vAlign w:val="bottom"/>
          </w:tcPr>
          <w:p w14:paraId="23BCBFF2">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vAlign w:val="bottom"/>
          </w:tcPr>
          <w:p w14:paraId="5ECEBF84">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vAlign w:val="bottom"/>
          </w:tcPr>
          <w:p w14:paraId="292A3829">
            <w:pPr>
              <w:rPr>
                <w:rFonts w:hint="default" w:ascii="Arial" w:hAnsi="Arial" w:cs="Arial"/>
                <w:i w:val="0"/>
                <w:iCs w:val="0"/>
                <w:color w:val="000000"/>
                <w:sz w:val="20"/>
                <w:szCs w:val="20"/>
                <w:u w:val="none"/>
              </w:rPr>
            </w:pPr>
          </w:p>
        </w:tc>
        <w:tc>
          <w:tcPr>
            <w:tcW w:w="1007" w:type="dxa"/>
            <w:tcBorders>
              <w:top w:val="nil"/>
              <w:left w:val="nil"/>
              <w:bottom w:val="nil"/>
              <w:right w:val="nil"/>
            </w:tcBorders>
            <w:shd w:val="clear" w:color="auto" w:fill="auto"/>
            <w:vAlign w:val="bottom"/>
          </w:tcPr>
          <w:p w14:paraId="17397020">
            <w:pPr>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vAlign w:val="bottom"/>
          </w:tcPr>
          <w:p w14:paraId="10826054">
            <w:pPr>
              <w:rPr>
                <w:rFonts w:hint="default" w:ascii="Arial" w:hAnsi="Arial" w:cs="Arial"/>
                <w:i w:val="0"/>
                <w:iCs w:val="0"/>
                <w:color w:val="000000"/>
                <w:sz w:val="20"/>
                <w:szCs w:val="20"/>
                <w:u w:val="none"/>
              </w:rPr>
            </w:pPr>
          </w:p>
        </w:tc>
        <w:tc>
          <w:tcPr>
            <w:tcW w:w="1007" w:type="dxa"/>
            <w:tcBorders>
              <w:top w:val="nil"/>
              <w:left w:val="nil"/>
              <w:bottom w:val="nil"/>
              <w:right w:val="nil"/>
            </w:tcBorders>
            <w:shd w:val="clear" w:color="auto" w:fill="auto"/>
            <w:vAlign w:val="bottom"/>
          </w:tcPr>
          <w:p w14:paraId="496AA3EC">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vAlign w:val="bottom"/>
          </w:tcPr>
          <w:p w14:paraId="7C68C1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9A4B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23" w:type="dxa"/>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14:paraId="6D2E8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93" w:type="dxa"/>
            <w:gridSpan w:val="6"/>
            <w:tcBorders>
              <w:top w:val="single" w:color="000000" w:sz="4" w:space="0"/>
              <w:left w:val="nil"/>
              <w:bottom w:val="single" w:color="000000" w:sz="4" w:space="0"/>
              <w:right w:val="single" w:color="000000" w:sz="4" w:space="0"/>
            </w:tcBorders>
            <w:shd w:val="clear" w:color="FFFFFF" w:fill="auto"/>
            <w:vAlign w:val="center"/>
          </w:tcPr>
          <w:p w14:paraId="553EF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520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16" w:type="dxa"/>
            <w:vMerge w:val="restart"/>
            <w:tcBorders>
              <w:top w:val="nil"/>
              <w:left w:val="single" w:color="000000" w:sz="4" w:space="0"/>
              <w:bottom w:val="single" w:color="000000" w:sz="4" w:space="0"/>
              <w:right w:val="single" w:color="000000" w:sz="4" w:space="0"/>
            </w:tcBorders>
            <w:shd w:val="clear" w:color="FFFFFF" w:fill="auto"/>
            <w:vAlign w:val="center"/>
          </w:tcPr>
          <w:p w14:paraId="02556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auto"/>
            <w:vAlign w:val="center"/>
          </w:tcPr>
          <w:p w14:paraId="195F3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738" w:type="dxa"/>
            <w:gridSpan w:val="3"/>
            <w:tcBorders>
              <w:top w:val="nil"/>
              <w:left w:val="nil"/>
              <w:bottom w:val="single" w:color="000000" w:sz="4" w:space="0"/>
              <w:right w:val="single" w:color="000000" w:sz="4" w:space="0"/>
            </w:tcBorders>
            <w:shd w:val="clear" w:color="FFFFFF" w:fill="auto"/>
            <w:vAlign w:val="center"/>
          </w:tcPr>
          <w:p w14:paraId="0E7E7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59" w:type="dxa"/>
            <w:vMerge w:val="restart"/>
            <w:tcBorders>
              <w:top w:val="nil"/>
              <w:left w:val="nil"/>
              <w:bottom w:val="single" w:color="000000" w:sz="4" w:space="0"/>
              <w:right w:val="single" w:color="000000" w:sz="4" w:space="0"/>
            </w:tcBorders>
            <w:shd w:val="clear" w:color="FFFFFF" w:fill="auto"/>
            <w:vAlign w:val="center"/>
          </w:tcPr>
          <w:p w14:paraId="1C365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96" w:type="dxa"/>
            <w:vMerge w:val="restart"/>
            <w:tcBorders>
              <w:top w:val="nil"/>
              <w:left w:val="nil"/>
              <w:bottom w:val="single" w:color="000000" w:sz="4" w:space="0"/>
              <w:right w:val="single" w:color="000000" w:sz="4" w:space="0"/>
            </w:tcBorders>
            <w:shd w:val="clear" w:color="FFFFFF" w:fill="auto"/>
            <w:vAlign w:val="center"/>
          </w:tcPr>
          <w:p w14:paraId="65BAB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nil"/>
              <w:left w:val="nil"/>
              <w:bottom w:val="single" w:color="000000" w:sz="4" w:space="0"/>
              <w:right w:val="single" w:color="000000" w:sz="4" w:space="0"/>
            </w:tcBorders>
            <w:shd w:val="clear" w:color="FFFFFF" w:fill="auto"/>
            <w:vAlign w:val="center"/>
          </w:tcPr>
          <w:p w14:paraId="55B3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896" w:type="dxa"/>
            <w:gridSpan w:val="3"/>
            <w:tcBorders>
              <w:top w:val="nil"/>
              <w:left w:val="nil"/>
              <w:bottom w:val="single" w:color="000000" w:sz="4" w:space="0"/>
              <w:right w:val="single" w:color="000000" w:sz="4" w:space="0"/>
            </w:tcBorders>
            <w:shd w:val="clear" w:color="FFFFFF" w:fill="auto"/>
            <w:vAlign w:val="center"/>
          </w:tcPr>
          <w:p w14:paraId="5A4D2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auto"/>
            <w:vAlign w:val="center"/>
          </w:tcPr>
          <w:p w14:paraId="0C83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509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16" w:type="dxa"/>
            <w:vMerge w:val="continue"/>
            <w:tcBorders>
              <w:top w:val="nil"/>
              <w:left w:val="single" w:color="000000" w:sz="4" w:space="0"/>
              <w:bottom w:val="single" w:color="000000" w:sz="4" w:space="0"/>
              <w:right w:val="single" w:color="000000" w:sz="4" w:space="0"/>
            </w:tcBorders>
            <w:shd w:val="clear" w:color="FFFFFF" w:fill="auto"/>
            <w:vAlign w:val="center"/>
          </w:tcPr>
          <w:p w14:paraId="77583998">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auto"/>
            <w:vAlign w:val="center"/>
          </w:tcPr>
          <w:p w14:paraId="7FDB47E4">
            <w:pPr>
              <w:jc w:val="center"/>
              <w:rPr>
                <w:rFonts w:hint="eastAsia" w:ascii="宋体" w:hAnsi="宋体" w:eastAsia="宋体" w:cs="宋体"/>
                <w:i w:val="0"/>
                <w:iCs w:val="0"/>
                <w:color w:val="000000"/>
                <w:sz w:val="22"/>
                <w:szCs w:val="22"/>
                <w:u w:val="none"/>
              </w:rPr>
            </w:pPr>
          </w:p>
        </w:tc>
        <w:tc>
          <w:tcPr>
            <w:tcW w:w="849" w:type="dxa"/>
            <w:tcBorders>
              <w:top w:val="nil"/>
              <w:left w:val="nil"/>
              <w:bottom w:val="single" w:color="000000" w:sz="4" w:space="0"/>
              <w:right w:val="single" w:color="000000" w:sz="4" w:space="0"/>
            </w:tcBorders>
            <w:shd w:val="clear" w:color="FFFFFF" w:fill="auto"/>
            <w:vAlign w:val="center"/>
          </w:tcPr>
          <w:p w14:paraId="18F3F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4" w:type="dxa"/>
            <w:tcBorders>
              <w:top w:val="nil"/>
              <w:left w:val="nil"/>
              <w:bottom w:val="single" w:color="000000" w:sz="4" w:space="0"/>
              <w:right w:val="single" w:color="000000" w:sz="4" w:space="0"/>
            </w:tcBorders>
            <w:shd w:val="clear" w:color="FFFFFF" w:fill="auto"/>
            <w:vAlign w:val="center"/>
          </w:tcPr>
          <w:p w14:paraId="21CAF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75" w:type="dxa"/>
            <w:tcBorders>
              <w:top w:val="nil"/>
              <w:left w:val="nil"/>
              <w:bottom w:val="single" w:color="000000" w:sz="4" w:space="0"/>
              <w:right w:val="single" w:color="000000" w:sz="4" w:space="0"/>
            </w:tcBorders>
            <w:shd w:val="clear" w:color="FFFFFF" w:fill="auto"/>
            <w:vAlign w:val="center"/>
          </w:tcPr>
          <w:p w14:paraId="29441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59" w:type="dxa"/>
            <w:vMerge w:val="continue"/>
            <w:tcBorders>
              <w:top w:val="nil"/>
              <w:left w:val="nil"/>
              <w:bottom w:val="single" w:color="000000" w:sz="4" w:space="0"/>
              <w:right w:val="single" w:color="000000" w:sz="4" w:space="0"/>
            </w:tcBorders>
            <w:shd w:val="clear" w:color="FFFFFF" w:fill="auto"/>
            <w:vAlign w:val="center"/>
          </w:tcPr>
          <w:p w14:paraId="37093A37">
            <w:pPr>
              <w:jc w:val="center"/>
              <w:rPr>
                <w:rFonts w:hint="eastAsia" w:ascii="宋体" w:hAnsi="宋体" w:eastAsia="宋体" w:cs="宋体"/>
                <w:i w:val="0"/>
                <w:iCs w:val="0"/>
                <w:color w:val="000000"/>
                <w:sz w:val="22"/>
                <w:szCs w:val="22"/>
                <w:u w:val="none"/>
              </w:rPr>
            </w:pPr>
          </w:p>
        </w:tc>
        <w:tc>
          <w:tcPr>
            <w:tcW w:w="896" w:type="dxa"/>
            <w:vMerge w:val="continue"/>
            <w:tcBorders>
              <w:top w:val="nil"/>
              <w:left w:val="nil"/>
              <w:bottom w:val="single" w:color="000000" w:sz="4" w:space="0"/>
              <w:right w:val="single" w:color="000000" w:sz="4" w:space="0"/>
            </w:tcBorders>
            <w:shd w:val="clear" w:color="FFFFFF" w:fill="auto"/>
            <w:vAlign w:val="center"/>
          </w:tcPr>
          <w:p w14:paraId="040D2933">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auto"/>
            <w:vAlign w:val="center"/>
          </w:tcPr>
          <w:p w14:paraId="33E279B2">
            <w:pPr>
              <w:jc w:val="center"/>
              <w:rPr>
                <w:rFonts w:hint="eastAsia" w:ascii="宋体" w:hAnsi="宋体" w:eastAsia="宋体" w:cs="宋体"/>
                <w:i w:val="0"/>
                <w:iCs w:val="0"/>
                <w:color w:val="000000"/>
                <w:sz w:val="22"/>
                <w:szCs w:val="22"/>
                <w:u w:val="none"/>
              </w:rPr>
            </w:pPr>
          </w:p>
        </w:tc>
        <w:tc>
          <w:tcPr>
            <w:tcW w:w="1007" w:type="dxa"/>
            <w:tcBorders>
              <w:top w:val="nil"/>
              <w:left w:val="nil"/>
              <w:bottom w:val="single" w:color="000000" w:sz="4" w:space="0"/>
              <w:right w:val="single" w:color="000000" w:sz="4" w:space="0"/>
            </w:tcBorders>
            <w:shd w:val="clear" w:color="FFFFFF" w:fill="auto"/>
            <w:vAlign w:val="center"/>
          </w:tcPr>
          <w:p w14:paraId="2CDC0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82" w:type="dxa"/>
            <w:tcBorders>
              <w:top w:val="nil"/>
              <w:left w:val="nil"/>
              <w:bottom w:val="single" w:color="000000" w:sz="4" w:space="0"/>
              <w:right w:val="single" w:color="000000" w:sz="4" w:space="0"/>
            </w:tcBorders>
            <w:shd w:val="clear" w:color="FFFFFF" w:fill="auto"/>
            <w:vAlign w:val="center"/>
          </w:tcPr>
          <w:p w14:paraId="45A3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07" w:type="dxa"/>
            <w:tcBorders>
              <w:top w:val="nil"/>
              <w:left w:val="nil"/>
              <w:bottom w:val="single" w:color="000000" w:sz="4" w:space="0"/>
              <w:right w:val="single" w:color="000000" w:sz="4" w:space="0"/>
            </w:tcBorders>
            <w:shd w:val="clear" w:color="FFFFFF" w:fill="auto"/>
            <w:vAlign w:val="center"/>
          </w:tcPr>
          <w:p w14:paraId="328AD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auto"/>
            <w:vAlign w:val="center"/>
          </w:tcPr>
          <w:p w14:paraId="7B5434C2">
            <w:pPr>
              <w:jc w:val="center"/>
              <w:rPr>
                <w:rFonts w:hint="eastAsia" w:ascii="宋体" w:hAnsi="宋体" w:eastAsia="宋体" w:cs="宋体"/>
                <w:i w:val="0"/>
                <w:iCs w:val="0"/>
                <w:color w:val="000000"/>
                <w:sz w:val="22"/>
                <w:szCs w:val="22"/>
                <w:u w:val="none"/>
              </w:rPr>
            </w:pPr>
          </w:p>
        </w:tc>
      </w:tr>
      <w:tr w14:paraId="3371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16" w:type="dxa"/>
            <w:tcBorders>
              <w:top w:val="nil"/>
              <w:left w:val="single" w:color="000000" w:sz="4" w:space="0"/>
              <w:bottom w:val="single" w:color="000000" w:sz="4" w:space="0"/>
              <w:right w:val="single" w:color="000000" w:sz="4" w:space="0"/>
            </w:tcBorders>
            <w:shd w:val="clear" w:color="FFFFFF" w:fill="auto"/>
            <w:vAlign w:val="center"/>
          </w:tcPr>
          <w:p w14:paraId="540F8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auto"/>
            <w:vAlign w:val="center"/>
          </w:tcPr>
          <w:p w14:paraId="1AD3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9" w:type="dxa"/>
            <w:tcBorders>
              <w:top w:val="nil"/>
              <w:left w:val="nil"/>
              <w:bottom w:val="single" w:color="000000" w:sz="4" w:space="0"/>
              <w:right w:val="single" w:color="000000" w:sz="4" w:space="0"/>
            </w:tcBorders>
            <w:shd w:val="clear" w:color="FFFFFF" w:fill="auto"/>
            <w:vAlign w:val="center"/>
          </w:tcPr>
          <w:p w14:paraId="40CD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4" w:type="dxa"/>
            <w:tcBorders>
              <w:top w:val="nil"/>
              <w:left w:val="nil"/>
              <w:bottom w:val="single" w:color="000000" w:sz="4" w:space="0"/>
              <w:right w:val="single" w:color="000000" w:sz="4" w:space="0"/>
            </w:tcBorders>
            <w:shd w:val="clear" w:color="FFFFFF" w:fill="auto"/>
            <w:vAlign w:val="center"/>
          </w:tcPr>
          <w:p w14:paraId="0F1DC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nil"/>
              <w:left w:val="nil"/>
              <w:bottom w:val="single" w:color="000000" w:sz="4" w:space="0"/>
              <w:right w:val="single" w:color="000000" w:sz="4" w:space="0"/>
            </w:tcBorders>
            <w:shd w:val="clear" w:color="FFFFFF" w:fill="auto"/>
            <w:vAlign w:val="center"/>
          </w:tcPr>
          <w:p w14:paraId="6FAF4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9" w:type="dxa"/>
            <w:tcBorders>
              <w:top w:val="nil"/>
              <w:left w:val="nil"/>
              <w:bottom w:val="single" w:color="000000" w:sz="4" w:space="0"/>
              <w:right w:val="single" w:color="000000" w:sz="4" w:space="0"/>
            </w:tcBorders>
            <w:shd w:val="clear" w:color="FFFFFF" w:fill="auto"/>
            <w:vAlign w:val="center"/>
          </w:tcPr>
          <w:p w14:paraId="505EB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6" w:type="dxa"/>
            <w:tcBorders>
              <w:top w:val="nil"/>
              <w:left w:val="nil"/>
              <w:bottom w:val="single" w:color="000000" w:sz="4" w:space="0"/>
              <w:right w:val="single" w:color="000000" w:sz="4" w:space="0"/>
            </w:tcBorders>
            <w:shd w:val="clear" w:color="FFFFFF" w:fill="auto"/>
            <w:vAlign w:val="center"/>
          </w:tcPr>
          <w:p w14:paraId="1CD86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nil"/>
              <w:left w:val="nil"/>
              <w:bottom w:val="single" w:color="000000" w:sz="4" w:space="0"/>
              <w:right w:val="single" w:color="000000" w:sz="4" w:space="0"/>
            </w:tcBorders>
            <w:shd w:val="clear" w:color="FFFFFF" w:fill="auto"/>
            <w:vAlign w:val="center"/>
          </w:tcPr>
          <w:p w14:paraId="4DA7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7" w:type="dxa"/>
            <w:tcBorders>
              <w:top w:val="nil"/>
              <w:left w:val="nil"/>
              <w:bottom w:val="single" w:color="000000" w:sz="4" w:space="0"/>
              <w:right w:val="single" w:color="000000" w:sz="4" w:space="0"/>
            </w:tcBorders>
            <w:shd w:val="clear" w:color="FFFFFF" w:fill="auto"/>
            <w:vAlign w:val="center"/>
          </w:tcPr>
          <w:p w14:paraId="77E3D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2" w:type="dxa"/>
            <w:tcBorders>
              <w:top w:val="nil"/>
              <w:left w:val="nil"/>
              <w:bottom w:val="single" w:color="000000" w:sz="4" w:space="0"/>
              <w:right w:val="single" w:color="000000" w:sz="4" w:space="0"/>
            </w:tcBorders>
            <w:shd w:val="clear" w:color="FFFFFF" w:fill="auto"/>
            <w:vAlign w:val="center"/>
          </w:tcPr>
          <w:p w14:paraId="43E7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7" w:type="dxa"/>
            <w:tcBorders>
              <w:top w:val="nil"/>
              <w:left w:val="nil"/>
              <w:bottom w:val="single" w:color="000000" w:sz="4" w:space="0"/>
              <w:right w:val="single" w:color="000000" w:sz="4" w:space="0"/>
            </w:tcBorders>
            <w:shd w:val="clear" w:color="FFFFFF" w:fill="auto"/>
            <w:vAlign w:val="center"/>
          </w:tcPr>
          <w:p w14:paraId="56EAE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auto"/>
            <w:vAlign w:val="center"/>
          </w:tcPr>
          <w:p w14:paraId="38CB2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16F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16" w:type="dxa"/>
            <w:tcBorders>
              <w:top w:val="nil"/>
              <w:left w:val="single" w:color="000000" w:sz="4" w:space="0"/>
              <w:bottom w:val="single" w:color="000000" w:sz="4" w:space="0"/>
              <w:right w:val="single" w:color="000000" w:sz="4" w:space="0"/>
            </w:tcBorders>
            <w:shd w:val="clear" w:color="auto" w:fill="auto"/>
            <w:vAlign w:val="center"/>
          </w:tcPr>
          <w:p w14:paraId="74AC130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410" w:type="dxa"/>
            <w:tcBorders>
              <w:top w:val="nil"/>
              <w:left w:val="nil"/>
              <w:bottom w:val="single" w:color="000000" w:sz="4" w:space="0"/>
              <w:right w:val="single" w:color="000000" w:sz="4" w:space="0"/>
            </w:tcBorders>
            <w:shd w:val="clear" w:color="auto" w:fill="auto"/>
            <w:vAlign w:val="center"/>
          </w:tcPr>
          <w:p w14:paraId="7C8B43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849" w:type="dxa"/>
            <w:tcBorders>
              <w:top w:val="nil"/>
              <w:left w:val="nil"/>
              <w:bottom w:val="single" w:color="000000" w:sz="4" w:space="0"/>
              <w:right w:val="single" w:color="000000" w:sz="4" w:space="0"/>
            </w:tcBorders>
            <w:shd w:val="clear" w:color="auto" w:fill="auto"/>
            <w:vAlign w:val="center"/>
          </w:tcPr>
          <w:p w14:paraId="5857C5C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14" w:type="dxa"/>
            <w:tcBorders>
              <w:top w:val="nil"/>
              <w:left w:val="nil"/>
              <w:bottom w:val="single" w:color="000000" w:sz="4" w:space="0"/>
              <w:right w:val="single" w:color="000000" w:sz="4" w:space="0"/>
            </w:tcBorders>
            <w:shd w:val="clear" w:color="auto" w:fill="auto"/>
            <w:vAlign w:val="center"/>
          </w:tcPr>
          <w:p w14:paraId="5AA78F3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75" w:type="dxa"/>
            <w:tcBorders>
              <w:top w:val="nil"/>
              <w:left w:val="nil"/>
              <w:bottom w:val="single" w:color="000000" w:sz="4" w:space="0"/>
              <w:right w:val="single" w:color="000000" w:sz="4" w:space="0"/>
            </w:tcBorders>
            <w:shd w:val="clear" w:color="auto" w:fill="auto"/>
            <w:vAlign w:val="center"/>
          </w:tcPr>
          <w:p w14:paraId="696810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859" w:type="dxa"/>
            <w:tcBorders>
              <w:top w:val="nil"/>
              <w:left w:val="nil"/>
              <w:bottom w:val="single" w:color="000000" w:sz="4" w:space="0"/>
              <w:right w:val="single" w:color="000000" w:sz="4" w:space="0"/>
            </w:tcBorders>
            <w:shd w:val="clear" w:color="auto" w:fill="auto"/>
            <w:vAlign w:val="center"/>
          </w:tcPr>
          <w:p w14:paraId="01E7DBF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896" w:type="dxa"/>
            <w:tcBorders>
              <w:top w:val="nil"/>
              <w:left w:val="nil"/>
              <w:bottom w:val="single" w:color="000000" w:sz="4" w:space="0"/>
              <w:right w:val="single" w:color="000000" w:sz="4" w:space="0"/>
            </w:tcBorders>
            <w:shd w:val="clear" w:color="auto" w:fill="auto"/>
            <w:vAlign w:val="center"/>
          </w:tcPr>
          <w:p w14:paraId="290B7EF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3.31</w:t>
            </w:r>
          </w:p>
        </w:tc>
        <w:tc>
          <w:tcPr>
            <w:tcW w:w="1185" w:type="dxa"/>
            <w:tcBorders>
              <w:top w:val="nil"/>
              <w:left w:val="nil"/>
              <w:bottom w:val="single" w:color="000000" w:sz="4" w:space="0"/>
              <w:right w:val="single" w:color="000000" w:sz="4" w:space="0"/>
            </w:tcBorders>
            <w:shd w:val="clear" w:color="auto" w:fill="auto"/>
            <w:vAlign w:val="center"/>
          </w:tcPr>
          <w:p w14:paraId="3C4C1B4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1007" w:type="dxa"/>
            <w:tcBorders>
              <w:top w:val="nil"/>
              <w:left w:val="nil"/>
              <w:bottom w:val="single" w:color="000000" w:sz="4" w:space="0"/>
              <w:right w:val="single" w:color="000000" w:sz="4" w:space="0"/>
            </w:tcBorders>
            <w:shd w:val="clear" w:color="auto" w:fill="auto"/>
            <w:vAlign w:val="center"/>
          </w:tcPr>
          <w:p w14:paraId="3E6F13C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882" w:type="dxa"/>
            <w:tcBorders>
              <w:top w:val="nil"/>
              <w:left w:val="nil"/>
              <w:bottom w:val="single" w:color="000000" w:sz="4" w:space="0"/>
              <w:right w:val="single" w:color="000000" w:sz="4" w:space="0"/>
            </w:tcBorders>
            <w:shd w:val="clear" w:color="auto" w:fill="auto"/>
            <w:vAlign w:val="center"/>
          </w:tcPr>
          <w:p w14:paraId="03E859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1007" w:type="dxa"/>
            <w:tcBorders>
              <w:top w:val="nil"/>
              <w:left w:val="nil"/>
              <w:bottom w:val="single" w:color="000000" w:sz="4" w:space="0"/>
              <w:right w:val="single" w:color="000000" w:sz="4" w:space="0"/>
            </w:tcBorders>
            <w:shd w:val="clear" w:color="auto" w:fill="auto"/>
            <w:vAlign w:val="center"/>
          </w:tcPr>
          <w:p w14:paraId="2B3ED3D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1616" w:type="dxa"/>
            <w:tcBorders>
              <w:top w:val="nil"/>
              <w:left w:val="nil"/>
              <w:bottom w:val="single" w:color="000000" w:sz="4" w:space="0"/>
              <w:right w:val="single" w:color="000000" w:sz="4" w:space="0"/>
            </w:tcBorders>
            <w:shd w:val="clear" w:color="auto" w:fill="auto"/>
            <w:vAlign w:val="center"/>
          </w:tcPr>
          <w:p w14:paraId="409ECB8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3.31</w:t>
            </w:r>
          </w:p>
        </w:tc>
      </w:tr>
      <w:tr w14:paraId="6B34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016" w:type="dxa"/>
            <w:gridSpan w:val="12"/>
            <w:tcBorders>
              <w:top w:val="nil"/>
              <w:left w:val="nil"/>
              <w:bottom w:val="nil"/>
              <w:right w:val="nil"/>
            </w:tcBorders>
            <w:shd w:val="clear" w:color="auto" w:fill="auto"/>
            <w:vAlign w:val="center"/>
          </w:tcPr>
          <w:p w14:paraId="6E491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A65E5A7">
      <w:pPr>
        <w:widowControl/>
        <w:jc w:val="center"/>
        <w:rPr>
          <w:rFonts w:hint="eastAsia" w:ascii="Times New Roman" w:hAnsi="Times New Roman" w:eastAsia="方正小标宋_GBK" w:cs="Times New Roman"/>
          <w:color w:val="000000"/>
          <w:kern w:val="0"/>
          <w:sz w:val="36"/>
          <w:szCs w:val="36"/>
        </w:rPr>
      </w:pPr>
    </w:p>
    <w:p w14:paraId="18A9C423">
      <w:pPr>
        <w:autoSpaceDE w:val="0"/>
        <w:autoSpaceDN w:val="0"/>
        <w:adjustRightInd w:val="0"/>
        <w:ind w:left="315" w:leftChars="150"/>
        <w:jc w:val="left"/>
        <w:rPr>
          <w:rFonts w:ascii="宋体" w:eastAsia="宋体" w:cs="宋体"/>
          <w:kern w:val="0"/>
          <w:sz w:val="24"/>
          <w:szCs w:val="24"/>
        </w:rPr>
      </w:pPr>
    </w:p>
    <w:p w14:paraId="3FA9EEBB">
      <w:pPr>
        <w:autoSpaceDE w:val="0"/>
        <w:autoSpaceDN w:val="0"/>
        <w:adjustRightInd w:val="0"/>
        <w:ind w:left="315" w:leftChars="150"/>
        <w:jc w:val="left"/>
        <w:rPr>
          <w:rFonts w:ascii="宋体" w:eastAsia="宋体" w:cs="宋体"/>
          <w:kern w:val="0"/>
          <w:sz w:val="24"/>
          <w:szCs w:val="24"/>
        </w:rPr>
      </w:pPr>
    </w:p>
    <w:p w14:paraId="1B272BA6">
      <w:pPr>
        <w:autoSpaceDE w:val="0"/>
        <w:autoSpaceDN w:val="0"/>
        <w:adjustRightInd w:val="0"/>
        <w:ind w:left="315" w:leftChars="150"/>
        <w:jc w:val="left"/>
        <w:rPr>
          <w:rFonts w:ascii="宋体" w:eastAsia="宋体" w:cs="宋体"/>
          <w:kern w:val="0"/>
          <w:sz w:val="24"/>
          <w:szCs w:val="24"/>
        </w:rPr>
      </w:pPr>
    </w:p>
    <w:p w14:paraId="3393AB80">
      <w:pPr>
        <w:autoSpaceDE w:val="0"/>
        <w:autoSpaceDN w:val="0"/>
        <w:adjustRightInd w:val="0"/>
        <w:ind w:left="315" w:leftChars="150"/>
        <w:jc w:val="left"/>
        <w:rPr>
          <w:rFonts w:ascii="宋体" w:eastAsia="宋体" w:cs="宋体"/>
          <w:kern w:val="0"/>
          <w:sz w:val="24"/>
          <w:szCs w:val="24"/>
        </w:rPr>
      </w:pPr>
    </w:p>
    <w:p w14:paraId="3BAF0BDB">
      <w:pPr>
        <w:autoSpaceDE w:val="0"/>
        <w:autoSpaceDN w:val="0"/>
        <w:adjustRightInd w:val="0"/>
        <w:ind w:left="315" w:leftChars="150"/>
        <w:jc w:val="left"/>
        <w:rPr>
          <w:rFonts w:ascii="宋体" w:eastAsia="宋体" w:cs="宋体"/>
          <w:kern w:val="0"/>
          <w:sz w:val="24"/>
          <w:szCs w:val="24"/>
        </w:rPr>
      </w:pPr>
    </w:p>
    <w:p w14:paraId="21886C9A">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5B9AB638">
      <w:pPr>
        <w:pStyle w:val="15"/>
        <w:rPr>
          <w:sz w:val="72"/>
          <w:szCs w:val="72"/>
        </w:rPr>
      </w:pPr>
    </w:p>
    <w:p w14:paraId="41E685B6">
      <w:pPr>
        <w:pStyle w:val="15"/>
        <w:rPr>
          <w:sz w:val="72"/>
          <w:szCs w:val="72"/>
        </w:rPr>
      </w:pPr>
    </w:p>
    <w:p w14:paraId="2B311EF1">
      <w:pPr>
        <w:pStyle w:val="15"/>
        <w:rPr>
          <w:sz w:val="72"/>
          <w:szCs w:val="72"/>
        </w:rPr>
      </w:pPr>
    </w:p>
    <w:p w14:paraId="4648B285">
      <w:pPr>
        <w:pStyle w:val="15"/>
        <w:rPr>
          <w:sz w:val="72"/>
          <w:szCs w:val="72"/>
        </w:rPr>
      </w:pPr>
    </w:p>
    <w:p w14:paraId="669AD477">
      <w:pPr>
        <w:pStyle w:val="15"/>
        <w:jc w:val="center"/>
        <w:rPr>
          <w:sz w:val="72"/>
          <w:szCs w:val="72"/>
        </w:rPr>
      </w:pPr>
    </w:p>
    <w:p w14:paraId="4564AE1B">
      <w:pPr>
        <w:pStyle w:val="15"/>
        <w:jc w:val="center"/>
        <w:rPr>
          <w:rFonts w:hint="eastAsia" w:ascii="方正小标宋_GBK" w:hAnsi="方正小标宋_GBK" w:eastAsia="方正小标宋_GBK" w:cs="方正小标宋_GBK"/>
          <w:sz w:val="72"/>
          <w:szCs w:val="72"/>
        </w:rPr>
      </w:pPr>
    </w:p>
    <w:p w14:paraId="3FD86CB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8D0F87A">
      <w:pPr>
        <w:pStyle w:val="15"/>
        <w:jc w:val="center"/>
        <w:rPr>
          <w:rFonts w:hint="eastAsia" w:ascii="方正小标宋_GBK" w:hAnsi="方正小标宋_GBK" w:eastAsia="方正小标宋_GBK" w:cs="方正小标宋_GBK"/>
          <w:sz w:val="70"/>
          <w:szCs w:val="70"/>
        </w:rPr>
      </w:pPr>
    </w:p>
    <w:p w14:paraId="0BAB050B">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eastAsia="zh-CN"/>
        </w:rPr>
        <w:t>3</w:t>
      </w:r>
      <w:r>
        <w:rPr>
          <w:rFonts w:hint="eastAsia" w:ascii="方正小标宋_GBK" w:hAnsi="方正小标宋_GBK" w:eastAsia="方正小标宋_GBK" w:cs="方正小标宋_GBK"/>
          <w:sz w:val="70"/>
          <w:szCs w:val="70"/>
        </w:rPr>
        <w:t>年度部门决算情况说明</w:t>
      </w:r>
    </w:p>
    <w:p w14:paraId="5A3CFC5A">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467B86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546DA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eastAsia="zh-CN"/>
        </w:rPr>
        <w:t>5137.</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增加2365.2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增加85.30</w:t>
      </w:r>
      <w:r>
        <w:rPr>
          <w:rFonts w:hint="eastAsia" w:ascii="Times New Roman" w:hAnsi="Times New Roman" w:eastAsia="仿宋_GB2312"/>
          <w:sz w:val="32"/>
          <w:szCs w:val="32"/>
        </w:rPr>
        <w:t>%，主要是因为本年度一卡通发放的惠农补贴数等都较去年数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6009D03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C4E86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5121.4</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eastAsia="zh-CN"/>
        </w:rPr>
        <w:t>48.98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p>
    <w:p w14:paraId="592D3DC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0D45DA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5137.</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5137.</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AFB20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184680C">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增加2337.61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增加85.47</w:t>
      </w:r>
      <w:r>
        <w:rPr>
          <w:rFonts w:hint="eastAsia" w:ascii="Times New Roman" w:hAnsi="Times New Roman" w:eastAsia="仿宋_GB2312"/>
          <w:sz w:val="32"/>
          <w:szCs w:val="32"/>
        </w:rPr>
        <w:t>%，主要是因为本年度收入拨款</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61367F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2917BC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3A6518F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增加2337.61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增加85.47</w:t>
      </w:r>
      <w:r>
        <w:rPr>
          <w:rFonts w:hint="eastAsia" w:ascii="Times New Roman" w:hAnsi="Times New Roman" w:eastAsia="仿宋_GB2312"/>
          <w:sz w:val="32"/>
          <w:szCs w:val="32"/>
        </w:rPr>
        <w:t>%，主要是因为本年度收入拨款</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41E19E6A">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427D231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万元，主要用于以下方面：社会保障和就业（类）支出</w:t>
      </w:r>
      <w:r>
        <w:rPr>
          <w:rFonts w:hint="eastAsia" w:ascii="Times New Roman" w:hAnsi="Times New Roman" w:eastAsia="仿宋_GB2312"/>
          <w:sz w:val="32"/>
          <w:szCs w:val="32"/>
          <w:lang w:eastAsia="zh-CN"/>
        </w:rPr>
        <w:t>27.31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%；卫生健康（类）支出1</w:t>
      </w:r>
      <w:r>
        <w:rPr>
          <w:rFonts w:hint="eastAsia" w:ascii="Times New Roman" w:hAnsi="Times New Roman" w:eastAsia="仿宋_GB2312"/>
          <w:sz w:val="32"/>
          <w:szCs w:val="32"/>
          <w:lang w:eastAsia="zh-CN"/>
        </w:rPr>
        <w:t>2.79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eastAsia="zh-CN"/>
        </w:rPr>
        <w:t>5020.85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98.98</w:t>
      </w:r>
      <w:r>
        <w:rPr>
          <w:rFonts w:hint="eastAsia" w:ascii="Times New Roman" w:hAnsi="Times New Roman" w:eastAsia="仿宋_GB2312"/>
          <w:sz w:val="32"/>
          <w:szCs w:val="32"/>
        </w:rPr>
        <w:t>%；住房保障（类）支出1</w:t>
      </w:r>
      <w:r>
        <w:rPr>
          <w:rFonts w:hint="eastAsia" w:ascii="Times New Roman" w:hAnsi="Times New Roman" w:eastAsia="仿宋_GB2312"/>
          <w:sz w:val="32"/>
          <w:szCs w:val="32"/>
          <w:lang w:eastAsia="zh-CN"/>
        </w:rPr>
        <w:t>1.51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w:t>
      </w:r>
    </w:p>
    <w:p w14:paraId="4C45EF7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5F6FC6B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5C5FEA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14:paraId="2DC0FB4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26.5</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万元，支出决算为22</w:t>
      </w:r>
      <w:r>
        <w:rPr>
          <w:rFonts w:hint="eastAsia" w:ascii="Times New Roman" w:hAnsi="Times New Roman" w:eastAsia="仿宋_GB2312"/>
          <w:sz w:val="32"/>
          <w:szCs w:val="32"/>
          <w:lang w:eastAsia="zh-CN"/>
        </w:rPr>
        <w:t>6.5</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600B270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、社会保障和就业支出（类）抚恤（款）死亡抚恤（项）。</w:t>
      </w:r>
    </w:p>
    <w:p w14:paraId="794923F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5EE2BB3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、卫生健康支出（类）行政事业单位医疗（款）行政单位医疗（项）。</w:t>
      </w:r>
    </w:p>
    <w:p w14:paraId="23465D3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11.8</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11.8</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08FCB37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4</w:t>
      </w:r>
      <w:r>
        <w:rPr>
          <w:rFonts w:hint="eastAsia" w:ascii="Times New Roman" w:hAnsi="Times New Roman" w:eastAsia="仿宋_GB2312"/>
          <w:sz w:val="32"/>
          <w:szCs w:val="32"/>
        </w:rPr>
        <w:t>、卫生健康支出（类）行政事业单位医疗（款）事业单位医疗（项）。</w:t>
      </w:r>
    </w:p>
    <w:p w14:paraId="134E514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0.94</w:t>
      </w:r>
      <w:r>
        <w:rPr>
          <w:rFonts w:hint="eastAsia" w:ascii="Times New Roman" w:hAnsi="Times New Roman" w:eastAsia="仿宋_GB2312"/>
          <w:sz w:val="32"/>
          <w:szCs w:val="32"/>
        </w:rPr>
        <w:t>万元，支出决算为0.94万元，完成年初预算的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4E6D9EB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5</w:t>
      </w:r>
      <w:r>
        <w:rPr>
          <w:rFonts w:hint="eastAsia" w:ascii="Times New Roman" w:hAnsi="Times New Roman" w:eastAsia="仿宋_GB2312"/>
          <w:sz w:val="32"/>
          <w:szCs w:val="32"/>
        </w:rPr>
        <w:t>、农林水支出（类）水利（款）农村水利（项）。</w:t>
      </w:r>
    </w:p>
    <w:p w14:paraId="2A5B5A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1</w:t>
      </w:r>
      <w:r>
        <w:rPr>
          <w:rFonts w:hint="eastAsia" w:ascii="Times New Roman" w:hAnsi="Times New Roman" w:eastAsia="仿宋_GB2312"/>
          <w:sz w:val="32"/>
          <w:szCs w:val="32"/>
        </w:rPr>
        <w:t>万元，支出决算为1万元，完成年初预算的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等于年初预算数</w:t>
      </w:r>
      <w:r>
        <w:rPr>
          <w:rFonts w:hint="eastAsia" w:ascii="Times New Roman" w:hAnsi="Times New Roman" w:eastAsia="仿宋_GB2312"/>
          <w:sz w:val="32"/>
          <w:szCs w:val="32"/>
        </w:rPr>
        <w:t>。</w:t>
      </w:r>
    </w:p>
    <w:p w14:paraId="3923E7F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6</w:t>
      </w:r>
      <w:r>
        <w:rPr>
          <w:rFonts w:hint="eastAsia" w:ascii="Times New Roman" w:hAnsi="Times New Roman" w:eastAsia="仿宋_GB2312"/>
          <w:sz w:val="32"/>
          <w:szCs w:val="32"/>
        </w:rPr>
        <w:t>、农林水支出（类）巩固脱贫衔接乡村振兴（款）行政运行（项）。</w:t>
      </w:r>
    </w:p>
    <w:p w14:paraId="0427B74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194.5</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140AF8B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、农林水支出（类）巩固脱贫衔接乡村振兴（款）贷款奖补和贴息（项）。</w:t>
      </w:r>
    </w:p>
    <w:p w14:paraId="29F6E4D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832.46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832.46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4D86B93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、农林水支出（类）巩固脱贫衔接乡村振兴（款）</w:t>
      </w:r>
      <w:r>
        <w:rPr>
          <w:rFonts w:hint="eastAsia" w:ascii="Times New Roman" w:hAnsi="Times New Roman" w:eastAsia="仿宋_GB2312"/>
          <w:sz w:val="32"/>
          <w:szCs w:val="32"/>
          <w:lang w:eastAsia="zh-CN"/>
        </w:rPr>
        <w:t>其他巩固脱贫攻坚成果衔接乡村振兴支出</w:t>
      </w:r>
      <w:r>
        <w:rPr>
          <w:rFonts w:hint="eastAsia" w:ascii="Times New Roman" w:hAnsi="Times New Roman" w:eastAsia="仿宋_GB2312"/>
          <w:sz w:val="32"/>
          <w:szCs w:val="32"/>
        </w:rPr>
        <w:t>（项）。</w:t>
      </w:r>
    </w:p>
    <w:p w14:paraId="66C7FA2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3992.84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3992.84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796297D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9</w:t>
      </w:r>
      <w:r>
        <w:rPr>
          <w:rFonts w:hint="eastAsia" w:ascii="Times New Roman" w:hAnsi="Times New Roman" w:eastAsia="仿宋_GB2312"/>
          <w:sz w:val="32"/>
          <w:szCs w:val="32"/>
        </w:rPr>
        <w:t>、住房保障支出（类）住房改革支出（款）住房公积金（项）。</w:t>
      </w:r>
    </w:p>
    <w:p w14:paraId="656013B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11.5</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6E28FEC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E564E1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eastAsia="zh-CN"/>
        </w:rPr>
        <w:t>5072.46</w:t>
      </w:r>
      <w:r>
        <w:rPr>
          <w:rFonts w:hint="eastAsia" w:ascii="Times New Roman" w:hAnsi="Times New Roman" w:eastAsia="仿宋_GB2312"/>
          <w:sz w:val="32"/>
          <w:szCs w:val="32"/>
        </w:rPr>
        <w:t>万元，其中：</w:t>
      </w:r>
    </w:p>
    <w:p w14:paraId="269DF46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4500.24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eastAsia="zh-CN"/>
        </w:rPr>
        <w:t>88.72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eastAsia="zh-CN"/>
        </w:rPr>
        <w:t>90.74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、津贴补贴4</w:t>
      </w:r>
      <w:r>
        <w:rPr>
          <w:rFonts w:hint="eastAsia" w:ascii="Times New Roman" w:hAnsi="Times New Roman" w:eastAsia="仿宋_GB2312"/>
          <w:sz w:val="32"/>
          <w:szCs w:val="32"/>
          <w:lang w:eastAsia="zh-CN"/>
        </w:rPr>
        <w:t>3.93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eastAsia="zh-CN"/>
        </w:rPr>
        <w:t>22.2</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rPr>
        <w:t>、伙食补助费2</w:t>
      </w:r>
      <w:r>
        <w:rPr>
          <w:rFonts w:hint="eastAsia" w:ascii="Times New Roman" w:hAnsi="Times New Roman" w:eastAsia="仿宋_GB2312"/>
          <w:sz w:val="32"/>
          <w:szCs w:val="32"/>
          <w:lang w:eastAsia="zh-CN"/>
        </w:rPr>
        <w:t>8.2</w:t>
      </w:r>
      <w:r>
        <w:rPr>
          <w:rFonts w:hint="eastAsia" w:ascii="Times New Roman" w:hAnsi="Times New Roman" w:eastAsia="仿宋_GB2312"/>
          <w:sz w:val="32"/>
          <w:szCs w:val="32"/>
          <w:lang w:val="en-US" w:eastAsia="zh-CN"/>
        </w:rPr>
        <w:t>6万元、绩效工资26.85万元、机关事业单位基本养老保险缴费26.81万元、职业年金缴费0.06万元，职工基本医疗保险缴费12.79万元、其他社会保障缴费1.57万元、住房公积金33.2万元、其他工资福利支出48. 09万元、生活补助501.6万元、救济费0.32万元、奖励金0.1万元，其他对个人和家庭的补助3663.69万元。</w:t>
      </w:r>
    </w:p>
    <w:p w14:paraId="1192EB4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572.22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11.28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62.08万元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eastAsia="zh-CN"/>
        </w:rPr>
        <w:t>140.7</w:t>
      </w:r>
      <w:r>
        <w:rPr>
          <w:rFonts w:hint="eastAsia" w:ascii="Times New Roman" w:hAnsi="Times New Roman" w:eastAsia="仿宋_GB2312"/>
          <w:sz w:val="32"/>
          <w:szCs w:val="32"/>
          <w:lang w:val="en-US" w:eastAsia="zh-CN"/>
        </w:rPr>
        <w:t>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咨询费1万元、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0.77万元、电费4.03万元、邮电费5.69万元、差旅费56.61万元、维修（护）费24.57万元、会议费33.81万元、培训费11.12万元、公务接待费3.31万元、劳务3.73万元、工会经费9.97万元、福利费7.20万元、其他交通费用79.84万元、其他商品和服务支出57.7万元、办公设备购置1.12万元、信息网络及软件购置更新68.9万元</w:t>
      </w:r>
      <w:r>
        <w:rPr>
          <w:rFonts w:hint="eastAsia" w:ascii="Times New Roman" w:hAnsi="Times New Roman" w:eastAsia="仿宋_GB2312"/>
          <w:sz w:val="32"/>
          <w:szCs w:val="32"/>
        </w:rPr>
        <w:t>。</w:t>
      </w:r>
    </w:p>
    <w:p w14:paraId="4FE3DD8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49828E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112410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%，其中：</w:t>
      </w:r>
    </w:p>
    <w:p w14:paraId="43E2BD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1" w:name="OLE_LINK1"/>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1"/>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79D61EA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w:t>
      </w:r>
      <w:r>
        <w:rPr>
          <w:rFonts w:hint="eastAsia" w:ascii="Times New Roman" w:hAnsi="Times New Roman" w:eastAsia="仿宋_GB2312"/>
          <w:sz w:val="32"/>
          <w:szCs w:val="32"/>
          <w:lang w:eastAsia="zh-CN"/>
        </w:rPr>
        <w:t>55</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增加3.3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减少的主要原因是公务接待</w:t>
      </w:r>
      <w:r>
        <w:rPr>
          <w:rFonts w:hint="eastAsia" w:ascii="Times New Roman" w:hAnsi="Times New Roman" w:eastAsia="仿宋_GB2312"/>
          <w:sz w:val="32"/>
          <w:szCs w:val="32"/>
          <w:lang w:eastAsia="zh-CN"/>
        </w:rPr>
        <w:t>业务增加</w:t>
      </w:r>
      <w:r>
        <w:rPr>
          <w:rFonts w:hint="eastAsia" w:ascii="Times New Roman" w:hAnsi="Times New Roman" w:eastAsia="仿宋_GB2312"/>
          <w:sz w:val="32"/>
          <w:szCs w:val="32"/>
        </w:rPr>
        <w:t>。</w:t>
      </w:r>
    </w:p>
    <w:p w14:paraId="793B2BE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60BCF0C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1A1063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338C67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eastAsia="zh-CN"/>
        </w:rPr>
        <w:t>3.3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E43AE36">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val="0"/>
          <w:iCs/>
          <w:color w:val="auto"/>
          <w:sz w:val="32"/>
          <w:szCs w:val="32"/>
          <w:lang w:eastAsia="zh-CN"/>
        </w:rPr>
        <w:t>。</w:t>
      </w:r>
    </w:p>
    <w:p w14:paraId="2CC6C03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eastAsia="zh-CN"/>
        </w:rPr>
        <w:t>3.3</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eastAsia="zh-CN"/>
        </w:rPr>
        <w:t>8</w:t>
      </w:r>
      <w:r>
        <w:rPr>
          <w:rFonts w:hint="eastAsia" w:ascii="Times New Roman" w:hAnsi="Times New Roman" w:eastAsia="仿宋_GB2312"/>
          <w:sz w:val="32"/>
          <w:szCs w:val="32"/>
        </w:rPr>
        <w:t>个、来宾</w:t>
      </w:r>
      <w:r>
        <w:rPr>
          <w:rFonts w:hint="eastAsia" w:ascii="Times New Roman" w:hAnsi="Times New Roman" w:eastAsia="仿宋_GB2312"/>
          <w:sz w:val="32"/>
          <w:szCs w:val="32"/>
          <w:lang w:eastAsia="zh-CN"/>
        </w:rPr>
        <w:t>220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，主要是上级检查的开支</w:t>
      </w:r>
      <w:r>
        <w:rPr>
          <w:rFonts w:hint="eastAsia" w:ascii="Times New Roman" w:hAnsi="Times New Roman" w:eastAsia="仿宋_GB2312"/>
          <w:sz w:val="32"/>
          <w:szCs w:val="32"/>
        </w:rPr>
        <w:t>。</w:t>
      </w:r>
    </w:p>
    <w:p w14:paraId="14CA8BD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单位本级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04059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EA402F0">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val="0"/>
          <w:iCs w:val="0"/>
          <w:color w:val="auto"/>
          <w:kern w:val="0"/>
          <w:sz w:val="32"/>
          <w:szCs w:val="32"/>
          <w:lang w:val="en-US" w:eastAsia="zh-CN" w:bidi="ar-SA"/>
        </w:rPr>
      </w:pPr>
      <w:r>
        <w:rPr>
          <w:rFonts w:hint="eastAsia" w:ascii="Times New Roman" w:hAnsi="Times New Roman" w:eastAsia="仿宋_GB2312"/>
          <w:i w:val="0"/>
          <w:iCs w:val="0"/>
          <w:sz w:val="32"/>
          <w:szCs w:val="32"/>
        </w:rPr>
        <w:t xml:space="preserve">     </w:t>
      </w:r>
      <w:r>
        <w:rPr>
          <w:rFonts w:hint="eastAsia" w:ascii="楷体" w:hAnsi="楷体" w:eastAsia="楷体" w:cs="楷体"/>
          <w:b/>
          <w:bCs/>
          <w:i w:val="0"/>
          <w:iCs w:val="0"/>
          <w:color w:val="auto"/>
          <w:kern w:val="0"/>
          <w:sz w:val="32"/>
          <w:szCs w:val="32"/>
          <w:lang w:val="en-US" w:eastAsia="zh-CN" w:bidi="ar-SA"/>
        </w:rPr>
        <w:t>本单位无政府性基金收支</w:t>
      </w:r>
    </w:p>
    <w:p w14:paraId="6A1B2C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7B2C2A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572.22</w:t>
      </w:r>
      <w:r>
        <w:rPr>
          <w:rFonts w:hint="eastAsia" w:ascii="Times New Roman" w:hAnsi="Times New Roman" w:eastAsia="仿宋_GB2312"/>
          <w:color w:val="auto"/>
          <w:sz w:val="32"/>
          <w:szCs w:val="32"/>
        </w:rPr>
        <w:t>万元，比</w:t>
      </w:r>
      <w:r>
        <w:rPr>
          <w:rFonts w:hint="eastAsia" w:ascii="Times New Roman" w:hAnsi="Times New Roman" w:eastAsia="仿宋_GB2312"/>
          <w:color w:val="auto"/>
          <w:sz w:val="32"/>
          <w:szCs w:val="32"/>
          <w:lang w:val="en-US" w:eastAsia="zh-CN"/>
        </w:rPr>
        <w:t>上年决算数增加184.01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47.39</w:t>
      </w:r>
      <w:r>
        <w:rPr>
          <w:rFonts w:hint="eastAsia" w:ascii="Times New Roman" w:hAnsi="Times New Roman" w:eastAsia="仿宋_GB2312"/>
          <w:color w:val="auto"/>
          <w:sz w:val="32"/>
          <w:szCs w:val="32"/>
        </w:rPr>
        <w:t>%。主要原因是：运行实际开支</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rPr>
        <w:t>。</w:t>
      </w:r>
    </w:p>
    <w:p w14:paraId="5FCC856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14:paraId="249FC0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eastAsia="zh-CN"/>
        </w:rPr>
        <w:t>33.81</w:t>
      </w:r>
      <w:r>
        <w:rPr>
          <w:rFonts w:hint="eastAsia" w:ascii="Times New Roman" w:hAnsi="Times New Roman" w:eastAsia="仿宋_GB2312"/>
          <w:color w:val="auto"/>
          <w:sz w:val="32"/>
          <w:szCs w:val="32"/>
        </w:rPr>
        <w:t>万元，用于召开乡村振兴日常工作部署会议，人数</w:t>
      </w:r>
      <w:r>
        <w:rPr>
          <w:rFonts w:hint="eastAsia" w:ascii="Times New Roman" w:hAnsi="Times New Roman" w:eastAsia="仿宋_GB2312"/>
          <w:color w:val="auto"/>
          <w:sz w:val="32"/>
          <w:szCs w:val="32"/>
          <w:lang w:eastAsia="zh-CN"/>
        </w:rPr>
        <w:t>341</w:t>
      </w:r>
      <w:r>
        <w:rPr>
          <w:rFonts w:hint="eastAsia" w:ascii="Times New Roman" w:hAnsi="Times New Roman" w:eastAsia="仿宋_GB2312"/>
          <w:color w:val="auto"/>
          <w:sz w:val="32"/>
          <w:szCs w:val="32"/>
        </w:rPr>
        <w:t>人，内容为乡村振兴日常工作会议；</w:t>
      </w:r>
    </w:p>
    <w:p w14:paraId="0391A3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eastAsia="zh-CN"/>
        </w:rPr>
        <w:t>11.12</w:t>
      </w:r>
      <w:r>
        <w:rPr>
          <w:rFonts w:hint="eastAsia" w:ascii="Times New Roman" w:hAnsi="Times New Roman" w:eastAsia="仿宋_GB2312"/>
          <w:color w:val="auto"/>
          <w:sz w:val="32"/>
          <w:szCs w:val="32"/>
        </w:rPr>
        <w:t>万元，用于开展乡村振兴日常业务培训，人数</w:t>
      </w:r>
      <w:r>
        <w:rPr>
          <w:rFonts w:hint="eastAsia" w:ascii="Times New Roman" w:hAnsi="Times New Roman" w:eastAsia="仿宋_GB2312"/>
          <w:color w:val="auto"/>
          <w:sz w:val="32"/>
          <w:szCs w:val="32"/>
          <w:lang w:val="en-US" w:eastAsia="zh-CN"/>
        </w:rPr>
        <w:t>189</w:t>
      </w:r>
      <w:r>
        <w:rPr>
          <w:rFonts w:hint="eastAsia" w:ascii="Times New Roman" w:hAnsi="Times New Roman" w:eastAsia="仿宋_GB2312"/>
          <w:color w:val="auto"/>
          <w:sz w:val="32"/>
          <w:szCs w:val="32"/>
        </w:rPr>
        <w:t>人，内容为乡村振兴日常业务培训</w:t>
      </w:r>
      <w:r>
        <w:rPr>
          <w:rFonts w:hint="eastAsia" w:ascii="Times New Roman" w:hAnsi="Times New Roman" w:eastAsia="仿宋_GB2312"/>
          <w:color w:val="auto"/>
          <w:sz w:val="32"/>
          <w:szCs w:val="32"/>
          <w:lang w:eastAsia="zh-CN"/>
        </w:rPr>
        <w:t>。</w:t>
      </w:r>
    </w:p>
    <w:p w14:paraId="2D75F3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154557C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十一、关于政府采购支出说明</w:t>
      </w:r>
    </w:p>
    <w:p w14:paraId="342737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CN"/>
        </w:rPr>
        <w:t>766.8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CN"/>
        </w:rPr>
        <w:t>532.8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234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766.8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766.8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53D61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850657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795E336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黑体" w:hAnsi="黑体" w:eastAsia="黑体" w:cs="黑体"/>
          <w:b w:val="0"/>
          <w:bCs/>
          <w:sz w:val="32"/>
          <w:szCs w:val="32"/>
        </w:rPr>
        <w:t>年度预算绩效情况的说明</w:t>
      </w:r>
    </w:p>
    <w:p w14:paraId="30EB4767">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lang w:val="en-US" w:eastAsia="zh-CN"/>
        </w:rPr>
        <w:t>绩效管理工作开展情况</w:t>
      </w:r>
    </w:p>
    <w:p w14:paraId="40C786E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2C0BF95F">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部门整体支出绩效情况</w:t>
      </w:r>
    </w:p>
    <w:p w14:paraId="3DADD1D3">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2023年重点工作绩效进行了自评，</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我局2023年工作绩效情况报告如下：</w:t>
      </w:r>
    </w:p>
    <w:p w14:paraId="745E9D0C">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1.持续强化党的领导。</w:t>
      </w:r>
      <w:r>
        <w:rPr>
          <w:rFonts w:hint="eastAsia" w:ascii="仿宋_GB2312" w:hAnsi="仿宋_GB2312" w:eastAsia="仿宋_GB2312" w:cs="仿宋_GB2312"/>
          <w:b/>
          <w:bCs/>
          <w:color w:val="000000"/>
          <w:sz w:val="32"/>
          <w:szCs w:val="32"/>
        </w:rPr>
        <w:t>一是认真</w:t>
      </w:r>
      <w:r>
        <w:rPr>
          <w:rFonts w:hint="eastAsia" w:ascii="仿宋_GB2312" w:hAnsi="仿宋_GB2312" w:eastAsia="仿宋_GB2312" w:cs="仿宋_GB2312"/>
          <w:b/>
          <w:bCs/>
          <w:color w:val="000000"/>
          <w:sz w:val="32"/>
          <w:szCs w:val="32"/>
          <w:lang w:eastAsia="zh-CN"/>
        </w:rPr>
        <w:t>学习贯彻</w:t>
      </w:r>
      <w:r>
        <w:rPr>
          <w:rFonts w:hint="eastAsia" w:ascii="仿宋_GB2312" w:hAnsi="仿宋_GB2312" w:eastAsia="仿宋_GB2312" w:cs="仿宋_GB2312"/>
          <w:b/>
          <w:bCs/>
          <w:color w:val="000000"/>
          <w:sz w:val="32"/>
          <w:szCs w:val="32"/>
        </w:rPr>
        <w:t>落实</w:t>
      </w:r>
      <w:r>
        <w:rPr>
          <w:rFonts w:hint="eastAsia" w:ascii="仿宋_GB2312" w:hAnsi="仿宋_GB2312" w:eastAsia="仿宋_GB2312" w:cs="仿宋_GB2312"/>
          <w:b/>
          <w:bCs/>
          <w:color w:val="000000"/>
          <w:sz w:val="32"/>
          <w:szCs w:val="32"/>
          <w:lang w:eastAsia="zh-CN"/>
        </w:rPr>
        <w:t>习近平总书记重要讲话指示精神</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2"/>
          <w:sz w:val="32"/>
          <w:szCs w:val="32"/>
          <w:lang w:val="en-US" w:eastAsia="zh-CN" w:bidi="ar-SA"/>
        </w:rPr>
        <w:t>在县委县政府的坚强领导下，全局</w:t>
      </w:r>
      <w:r>
        <w:rPr>
          <w:rFonts w:hint="eastAsia" w:ascii="仿宋_GB2312" w:hAnsi="仿宋_GB2312" w:cs="仿宋_GB2312"/>
          <w:color w:val="auto"/>
          <w:spacing w:val="0"/>
          <w:sz w:val="32"/>
          <w:szCs w:val="32"/>
          <w:lang w:val="en-US" w:eastAsia="zh-CN"/>
        </w:rPr>
        <w:t>上下认真贯彻落实</w:t>
      </w:r>
      <w:r>
        <w:rPr>
          <w:rFonts w:hint="eastAsia" w:ascii="仿宋_GB2312" w:hAnsi="仿宋_GB2312" w:eastAsia="仿宋_GB2312" w:cs="仿宋_GB2312"/>
          <w:color w:val="000000"/>
          <w:kern w:val="2"/>
          <w:sz w:val="32"/>
          <w:szCs w:val="32"/>
          <w:lang w:val="en-US" w:eastAsia="zh-CN" w:bidi="ar-SA"/>
        </w:rPr>
        <w:t>习近平总书记关于乡村振兴系列重要论述和指示批示精神，严格落实“三会一课”、“一月一课一片一实践”、主题党日、组织生活会、民主评议党员等制度，规范组织生活，局电子显示屏全天候播放习总书记关于乡村振兴相关内容，党务公开栏及时更新，推动党政文化、党政知识上屏、上墙，氛围浓厚。</w:t>
      </w:r>
      <w:r>
        <w:rPr>
          <w:rFonts w:hint="eastAsia" w:ascii="仿宋_GB2312" w:hAnsi="仿宋_GB2312" w:eastAsia="仿宋_GB2312" w:cs="仿宋_GB2312"/>
          <w:b/>
          <w:bCs/>
          <w:color w:val="000000"/>
          <w:sz w:val="32"/>
          <w:szCs w:val="32"/>
        </w:rPr>
        <w:t>二是全面压实</w:t>
      </w:r>
      <w:r>
        <w:rPr>
          <w:rFonts w:hint="eastAsia" w:ascii="仿宋_GB2312" w:hAnsi="仿宋_GB2312" w:eastAsia="仿宋_GB2312" w:cs="仿宋_GB2312"/>
          <w:b/>
          <w:bCs/>
          <w:color w:val="000000"/>
          <w:sz w:val="32"/>
          <w:szCs w:val="32"/>
          <w:lang w:eastAsia="zh-CN"/>
        </w:rPr>
        <w:t>党政</w:t>
      </w:r>
      <w:r>
        <w:rPr>
          <w:rFonts w:hint="eastAsia" w:ascii="仿宋_GB2312" w:hAnsi="仿宋_GB2312" w:eastAsia="仿宋_GB2312" w:cs="仿宋_GB2312"/>
          <w:b/>
          <w:bCs/>
          <w:color w:val="000000"/>
          <w:sz w:val="32"/>
          <w:szCs w:val="32"/>
        </w:rPr>
        <w:t>责任。</w:t>
      </w:r>
      <w:r>
        <w:rPr>
          <w:rFonts w:hint="eastAsia" w:ascii="仿宋_GB2312" w:hAnsi="仿宋_GB2312" w:eastAsia="仿宋_GB2312" w:cs="仿宋_GB2312"/>
          <w:color w:val="000000"/>
          <w:sz w:val="32"/>
          <w:szCs w:val="32"/>
        </w:rPr>
        <w:t>贯彻落实《乡村振兴责任制实施办法》，建立完善县级领导包乡镇和分管行业，行业部门主要领导包行业，乡镇党委书记、乡镇长包乡镇，驻村工作队长、村党支部书记包村，结对帮扶责任人包户的“五个包干”制度，实现联镇联村联户“全覆盖”。</w:t>
      </w:r>
      <w:r>
        <w:rPr>
          <w:rFonts w:hint="eastAsia" w:ascii="仿宋_GB2312" w:hAnsi="仿宋_GB2312" w:eastAsia="仿宋_GB2312" w:cs="仿宋_GB2312"/>
          <w:b/>
          <w:bCs/>
          <w:color w:val="000000"/>
          <w:sz w:val="32"/>
          <w:szCs w:val="32"/>
        </w:rPr>
        <w:t>三是持续建强农村党组织。</w:t>
      </w:r>
      <w:r>
        <w:rPr>
          <w:rFonts w:hint="eastAsia" w:ascii="仿宋_GB2312" w:hAnsi="仿宋_GB2312" w:eastAsia="仿宋_GB2312" w:cs="仿宋_GB2312"/>
          <w:color w:val="000000"/>
          <w:sz w:val="32"/>
          <w:szCs w:val="32"/>
        </w:rPr>
        <w:t>出台《关于进一步加强农村基层党组织和村干部队伍建设的若干措施》，全覆盖开展村党组织届中分析，调整6名推进乡村振兴不力的村（社区）干部。以“四个一”举措，整顿提升6个软弱涣散基层党组织。</w:t>
      </w:r>
    </w:p>
    <w:p w14:paraId="138A151A">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2.持续完善工作机制。</w:t>
      </w:r>
      <w:r>
        <w:rPr>
          <w:rFonts w:hint="eastAsia" w:ascii="仿宋_GB2312" w:hAnsi="仿宋_GB2312" w:eastAsia="仿宋_GB2312" w:cs="仿宋_GB2312"/>
          <w:b/>
          <w:bCs/>
          <w:kern w:val="0"/>
          <w:sz w:val="32"/>
          <w:szCs w:val="32"/>
        </w:rPr>
        <w:t>一是完善推进机制</w:t>
      </w:r>
      <w:r>
        <w:rPr>
          <w:rFonts w:hint="eastAsia" w:ascii="仿宋_GB2312" w:hAnsi="仿宋_GB2312" w:eastAsia="仿宋_GB2312" w:cs="仿宋_GB2312"/>
          <w:kern w:val="0"/>
          <w:sz w:val="32"/>
          <w:szCs w:val="32"/>
        </w:rPr>
        <w:t>。顺应乡村振兴新形势和新要求，</w:t>
      </w:r>
      <w:r>
        <w:rPr>
          <w:rFonts w:hint="eastAsia" w:ascii="仿宋_GB2312" w:hAnsi="仿宋_GB2312" w:eastAsia="仿宋_GB2312" w:cs="仿宋_GB2312"/>
          <w:sz w:val="32"/>
          <w:szCs w:val="32"/>
        </w:rPr>
        <w:t>制定出台《溆浦县乡村建设行动工作推进机制》《关于进一步健全完善帮扶项目联农带农机制的实施意见》等文件，进一步完善有效衔接工作推进机制。</w:t>
      </w:r>
      <w:r>
        <w:rPr>
          <w:rFonts w:hint="eastAsia" w:ascii="仿宋_GB2312" w:hAnsi="仿宋_GB2312" w:eastAsia="仿宋_GB2312" w:cs="仿宋_GB2312"/>
          <w:b/>
          <w:bCs/>
          <w:kern w:val="0"/>
          <w:sz w:val="32"/>
          <w:szCs w:val="32"/>
        </w:rPr>
        <w:t>二是调优帮扶体系。</w:t>
      </w:r>
      <w:r>
        <w:rPr>
          <w:rFonts w:hint="eastAsia" w:ascii="仿宋_GB2312" w:hAnsi="仿宋_GB2312" w:eastAsia="仿宋_GB2312" w:cs="仿宋_GB2312"/>
          <w:kern w:val="0"/>
          <w:sz w:val="32"/>
          <w:szCs w:val="32"/>
        </w:rPr>
        <w:t>结合工作队轮换，组建166支驻村工作队驻扎“四类村”，精选</w:t>
      </w:r>
      <w:r>
        <w:rPr>
          <w:rFonts w:hint="eastAsia" w:ascii="仿宋_GB2312" w:hAnsi="宋体" w:eastAsia="仿宋_GB2312" w:cs="仿宋_GB2312"/>
          <w:color w:val="000000"/>
          <w:kern w:val="0"/>
          <w:sz w:val="32"/>
          <w:szCs w:val="32"/>
        </w:rPr>
        <w:t>1077名领导干部帮扶监测户，安排6279名党员干部联系脱贫户，实现力量资源集中、精准帮扶。</w:t>
      </w:r>
      <w:r>
        <w:rPr>
          <w:rFonts w:hint="eastAsia" w:ascii="仿宋_GB2312" w:hAnsi="仿宋_GB2312" w:eastAsia="仿宋_GB2312" w:cs="仿宋_GB2312"/>
          <w:b/>
          <w:bCs/>
          <w:kern w:val="0"/>
          <w:sz w:val="32"/>
          <w:szCs w:val="32"/>
        </w:rPr>
        <w:t>三是强化专项监督。</w:t>
      </w:r>
      <w:r>
        <w:rPr>
          <w:rFonts w:hint="eastAsia" w:ascii="仿宋_GB2312" w:hAnsi="仿宋_GB2312" w:eastAsia="仿宋_GB2312" w:cs="仿宋_GB2312"/>
          <w:kern w:val="0"/>
          <w:sz w:val="32"/>
          <w:szCs w:val="32"/>
        </w:rPr>
        <w:t>成立“三湘护农”专项行动领导小组，</w:t>
      </w:r>
      <w:r>
        <w:rPr>
          <w:rFonts w:hint="eastAsia" w:ascii="仿宋_GB2312" w:hAnsi="仿宋_GB2312" w:eastAsia="仿宋_GB2312" w:cs="仿宋_GB2312"/>
          <w:sz w:val="32"/>
          <w:szCs w:val="32"/>
        </w:rPr>
        <w:t>建立“定期会商、线索移交、联合督办、信息共享”工作机制，加强乡村振兴领域专项监督。全年受理问题线索61件，立案14件28人，处理49人，处分11人，工作得到中纪委、省纪委肯定。</w:t>
      </w:r>
    </w:p>
    <w:p w14:paraId="0CBF0F22">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eastAsia="仿宋_GB2312"/>
        </w:rPr>
      </w:pPr>
      <w:r>
        <w:rPr>
          <w:rFonts w:hint="eastAsia" w:ascii="楷体_GB2312" w:hAnsi="楷体_GB2312" w:eastAsia="楷体_GB2312" w:cs="楷体_GB2312"/>
          <w:b/>
          <w:bCs/>
          <w:sz w:val="32"/>
          <w:szCs w:val="32"/>
        </w:rPr>
        <w:t>3.持续加强工作保障。</w:t>
      </w:r>
      <w:r>
        <w:rPr>
          <w:rFonts w:hint="eastAsia" w:ascii="仿宋_GB2312" w:hAnsi="楷体_GB2312" w:eastAsia="仿宋_GB2312" w:cs="楷体_GB2312"/>
          <w:b/>
          <w:bCs/>
          <w:sz w:val="32"/>
          <w:szCs w:val="32"/>
        </w:rPr>
        <w:t>一是加强资金保障。</w:t>
      </w:r>
      <w:r>
        <w:rPr>
          <w:rFonts w:hint="eastAsia" w:ascii="仿宋_GB2312" w:hAnsi="仿宋" w:eastAsia="仿宋_GB2312" w:cs="仿宋"/>
          <w:sz w:val="32"/>
          <w:szCs w:val="32"/>
        </w:rPr>
        <w:t>在“因需而整”的前提下做到“应整尽整”，全年统筹使用财政涉农资金27938万元，其中</w:t>
      </w:r>
      <w:r>
        <w:rPr>
          <w:rFonts w:hint="eastAsia" w:ascii="仿宋_GB2312" w:hAnsi="仿宋_GB2312" w:eastAsia="仿宋_GB2312" w:cs="仿宋_GB2312"/>
          <w:sz w:val="32"/>
          <w:szCs w:val="32"/>
          <w:lang w:val="zh-CN"/>
        </w:rPr>
        <w:t>中央财政衔接资金13195万元，用于产业发展</w:t>
      </w:r>
      <w:r>
        <w:rPr>
          <w:rFonts w:hint="eastAsia" w:ascii="仿宋_GB2312" w:hAnsi="仿宋_GB2312" w:eastAsia="仿宋_GB2312" w:cs="仿宋_GB2312"/>
          <w:sz w:val="32"/>
          <w:szCs w:val="32"/>
        </w:rPr>
        <w:t>8050</w:t>
      </w:r>
      <w:r>
        <w:rPr>
          <w:rFonts w:hint="eastAsia" w:ascii="仿宋_GB2312" w:hAnsi="仿宋_GB2312" w:eastAsia="仿宋_GB2312" w:cs="仿宋_GB2312"/>
          <w:sz w:val="32"/>
          <w:szCs w:val="32"/>
          <w:lang w:val="zh-CN"/>
        </w:rPr>
        <w:t>万元，占比</w:t>
      </w:r>
      <w:r>
        <w:rPr>
          <w:rFonts w:hint="eastAsia" w:ascii="仿宋_GB2312" w:hAnsi="仿宋_GB2312" w:eastAsia="仿宋_GB2312" w:cs="仿宋_GB2312"/>
          <w:sz w:val="32"/>
          <w:szCs w:val="32"/>
        </w:rPr>
        <w:t>61%，同比增长3.13%</w:t>
      </w:r>
      <w:r>
        <w:rPr>
          <w:rFonts w:hint="eastAsia" w:ascii="仿宋_GB2312" w:hAnsi="仿宋_GB2312" w:eastAsia="仿宋_GB2312" w:cs="仿宋_GB2312"/>
          <w:sz w:val="32"/>
          <w:szCs w:val="32"/>
          <w:lang w:val="zh-CN"/>
        </w:rPr>
        <w:t>。</w:t>
      </w:r>
      <w:r>
        <w:rPr>
          <w:rFonts w:hint="eastAsia" w:ascii="仿宋_GB2312" w:hAnsi="楷体_GB2312" w:eastAsia="仿宋_GB2312" w:cs="楷体_GB2312"/>
          <w:b/>
          <w:bCs/>
          <w:sz w:val="32"/>
          <w:szCs w:val="32"/>
        </w:rPr>
        <w:t>二是加强能力保障。</w:t>
      </w:r>
      <w:r>
        <w:rPr>
          <w:rFonts w:hint="eastAsia" w:ascii="仿宋_GB2312" w:hAnsi="仿宋_GB2312" w:eastAsia="仿宋_GB2312" w:cs="仿宋_GB2312"/>
          <w:sz w:val="32"/>
          <w:szCs w:val="32"/>
        </w:rPr>
        <w:t>按照“全员、精准、有效”要求，全面加强乡村振兴培训，</w:t>
      </w:r>
      <w:r>
        <w:rPr>
          <w:rFonts w:hint="eastAsia" w:ascii="仿宋_GB2312" w:eastAsia="仿宋_GB2312" w:cs="仿宋_GB2312"/>
          <w:sz w:val="32"/>
          <w:szCs w:val="32"/>
        </w:rPr>
        <w:t>培训基层干部5</w:t>
      </w:r>
      <w:r>
        <w:rPr>
          <w:rFonts w:hint="eastAsia" w:ascii="仿宋_GB2312" w:eastAsia="仿宋_GB2312" w:cs="仿宋_GB2312"/>
          <w:sz w:val="32"/>
          <w:szCs w:val="32"/>
          <w:lang w:val="en-US" w:eastAsia="zh-CN"/>
        </w:rPr>
        <w:t>725</w:t>
      </w:r>
      <w:r>
        <w:rPr>
          <w:rFonts w:hint="eastAsia" w:ascii="仿宋_GB2312" w:eastAsia="仿宋_GB2312" w:cs="仿宋_GB2312"/>
          <w:sz w:val="32"/>
          <w:szCs w:val="32"/>
        </w:rPr>
        <w:t>人，网络培训干部22</w:t>
      </w:r>
      <w:r>
        <w:rPr>
          <w:rFonts w:hint="eastAsia" w:ascii="仿宋_GB2312" w:eastAsia="仿宋_GB2312" w:cs="仿宋_GB2312"/>
          <w:sz w:val="32"/>
          <w:szCs w:val="32"/>
          <w:lang w:val="en-US" w:eastAsia="zh-CN"/>
        </w:rPr>
        <w:t>67</w:t>
      </w:r>
      <w:r>
        <w:rPr>
          <w:rFonts w:hint="eastAsia" w:ascii="仿宋_GB2312" w:eastAsia="仿宋_GB2312" w:cs="仿宋_GB2312"/>
          <w:sz w:val="32"/>
          <w:szCs w:val="32"/>
        </w:rPr>
        <w:t>人。组织121名党政正职到厦门大学、浙江大学开展乡村振兴主题培训，开阔视野、提升能力。</w:t>
      </w:r>
      <w:r>
        <w:rPr>
          <w:rFonts w:hint="eastAsia" w:ascii="仿宋_GB2312" w:hAnsi="楷体_GB2312" w:eastAsia="仿宋_GB2312" w:cs="楷体_GB2312"/>
          <w:b/>
          <w:bCs/>
          <w:sz w:val="32"/>
          <w:szCs w:val="32"/>
        </w:rPr>
        <w:t>三是加强驻村保障。</w:t>
      </w:r>
      <w:r>
        <w:rPr>
          <w:rFonts w:hint="eastAsia" w:ascii="仿宋_GB2312" w:hAnsi="Times New Roman" w:eastAsia="仿宋_GB2312" w:cs="Times New Roman"/>
          <w:sz w:val="32"/>
          <w:szCs w:val="32"/>
        </w:rPr>
        <w:t>全面落实驻村队生活、通讯、交通、人身意外伤害保险和重大疾病保险、健康体检等待遇，按“有办公座椅、有床铺、有衣柜、有空调、有热水器、有厨房、有冰箱”等“七有”要求，全面提升驻村条件，激励干部安心投身乡村振兴。</w:t>
      </w:r>
    </w:p>
    <w:p w14:paraId="1058FF71">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二</w:t>
      </w:r>
      <w:r>
        <w:rPr>
          <w:rFonts w:hint="eastAsia" w:ascii="黑体" w:hAnsi="黑体" w:eastAsia="黑体" w:cs="黑体"/>
          <w:b/>
          <w:bCs/>
          <w:sz w:val="32"/>
          <w:szCs w:val="32"/>
          <w:shd w:val="clear" w:color="auto" w:fill="FFFFFF"/>
          <w:lang w:eastAsia="zh-CN"/>
        </w:rPr>
        <w:t>）守牢防止返贫这条底线，持续巩固脱贫成果</w:t>
      </w:r>
    </w:p>
    <w:p w14:paraId="20E60A81">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习近平</w:t>
      </w:r>
      <w:r>
        <w:rPr>
          <w:rFonts w:ascii="仿宋_GB2312" w:hAnsi="仿宋" w:eastAsia="仿宋_GB2312" w:cs="仿宋"/>
          <w:sz w:val="32"/>
          <w:szCs w:val="32"/>
        </w:rPr>
        <w:t>总书记</w:t>
      </w:r>
      <w:r>
        <w:rPr>
          <w:rFonts w:hint="eastAsia" w:ascii="仿宋_GB2312" w:hAnsi="仿宋" w:eastAsia="仿宋_GB2312" w:cs="仿宋"/>
          <w:sz w:val="32"/>
          <w:szCs w:val="32"/>
        </w:rPr>
        <w:t>强调“</w:t>
      </w:r>
      <w:r>
        <w:rPr>
          <w:rFonts w:ascii="仿宋_GB2312" w:hAnsi="仿宋" w:eastAsia="仿宋_GB2312" w:cs="仿宋"/>
          <w:sz w:val="32"/>
          <w:szCs w:val="32"/>
        </w:rPr>
        <w:t>巩固拓展脱贫攻坚成果是全面推进乡村振兴的底线任务</w:t>
      </w:r>
      <w:r>
        <w:rPr>
          <w:rFonts w:hint="eastAsia" w:ascii="仿宋_GB2312" w:hAnsi="仿宋" w:eastAsia="仿宋_GB2312" w:cs="仿宋"/>
          <w:sz w:val="32"/>
          <w:szCs w:val="32"/>
        </w:rPr>
        <w:t>”</w:t>
      </w:r>
      <w:r>
        <w:rPr>
          <w:rFonts w:ascii="仿宋_GB2312" w:hAnsi="仿宋" w:eastAsia="仿宋_GB2312" w:cs="仿宋"/>
          <w:sz w:val="32"/>
          <w:szCs w:val="32"/>
        </w:rPr>
        <w:t>。</w:t>
      </w:r>
      <w:r>
        <w:rPr>
          <w:rFonts w:hint="eastAsia" w:ascii="仿宋_GB2312" w:hAnsi="仿宋" w:eastAsia="仿宋_GB2312" w:cs="仿宋"/>
          <w:sz w:val="32"/>
          <w:szCs w:val="32"/>
        </w:rPr>
        <w:t>我们坚决守牢这一底线，不断拓展脱贫成果。</w:t>
      </w:r>
    </w:p>
    <w:p w14:paraId="3F6EA0EF">
      <w:pPr>
        <w:pStyle w:val="3"/>
        <w:keepNext w:val="0"/>
        <w:keepLines w:val="0"/>
        <w:pageBreakBefore w:val="0"/>
        <w:widowControl w:val="0"/>
        <w:kinsoku/>
        <w:wordWrap/>
        <w:overflowPunct/>
        <w:topLinePunct w:val="0"/>
        <w:autoSpaceDN/>
        <w:bidi w:val="0"/>
        <w:adjustRightInd/>
        <w:snapToGrid/>
        <w:spacing w:after="0" w:line="600" w:lineRule="exact"/>
        <w:ind w:firstLine="640" w:firstLineChars="200"/>
        <w:textAlignment w:val="auto"/>
        <w:rPr>
          <w:rFonts w:ascii="黑体" w:hAnsi="黑体" w:eastAsia="黑体" w:cs="黑体"/>
          <w:sz w:val="32"/>
          <w:szCs w:val="32"/>
        </w:rPr>
      </w:pPr>
      <w:r>
        <w:rPr>
          <w:rFonts w:hint="eastAsia" w:ascii="楷体_GB2312" w:hAnsi="楷体_GB2312" w:eastAsia="楷体_GB2312" w:cs="楷体_GB2312"/>
          <w:b/>
          <w:bCs/>
          <w:sz w:val="32"/>
          <w:szCs w:val="32"/>
        </w:rPr>
        <w:t>1.严防死守不发生返贫。</w:t>
      </w:r>
      <w:r>
        <w:rPr>
          <w:rFonts w:hint="eastAsia" w:ascii="仿宋_GB2312" w:hAnsi="仿宋_GB2312" w:eastAsia="仿宋_GB2312" w:cs="仿宋_GB2312"/>
          <w:sz w:val="32"/>
          <w:szCs w:val="32"/>
        </w:rPr>
        <w:t>制订《实施“一户一画像、一户一套餐”防返贫动态监测和精准帮扶工作方案》，创新“大数据+微网格”防贫模式，扎实推进防返贫监测帮扶工作。今年来，出动党员干部10682名，对224658户796644人精准“画像”，新识别监测对象</w:t>
      </w:r>
      <w:r>
        <w:rPr>
          <w:rFonts w:hint="eastAsia" w:ascii="仿宋_GB2312" w:hAnsi="仿宋_GB2312" w:eastAsia="仿宋_GB2312" w:cs="仿宋_GB2312"/>
          <w:snapToGrid w:val="0"/>
          <w:kern w:val="0"/>
          <w:sz w:val="32"/>
          <w:szCs w:val="32"/>
          <w:lang w:val="en-US" w:eastAsia="zh-CN"/>
        </w:rPr>
        <w:t>314</w:t>
      </w:r>
      <w:r>
        <w:rPr>
          <w:rFonts w:hint="eastAsia" w:ascii="仿宋_GB2312" w:hAnsi="仿宋_GB2312" w:eastAsia="仿宋_GB2312" w:cs="仿宋_GB2312"/>
          <w:snapToGrid w:val="0"/>
          <w:kern w:val="0"/>
          <w:sz w:val="32"/>
          <w:szCs w:val="32"/>
        </w:rPr>
        <w:t>户</w:t>
      </w:r>
      <w:r>
        <w:rPr>
          <w:rFonts w:hint="eastAsia" w:ascii="仿宋_GB2312" w:hAnsi="仿宋_GB2312" w:eastAsia="仿宋_GB2312" w:cs="仿宋_GB2312"/>
          <w:snapToGrid w:val="0"/>
          <w:kern w:val="0"/>
          <w:sz w:val="32"/>
          <w:szCs w:val="32"/>
          <w:lang w:val="en-US" w:eastAsia="zh-CN"/>
        </w:rPr>
        <w:t>795</w:t>
      </w:r>
      <w:r>
        <w:rPr>
          <w:rFonts w:hint="eastAsia" w:ascii="仿宋_GB2312" w:hAnsi="仿宋_GB2312" w:eastAsia="仿宋_GB2312" w:cs="仿宋_GB2312"/>
          <w:snapToGrid w:val="0"/>
          <w:kern w:val="0"/>
          <w:sz w:val="32"/>
          <w:szCs w:val="32"/>
        </w:rPr>
        <w:t>人</w:t>
      </w:r>
      <w:r>
        <w:rPr>
          <w:rFonts w:hint="eastAsia" w:ascii="仿宋_GB2312" w:hAnsi="仿宋_GB2312" w:eastAsia="仿宋_GB2312" w:cs="仿宋_GB2312"/>
          <w:sz w:val="32"/>
          <w:szCs w:val="32"/>
        </w:rPr>
        <w:t>，户均落实帮扶措施4.4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项，消除风险240户750人，无一人返贫。</w:t>
      </w:r>
    </w:p>
    <w:p w14:paraId="286CEABB">
      <w:pPr>
        <w:pStyle w:val="22"/>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hAnsi="仿宋_GB2312" w:eastAsia="仿宋_GB2312" w:cs="仿宋_GB2312"/>
          <w:color w:val="000000"/>
          <w:sz w:val="32"/>
          <w:szCs w:val="32"/>
          <w:lang w:val="zh-CN"/>
        </w:rPr>
      </w:pPr>
      <w:r>
        <w:rPr>
          <w:rFonts w:hint="eastAsia" w:ascii="楷体_GB2312" w:hAnsi="楷体_GB2312" w:eastAsia="楷体_GB2312" w:cs="楷体_GB2312"/>
          <w:b/>
          <w:bCs/>
          <w:sz w:val="32"/>
          <w:szCs w:val="32"/>
        </w:rPr>
        <w:t>2.精准落实帮扶政策。</w:t>
      </w:r>
      <w:r>
        <w:rPr>
          <w:rFonts w:hint="eastAsia" w:hAnsi="仿宋_GB2312" w:eastAsia="仿宋_GB2312" w:cs="仿宋_GB2312"/>
          <w:sz w:val="32"/>
          <w:szCs w:val="32"/>
        </w:rPr>
        <w:t>以落实政策为抓手，持续巩固“两不愁三保障”成果。</w:t>
      </w:r>
      <w:r>
        <w:rPr>
          <w:rFonts w:hint="eastAsia" w:hAnsi="仿宋_GB2312" w:eastAsia="仿宋_GB2312" w:cs="仿宋_GB2312"/>
          <w:b/>
          <w:bCs/>
          <w:sz w:val="32"/>
          <w:szCs w:val="32"/>
        </w:rPr>
        <w:t>教育保障方面，</w:t>
      </w:r>
      <w:r>
        <w:rPr>
          <w:rFonts w:hint="eastAsia" w:hAnsi="仿宋_GB2312" w:eastAsia="仿宋_GB2312" w:cs="仿宋_GB2312"/>
          <w:color w:val="000000"/>
          <w:sz w:val="32"/>
          <w:szCs w:val="32"/>
          <w:lang w:val="zh-CN"/>
        </w:rPr>
        <w:t>资助困难学生</w:t>
      </w:r>
      <w:r>
        <w:rPr>
          <w:rFonts w:hint="eastAsia" w:hAnsi="仿宋_GB2312" w:eastAsia="仿宋_GB2312" w:cs="仿宋_GB2312"/>
          <w:color w:val="000000"/>
          <w:sz w:val="32"/>
          <w:szCs w:val="32"/>
          <w:lang w:val="en-US" w:eastAsia="zh-CN"/>
        </w:rPr>
        <w:t>73750</w:t>
      </w:r>
      <w:r>
        <w:rPr>
          <w:rFonts w:hint="eastAsia" w:hAnsi="仿宋_GB2312" w:eastAsia="仿宋_GB2312" w:cs="仿宋_GB2312"/>
          <w:color w:val="000000"/>
          <w:sz w:val="32"/>
          <w:szCs w:val="32"/>
          <w:lang w:val="zh-CN"/>
        </w:rPr>
        <w:t>人次，帮扶资金</w:t>
      </w:r>
      <w:r>
        <w:rPr>
          <w:rFonts w:hint="eastAsia" w:hAnsi="仿宋_GB2312" w:eastAsia="仿宋_GB2312" w:cs="仿宋_GB2312"/>
          <w:color w:val="000000"/>
          <w:sz w:val="32"/>
          <w:szCs w:val="32"/>
          <w:lang w:val="en-US" w:eastAsia="zh-CN"/>
        </w:rPr>
        <w:t>5044.62</w:t>
      </w:r>
      <w:r>
        <w:rPr>
          <w:rFonts w:hint="eastAsia" w:hAnsi="仿宋_GB2312" w:eastAsia="仿宋_GB2312" w:cs="仿宋_GB2312"/>
          <w:color w:val="000000"/>
          <w:sz w:val="32"/>
          <w:szCs w:val="32"/>
          <w:lang w:val="zh-CN"/>
        </w:rPr>
        <w:t>万元</w:t>
      </w:r>
      <w:r>
        <w:rPr>
          <w:rFonts w:hint="eastAsia" w:hAnsi="仿宋_GB2312" w:eastAsia="仿宋_GB2312" w:cs="仿宋_GB2312"/>
          <w:color w:val="000000"/>
          <w:sz w:val="32"/>
          <w:szCs w:val="32"/>
        </w:rPr>
        <w:t>，</w:t>
      </w:r>
      <w:r>
        <w:rPr>
          <w:rFonts w:hint="eastAsia" w:hAnsi="仿宋_GB2312" w:eastAsia="仿宋_GB2312" w:cs="仿宋_GB2312"/>
          <w:color w:val="000000"/>
          <w:sz w:val="32"/>
          <w:szCs w:val="32"/>
          <w:lang w:val="zh-CN"/>
        </w:rPr>
        <w:t>为2</w:t>
      </w:r>
      <w:r>
        <w:rPr>
          <w:rFonts w:hint="eastAsia" w:hAnsi="仿宋_GB2312" w:eastAsia="仿宋_GB2312" w:cs="仿宋_GB2312"/>
          <w:color w:val="000000"/>
          <w:sz w:val="32"/>
          <w:szCs w:val="32"/>
        </w:rPr>
        <w:t>11</w:t>
      </w:r>
      <w:r>
        <w:rPr>
          <w:rFonts w:hint="eastAsia" w:hAnsi="仿宋_GB2312" w:eastAsia="仿宋_GB2312" w:cs="仿宋_GB2312"/>
          <w:color w:val="000000"/>
          <w:sz w:val="32"/>
          <w:szCs w:val="32"/>
          <w:lang w:val="zh-CN"/>
        </w:rPr>
        <w:t>名适龄儿童少年送教上门，无一人失学辍学。</w:t>
      </w:r>
      <w:r>
        <w:rPr>
          <w:rFonts w:hint="eastAsia" w:hAnsi="仿宋_GB2312" w:eastAsia="仿宋_GB2312" w:cs="仿宋_GB2312"/>
          <w:b/>
          <w:bCs/>
          <w:sz w:val="32"/>
          <w:szCs w:val="32"/>
          <w:lang w:val="zh-CN"/>
        </w:rPr>
        <w:t>医疗保障</w:t>
      </w:r>
      <w:r>
        <w:rPr>
          <w:rFonts w:hint="eastAsia" w:hAnsi="仿宋_GB2312" w:eastAsia="仿宋_GB2312" w:cs="仿宋_GB2312"/>
          <w:b/>
          <w:bCs/>
          <w:sz w:val="32"/>
          <w:szCs w:val="32"/>
        </w:rPr>
        <w:t>方面。</w:t>
      </w:r>
      <w:r>
        <w:rPr>
          <w:rFonts w:hint="eastAsia" w:hAnsi="仿宋_GB2312" w:eastAsia="仿宋_GB2312" w:cs="仿宋_GB2312"/>
          <w:sz w:val="32"/>
          <w:szCs w:val="32"/>
        </w:rPr>
        <w:t>33种大病救治率、脱贫人口和监测户“四类慢性病”患者签约服务率、脱贫人口和监测户参保率均达100%。</w:t>
      </w:r>
      <w:r>
        <w:rPr>
          <w:rFonts w:hint="eastAsia" w:hAnsi="仿宋_GB2312" w:eastAsia="仿宋_GB2312" w:cs="仿宋_GB2312"/>
          <w:b/>
          <w:bCs/>
          <w:sz w:val="32"/>
          <w:szCs w:val="32"/>
        </w:rPr>
        <w:t>住房保障方面。</w:t>
      </w:r>
      <w:r>
        <w:rPr>
          <w:rFonts w:hint="eastAsia" w:hAnsi="仿宋_GB2312" w:eastAsia="仿宋_GB2312" w:cs="仿宋_GB2312"/>
          <w:sz w:val="32"/>
          <w:szCs w:val="32"/>
        </w:rPr>
        <w:t>常态化开展房屋安全质量排查鉴定，今年改造危房192户，无一人住危房。</w:t>
      </w:r>
      <w:r>
        <w:rPr>
          <w:rFonts w:hint="eastAsia" w:hAnsi="仿宋_GB2312" w:eastAsia="仿宋_GB2312" w:cs="仿宋_GB2312"/>
          <w:b/>
          <w:bCs/>
          <w:sz w:val="32"/>
          <w:szCs w:val="32"/>
        </w:rPr>
        <w:t>饮水安全方面。</w:t>
      </w:r>
      <w:r>
        <w:rPr>
          <w:rFonts w:hint="eastAsia" w:hAnsi="仿宋_GB2312" w:eastAsia="仿宋_GB2312" w:cs="仿宋_GB2312"/>
          <w:color w:val="000000"/>
          <w:sz w:val="32"/>
          <w:szCs w:val="32"/>
          <w:lang w:val="zh-CN"/>
        </w:rPr>
        <w:t>整合资金600万元，实施农村饮水安全巩固提升工程19处</w:t>
      </w:r>
      <w:r>
        <w:rPr>
          <w:rFonts w:hint="eastAsia" w:hAnsi="仿宋_GB2312" w:eastAsia="仿宋_GB2312" w:cs="仿宋_GB2312"/>
          <w:color w:val="000000"/>
          <w:sz w:val="32"/>
          <w:szCs w:val="32"/>
          <w:lang w:val="zh-CN" w:eastAsia="zh-CN"/>
        </w:rPr>
        <w:t>；</w:t>
      </w:r>
      <w:r>
        <w:rPr>
          <w:rFonts w:hint="eastAsia" w:hAnsi="仿宋_GB2312" w:eastAsia="仿宋_GB2312" w:cs="仿宋_GB2312"/>
          <w:color w:val="000000"/>
          <w:sz w:val="32"/>
          <w:szCs w:val="32"/>
          <w:lang w:val="zh-CN"/>
        </w:rPr>
        <w:t>投入养护资金272万元，维修农村饮水项目144处，实现饮水安全问题动态清零。</w:t>
      </w:r>
    </w:p>
    <w:p w14:paraId="6A6D944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Ansi="仿宋_GB2312" w:eastAsia="仿宋_GB2312" w:cs="仿宋_GB2312"/>
          <w:color w:val="000000"/>
          <w:sz w:val="32"/>
          <w:szCs w:val="32"/>
        </w:rPr>
      </w:pPr>
      <w:r>
        <w:rPr>
          <w:rFonts w:hint="eastAsia" w:ascii="楷体_GB2312" w:hAnsi="楷体_GB2312" w:eastAsia="楷体_GB2312" w:cs="楷体_GB2312"/>
          <w:b/>
          <w:bCs/>
          <w:sz w:val="32"/>
          <w:szCs w:val="32"/>
        </w:rPr>
        <w:t>3.不断强化后续帮扶。</w:t>
      </w:r>
      <w:r>
        <w:rPr>
          <w:rFonts w:hint="eastAsia" w:ascii="仿宋_GB2312" w:hAnsi="仿宋_GB2312" w:eastAsia="仿宋_GB2312" w:cs="仿宋_GB2312"/>
          <w:b/>
          <w:bCs/>
          <w:sz w:val="32"/>
          <w:szCs w:val="32"/>
          <w:lang w:val="zh-CN"/>
        </w:rPr>
        <w:t>在基础保障方面</w:t>
      </w:r>
      <w:r>
        <w:rPr>
          <w:rFonts w:hint="eastAsia"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rPr>
        <w:t>安排</w:t>
      </w:r>
      <w:r>
        <w:rPr>
          <w:rFonts w:hint="eastAsia" w:hAnsi="仿宋_GB2312" w:eastAsia="仿宋_GB2312" w:cs="仿宋_GB2312"/>
          <w:color w:val="000000"/>
          <w:sz w:val="32"/>
          <w:szCs w:val="32"/>
          <w:lang w:val="zh-CN"/>
        </w:rPr>
        <w:t>资金</w:t>
      </w:r>
      <w:r>
        <w:rPr>
          <w:rFonts w:hint="eastAsia" w:ascii="仿宋_GB2312" w:hAnsi="仿宋_GB2312" w:eastAsia="仿宋_GB2312" w:cs="仿宋_GB2312"/>
          <w:color w:val="000000"/>
          <w:sz w:val="32"/>
          <w:szCs w:val="32"/>
        </w:rPr>
        <w:t>174万元用于</w:t>
      </w:r>
      <w:r>
        <w:rPr>
          <w:rFonts w:hint="eastAsia" w:hAnsi="仿宋_GB2312" w:eastAsia="仿宋_GB2312" w:cs="仿宋_GB2312"/>
          <w:color w:val="000000"/>
          <w:sz w:val="32"/>
          <w:szCs w:val="32"/>
        </w:rPr>
        <w:t>“小微”建设，</w:t>
      </w:r>
      <w:r>
        <w:rPr>
          <w:rFonts w:hint="eastAsia" w:ascii="仿宋_GB2312" w:hAnsi="仿宋_GB2312" w:eastAsia="仿宋_GB2312" w:cs="仿宋_GB2312"/>
          <w:color w:val="000000"/>
          <w:sz w:val="32"/>
          <w:szCs w:val="32"/>
          <w:lang w:val="zh-CN"/>
        </w:rPr>
        <w:t>集中安置区水、电、路、通讯、有线、垃圾及污水处理等设施全</w:t>
      </w:r>
      <w:r>
        <w:rPr>
          <w:rFonts w:hint="eastAsia" w:hAnsi="仿宋_GB2312" w:eastAsia="仿宋_GB2312" w:cs="仿宋_GB2312"/>
          <w:color w:val="000000"/>
          <w:sz w:val="32"/>
          <w:szCs w:val="32"/>
          <w:lang w:val="zh-CN"/>
        </w:rPr>
        <w:t>面完善</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b/>
          <w:bCs/>
          <w:sz w:val="32"/>
          <w:szCs w:val="32"/>
          <w:lang w:val="zh-CN"/>
        </w:rPr>
        <w:t>在提升致富能力方面，</w:t>
      </w:r>
      <w:r>
        <w:rPr>
          <w:rFonts w:hint="eastAsia" w:hAnsi="仿宋_GB2312" w:eastAsia="仿宋_GB2312" w:cs="仿宋_GB2312"/>
          <w:color w:val="000000"/>
          <w:sz w:val="32"/>
          <w:szCs w:val="32"/>
          <w:lang w:val="zh-CN"/>
        </w:rPr>
        <w:t>以开发式帮扶为主，推进产业就业帮扶，有劳力的搬迁户户均落实产业帮扶政策1项以上，实现稳定就业1人以上，今年搬迁群众收入增速</w:t>
      </w:r>
      <w:r>
        <w:rPr>
          <w:rFonts w:hint="eastAsia" w:hAnsi="仿宋_GB2312" w:eastAsia="仿宋_GB2312" w:cs="仿宋_GB2312"/>
          <w:color w:val="000000"/>
          <w:sz w:val="32"/>
          <w:szCs w:val="32"/>
          <w:lang w:val="zh-CN" w:eastAsia="zh-CN"/>
        </w:rPr>
        <w:t>达</w:t>
      </w:r>
      <w:r>
        <w:rPr>
          <w:rFonts w:hint="eastAsia" w:hAnsi="仿宋_GB2312" w:eastAsia="仿宋_GB2312" w:cs="仿宋_GB2312"/>
          <w:color w:val="000000"/>
          <w:sz w:val="32"/>
          <w:szCs w:val="32"/>
          <w:lang w:val="en-US" w:eastAsia="zh-CN"/>
        </w:rPr>
        <w:t>14.45%</w:t>
      </w:r>
      <w:r>
        <w:rPr>
          <w:rFonts w:hint="eastAsia" w:hAnsi="仿宋_GB2312" w:eastAsia="仿宋_GB2312" w:cs="仿宋_GB2312"/>
          <w:color w:val="000000"/>
          <w:sz w:val="32"/>
          <w:szCs w:val="32"/>
          <w:lang w:val="zh-CN"/>
        </w:rPr>
        <w:t>。</w:t>
      </w:r>
      <w:r>
        <w:rPr>
          <w:rFonts w:hint="eastAsia" w:ascii="仿宋_GB2312" w:hAnsi="仿宋_GB2312" w:eastAsia="仿宋_GB2312" w:cs="仿宋_GB2312"/>
          <w:b/>
          <w:bCs/>
          <w:sz w:val="32"/>
          <w:szCs w:val="32"/>
        </w:rPr>
        <w:t>在社区融入方面，</w:t>
      </w:r>
      <w:r>
        <w:rPr>
          <w:rFonts w:hint="eastAsia" w:hAnsi="仿宋_GB2312" w:eastAsia="仿宋_GB2312" w:cs="仿宋_GB2312"/>
          <w:color w:val="000000"/>
          <w:sz w:val="32"/>
          <w:szCs w:val="32"/>
        </w:rPr>
        <w:t>强化</w:t>
      </w:r>
      <w:r>
        <w:rPr>
          <w:rFonts w:hAnsi="仿宋_GB2312" w:eastAsia="仿宋_GB2312" w:cs="仿宋_GB2312"/>
          <w:color w:val="000000"/>
          <w:sz w:val="32"/>
          <w:szCs w:val="32"/>
        </w:rPr>
        <w:t>“一站两委四会”</w:t>
      </w:r>
      <w:r>
        <w:rPr>
          <w:rFonts w:hint="eastAsia" w:hAnsi="仿宋_GB2312" w:eastAsia="仿宋_GB2312" w:cs="仿宋_GB2312"/>
          <w:color w:val="000000"/>
          <w:sz w:val="32"/>
          <w:szCs w:val="32"/>
        </w:rPr>
        <w:t>作用的同时，</w:t>
      </w:r>
      <w:r>
        <w:rPr>
          <w:rFonts w:hint="eastAsia" w:hAnsi="仿宋_GB2312" w:eastAsia="仿宋_GB2312" w:cs="仿宋_GB2312"/>
          <w:color w:val="000000"/>
          <w:sz w:val="32"/>
          <w:szCs w:val="32"/>
          <w:lang w:val="zh-CN"/>
        </w:rPr>
        <w:t>在县城安置点探索以迁入地为主、原籍地为辅的双重管理办法，在其他安置点按本人意愿，灵活选择就业就学、户籍管理等方式，确保了“搬得出、稳得住”。</w:t>
      </w:r>
    </w:p>
    <w:p w14:paraId="723D7D9C">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4.着力完善兜底机制。</w:t>
      </w:r>
      <w:r>
        <w:rPr>
          <w:rFonts w:hint="eastAsia" w:ascii="仿宋_GB2312" w:hAnsi="仿宋_GB2312" w:eastAsia="仿宋_GB2312" w:cs="仿宋_GB2312"/>
          <w:b/>
          <w:bCs/>
          <w:sz w:val="32"/>
          <w:szCs w:val="32"/>
        </w:rPr>
        <w:t>一是优化低保对象动态调整机制</w:t>
      </w:r>
      <w:r>
        <w:rPr>
          <w:rFonts w:hint="eastAsia" w:ascii="仿宋_GB2312" w:hAnsi="仿宋_GB2312" w:eastAsia="仿宋_GB2312" w:cs="仿宋_GB2312"/>
          <w:sz w:val="32"/>
          <w:szCs w:val="32"/>
        </w:rPr>
        <w:t>。成立家庭收入核算小组，推行“核算为主、评议为辅”的识别机制，今年新纳入低保对象</w:t>
      </w:r>
      <w:r>
        <w:rPr>
          <w:rFonts w:hint="eastAsia" w:ascii="仿宋_GB2312" w:hAnsi="仿宋_GB2312" w:eastAsia="仿宋_GB2312" w:cs="仿宋_GB2312"/>
          <w:sz w:val="32"/>
          <w:szCs w:val="32"/>
          <w:lang w:val="en-US" w:eastAsia="zh-CN"/>
        </w:rPr>
        <w:t>1933</w:t>
      </w:r>
      <w:r>
        <w:rPr>
          <w:rFonts w:hint="eastAsia" w:ascii="仿宋_GB2312" w:hAnsi="仿宋_GB2312" w:eastAsia="仿宋_GB2312" w:cs="仿宋_GB2312"/>
          <w:sz w:val="32"/>
          <w:szCs w:val="32"/>
        </w:rPr>
        <w:t>人，做到了应保尽保。</w:t>
      </w:r>
      <w:r>
        <w:rPr>
          <w:rFonts w:hint="eastAsia" w:ascii="仿宋_GB2312" w:hAnsi="仿宋_GB2312" w:eastAsia="仿宋_GB2312" w:cs="仿宋_GB2312"/>
          <w:b/>
          <w:bCs/>
          <w:sz w:val="32"/>
          <w:szCs w:val="32"/>
        </w:rPr>
        <w:t>二是优化精准救助方式。</w:t>
      </w:r>
      <w:r>
        <w:rPr>
          <w:rFonts w:hint="eastAsia" w:ascii="仿宋_GB2312" w:hAnsi="仿宋_GB2312" w:eastAsia="仿宋_GB2312" w:cs="仿宋_GB2312"/>
          <w:sz w:val="32"/>
          <w:szCs w:val="32"/>
        </w:rPr>
        <w:t>发挥县乡村“三级联动”作用，推动社会救助从“被动申请”向“主动发现”转变，今年实施临时救助6010人次，发放救助资金650.45万元，确保了应救尽救，精准施救。</w:t>
      </w:r>
      <w:r>
        <w:rPr>
          <w:rFonts w:hint="eastAsia" w:ascii="仿宋_GB2312" w:hAnsi="仿宋_GB2312" w:eastAsia="仿宋_GB2312" w:cs="仿宋_GB2312"/>
          <w:b/>
          <w:bCs/>
          <w:sz w:val="32"/>
          <w:szCs w:val="32"/>
        </w:rPr>
        <w:t>三是建立特殊困难群体结对帮扶机制。</w:t>
      </w:r>
      <w:r>
        <w:rPr>
          <w:rFonts w:hint="eastAsia" w:ascii="仿宋_GB2312" w:hAnsi="仿宋_GB2312" w:eastAsia="仿宋_GB2312" w:cs="仿宋_GB2312"/>
          <w:sz w:val="32"/>
          <w:szCs w:val="32"/>
        </w:rPr>
        <w:t>投入资金206万元建强乡镇社工站，以购买服务的方式，对1163名生活不能自理的困难群众提供照料服务，保障基本生活。</w:t>
      </w:r>
    </w:p>
    <w:p w14:paraId="58CD5948">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三</w:t>
      </w: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紧扣乡村振兴这根主线，全面建设和美乡村</w:t>
      </w:r>
    </w:p>
    <w:p w14:paraId="389936AB">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近年，中央一号文件持续将乡村振兴作为主线，部署推进“三农”工作。我县紧扣这一主线任务，推动“三农”发展。</w:t>
      </w:r>
    </w:p>
    <w:p w14:paraId="6C414DE3">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楷体_GB2312" w:hAnsi="楷体_GB2312" w:eastAsia="楷体_GB2312" w:cs="楷体_GB2312"/>
          <w:b/>
          <w:bCs/>
          <w:sz w:val="32"/>
          <w:szCs w:val="32"/>
        </w:rPr>
        <w:t>1.全力推动农民增收。</w:t>
      </w:r>
      <w:r>
        <w:rPr>
          <w:rFonts w:hint="eastAsia" w:ascii="仿宋_GB2312" w:hAnsi="仿宋_GB2312" w:eastAsia="仿宋_GB2312" w:cs="仿宋_GB2312"/>
          <w:sz w:val="32"/>
          <w:szCs w:val="32"/>
        </w:rPr>
        <w:t>紧扣增收这一关键，推动农民致富。</w:t>
      </w:r>
      <w:r>
        <w:rPr>
          <w:rFonts w:hint="eastAsia" w:ascii="仿宋_GB2312" w:hAnsi="仿宋_GB2312" w:eastAsia="仿宋_GB2312" w:cs="仿宋_GB2312"/>
          <w:b/>
          <w:bCs/>
          <w:sz w:val="32"/>
          <w:szCs w:val="32"/>
        </w:rPr>
        <w:t>一是兴产业促就业。</w:t>
      </w:r>
      <w:r>
        <w:rPr>
          <w:rFonts w:hint="eastAsia" w:ascii="仿宋_GB2312" w:hAnsi="仿宋_GB2312" w:eastAsia="仿宋_GB2312" w:cs="仿宋_GB2312"/>
          <w:sz w:val="32"/>
          <w:szCs w:val="32"/>
        </w:rPr>
        <w:t>着力打造“10+2”产业链，湘维公司再增2条生产线、投资32亿元的硅砂提纯项目正式开工、新引进21家阀门企业，雨溆工业园14家企业正式投产，新发展中药材5520亩、茶叶2300亩，溆浦（龙潭）山银花集散中心建成揭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rPr>
        <w:t>全县脱贫人口人均纯收入</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15644元，增速达13.22%。</w:t>
      </w:r>
      <w:r>
        <w:rPr>
          <w:rFonts w:hint="eastAsia" w:ascii="仿宋_GB2312" w:hAnsi="仿宋_GB2312" w:eastAsia="仿宋_GB2312" w:cs="仿宋_GB2312"/>
          <w:b/>
          <w:bCs/>
          <w:sz w:val="32"/>
          <w:szCs w:val="32"/>
        </w:rPr>
        <w:t>二是稳就业促增收。</w:t>
      </w:r>
      <w:r>
        <w:rPr>
          <w:rFonts w:hint="eastAsia" w:ascii="仿宋_GB2312" w:hAnsi="仿宋_GB2312" w:eastAsia="仿宋_GB2312" w:cs="仿宋_GB2312"/>
          <w:sz w:val="32"/>
          <w:szCs w:val="32"/>
        </w:rPr>
        <w:t>出台《溆浦县就业困难人员就业帮扶十条措施》，开展各类职业技能培训2458人次，安置公益性岗位</w:t>
      </w:r>
      <w:r>
        <w:rPr>
          <w:rFonts w:hint="eastAsia" w:ascii="仿宋_GB2312" w:hAnsi="仿宋_GB2312" w:eastAsia="仿宋_GB2312" w:cs="仿宋_GB2312"/>
          <w:sz w:val="32"/>
          <w:szCs w:val="32"/>
          <w:lang w:val="en-US" w:eastAsia="zh-CN"/>
        </w:rPr>
        <w:t>2416</w:t>
      </w:r>
      <w:r>
        <w:rPr>
          <w:rFonts w:hint="eastAsia" w:ascii="仿宋_GB2312" w:hAnsi="仿宋_GB2312" w:eastAsia="仿宋_GB2312" w:cs="仿宋_GB2312"/>
          <w:sz w:val="32"/>
          <w:szCs w:val="32"/>
        </w:rPr>
        <w:t>人，全县新增城镇就业2112人，新增农村劳动力转移就业3675人，</w:t>
      </w:r>
      <w:r>
        <w:rPr>
          <w:rFonts w:hint="eastAsia" w:ascii="仿宋_GB2312" w:hAnsi="宋体" w:eastAsia="仿宋_GB2312" w:cs="宋体"/>
          <w:bCs w:val="0"/>
          <w:color w:val="auto"/>
          <w:kern w:val="2"/>
          <w:sz w:val="32"/>
          <w:szCs w:val="32"/>
          <w:shd w:val="clear" w:color="auto" w:fill="auto"/>
          <w:lang w:val="en-US" w:eastAsia="zh-CN" w:bidi="ar-SA"/>
        </w:rPr>
        <w:t>5.72</w:t>
      </w:r>
      <w:r>
        <w:rPr>
          <w:rFonts w:hint="eastAsia" w:ascii="仿宋_GB2312" w:hAnsi="仿宋_GB2312" w:eastAsia="仿宋_GB2312" w:cs="仿宋_GB2312"/>
          <w:sz w:val="32"/>
          <w:szCs w:val="32"/>
        </w:rPr>
        <w:t>万有就业意愿的脱贫劳动力全部就业。</w:t>
      </w:r>
      <w:r>
        <w:rPr>
          <w:rFonts w:hint="eastAsia" w:ascii="仿宋_GB2312" w:hAnsi="仿宋_GB2312" w:eastAsia="仿宋_GB2312" w:cs="仿宋_GB2312"/>
          <w:b/>
          <w:bCs/>
          <w:sz w:val="32"/>
          <w:szCs w:val="32"/>
        </w:rPr>
        <w:t>三是提标准保兜底。</w:t>
      </w:r>
      <w:r>
        <w:rPr>
          <w:rFonts w:hint="eastAsia" w:ascii="仿宋_GB2312" w:hAnsi="仿宋_GB2312" w:eastAsia="仿宋_GB2312" w:cs="仿宋_GB2312"/>
          <w:sz w:val="32"/>
          <w:szCs w:val="32"/>
        </w:rPr>
        <w:t>克服财政困难，将农村低保提高至5016元/年/人，残疾人“两项补贴”提高至80元/月/人。</w:t>
      </w:r>
    </w:p>
    <w:p w14:paraId="043243EC">
      <w:pPr>
        <w:pStyle w:val="23"/>
        <w:keepNext w:val="0"/>
        <w:keepLines w:val="0"/>
        <w:pageBreakBefore w:val="0"/>
        <w:widowControl w:val="0"/>
        <w:kinsoku/>
        <w:wordWrap/>
        <w:overflowPunct/>
        <w:topLinePunct w:val="0"/>
        <w:autoSpaceDN/>
        <w:bidi w:val="0"/>
        <w:adjustRightInd/>
        <w:snapToGrid/>
        <w:spacing w:afterLines="0" w:line="60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2.</w:t>
      </w:r>
      <w:r>
        <w:rPr>
          <w:rFonts w:hint="eastAsia" w:ascii="楷体_GB2312" w:hAnsi="仿宋_GB2312" w:eastAsia="楷体_GB2312" w:cs="仿宋_GB2312"/>
          <w:b/>
          <w:color w:val="000000"/>
          <w:kern w:val="0"/>
          <w:sz w:val="32"/>
          <w:szCs w:val="32"/>
        </w:rPr>
        <w:t>全力推进乡村建设。</w:t>
      </w:r>
      <w:r>
        <w:rPr>
          <w:rFonts w:hint="eastAsia" w:ascii="仿宋_GB2312" w:hAnsi="仿宋_GB2312" w:eastAsia="仿宋_GB2312" w:cs="仿宋_GB2312"/>
          <w:sz w:val="32"/>
          <w:szCs w:val="32"/>
        </w:rPr>
        <w:t>深入调研、充分论证，制定出台《溆浦县乡村建设行动实施方案》《溆浦县乡村建设行动工作推进机制》《溆浦县2023年度乡村建设任务清单》，以“项目化”“清单式”推进乡村建设。结合户厕问题排查整改再“回头看”工作，对农村户厕全面盘底，科学锁定2179座年度改厕任务，按“一厕一方案一责任人一技术员”要求和“一月一调度一通报”机制，</w:t>
      </w:r>
      <w:r>
        <w:rPr>
          <w:rFonts w:hint="eastAsia" w:ascii="仿宋_GB2312" w:hAnsi="仿宋_GB2312" w:eastAsia="仿宋_GB2312" w:cs="仿宋_GB2312"/>
          <w:sz w:val="32"/>
          <w:szCs w:val="32"/>
          <w:lang w:eastAsia="zh-CN"/>
        </w:rPr>
        <w:t>目前已全部完工</w:t>
      </w:r>
      <w:r>
        <w:rPr>
          <w:rFonts w:hint="eastAsia" w:ascii="仿宋_GB2312" w:hAnsi="仿宋_GB2312" w:eastAsia="仿宋_GB2312" w:cs="仿宋_GB2312"/>
          <w:sz w:val="32"/>
          <w:szCs w:val="32"/>
        </w:rPr>
        <w:t>。多方筹资2000万元，以奖补方式和“打擂台”形式推进农村人居环境整治，农村面貌持续改善。</w:t>
      </w:r>
    </w:p>
    <w:p w14:paraId="7C42438B">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3.全力改进乡村治理。</w:t>
      </w:r>
      <w:r>
        <w:rPr>
          <w:rFonts w:hint="eastAsia" w:ascii="仿宋_GB2312" w:eastAsia="仿宋_GB2312"/>
          <w:b/>
          <w:bCs/>
          <w:sz w:val="32"/>
          <w:szCs w:val="32"/>
          <w:lang w:eastAsia="zh-CN"/>
        </w:rPr>
        <w:t>一是</w:t>
      </w:r>
      <w:r>
        <w:rPr>
          <w:rFonts w:hint="eastAsia" w:ascii="仿宋_GB2312" w:eastAsia="仿宋_GB2312"/>
          <w:b/>
          <w:bCs/>
          <w:sz w:val="32"/>
          <w:szCs w:val="32"/>
        </w:rPr>
        <w:t>拓展党建引领乡村治理领域</w:t>
      </w:r>
      <w:r>
        <w:rPr>
          <w:rFonts w:hint="eastAsia" w:ascii="仿宋_GB2312" w:eastAsia="仿宋_GB2312"/>
          <w:sz w:val="32"/>
          <w:szCs w:val="32"/>
        </w:rPr>
        <w:t>。推广片长、组长、邻长“三长制”治理，全县412个村（社区）选任片长2215名、组长6084名、邻长21197名，通过“三长”把98%的矛盾纠纷化解在村内。</w:t>
      </w:r>
      <w:r>
        <w:rPr>
          <w:rFonts w:hint="eastAsia" w:ascii="仿宋_GB2312" w:eastAsia="仿宋_GB2312"/>
          <w:b/>
          <w:bCs/>
          <w:sz w:val="32"/>
          <w:szCs w:val="32"/>
          <w:lang w:eastAsia="zh-CN"/>
        </w:rPr>
        <w:t>二是</w:t>
      </w:r>
      <w:r>
        <w:rPr>
          <w:rFonts w:hint="eastAsia" w:ascii="仿宋_GB2312" w:eastAsia="仿宋_GB2312"/>
          <w:b/>
          <w:bCs/>
          <w:sz w:val="32"/>
          <w:szCs w:val="32"/>
        </w:rPr>
        <w:t>深入开展新时代文明实践工作</w:t>
      </w:r>
      <w:r>
        <w:rPr>
          <w:rFonts w:hint="eastAsia" w:ascii="仿宋_GB2312" w:eastAsia="仿宋_GB2312"/>
          <w:sz w:val="32"/>
          <w:szCs w:val="32"/>
        </w:rPr>
        <w:t>。投入1000万元，按“五有”标准，建立完善县、乡、村、安置点四级组织体系，建成文明实践示范站点22个、文明村镇313个。</w:t>
      </w:r>
      <w:r>
        <w:rPr>
          <w:rFonts w:hint="eastAsia" w:ascii="仿宋_GB2312" w:eastAsia="仿宋_GB2312"/>
          <w:b/>
          <w:bCs/>
          <w:sz w:val="32"/>
          <w:szCs w:val="32"/>
          <w:lang w:eastAsia="zh-CN"/>
        </w:rPr>
        <w:t>三是</w:t>
      </w:r>
      <w:r>
        <w:rPr>
          <w:rFonts w:hint="eastAsia" w:ascii="仿宋_GB2312" w:eastAsia="仿宋_GB2312"/>
          <w:b/>
          <w:bCs/>
          <w:sz w:val="32"/>
          <w:szCs w:val="32"/>
        </w:rPr>
        <w:t>深入推进移风易俗。</w:t>
      </w:r>
      <w:r>
        <w:rPr>
          <w:rFonts w:hint="eastAsia" w:ascii="仿宋_GB2312" w:eastAsia="仿宋_GB2312"/>
          <w:sz w:val="32"/>
          <w:szCs w:val="32"/>
        </w:rPr>
        <w:t>全面推广“幸福基金”“爱心超市”“星级评比”等经验做法，建立红白理事会等组织，引导制定倡导新风、整治陋习的《红白理事会章程》，村级红白理事会实现全覆盖。</w:t>
      </w:r>
    </w:p>
    <w:p w14:paraId="574B4D53">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四</w:t>
      </w:r>
      <w:r>
        <w:rPr>
          <w:rFonts w:hint="eastAsia" w:ascii="黑体" w:hAnsi="黑体" w:eastAsia="黑体" w:cs="黑体"/>
          <w:b/>
          <w:bCs/>
          <w:sz w:val="32"/>
          <w:szCs w:val="32"/>
          <w:shd w:val="clear" w:color="auto" w:fill="FFFFFF"/>
          <w:lang w:eastAsia="zh-CN"/>
        </w:rPr>
        <w:t>）狠抓问题整改这一关键，全力提升工作质效</w:t>
      </w:r>
    </w:p>
    <w:p w14:paraId="698512F3">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在省市部署有效衔接突出问题排查整改后，我们把自己摆进去，对照反馈问题，举一反三，持续补短板、强弱项、提质效。</w:t>
      </w:r>
    </w:p>
    <w:p w14:paraId="4DD097A5">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1.精心安排部署。</w:t>
      </w:r>
      <w:r>
        <w:rPr>
          <w:rFonts w:hint="eastAsia" w:ascii="仿宋_GB2312" w:hAnsi="仿宋_GB2312" w:eastAsia="仿宋_GB2312" w:cs="仿宋_GB2312"/>
          <w:sz w:val="32"/>
          <w:szCs w:val="32"/>
        </w:rPr>
        <w:t>建立了由县委书记任召集人的问题排查整改联席会议制度，县委县政府主要领导亲自部署、</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调度。对照中央、省、市反馈的问题系统分析，逐一明确整改措施、责任领导、责任单位和整改时限。各行业部门聚焦18个方面有效衔接问题和户厕问题，分类制定实施细则，抽调业务骨干，组建整改专班，从制度、业务、力量各方面，确保工作精准高效。</w:t>
      </w:r>
    </w:p>
    <w:p w14:paraId="36911C89">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2.全面排查整改。</w:t>
      </w:r>
      <w:r>
        <w:rPr>
          <w:rFonts w:hint="eastAsia" w:ascii="仿宋_GB2312" w:hAnsi="仿宋_GB2312" w:eastAsia="仿宋_GB2312" w:cs="仿宋_GB2312"/>
          <w:sz w:val="32"/>
          <w:szCs w:val="32"/>
        </w:rPr>
        <w:t>对中央、省、市反馈的18个方面有效衔接问题，坚持不漏一村一户一人、不留死角盲区，全覆盖地毯式核查，共排查农户137712户456093人，排查扶贫项目7370个。对户厕问题，组织培训专业力量5427人，排查农村改厕户27133户。对排查出来的问题，对标中央和省市要求，对标行业标准，一条一条整改，坚决做到了整改不到位不放过、成效不明显不放过、群众不满意不放过。目前所有问题均整改到位。</w:t>
      </w:r>
    </w:p>
    <w:p w14:paraId="164F6686">
      <w:pPr>
        <w:pStyle w:val="3"/>
        <w:keepNext w:val="0"/>
        <w:keepLines w:val="0"/>
        <w:pageBreakBefore w:val="0"/>
        <w:widowControl w:val="0"/>
        <w:kinsoku/>
        <w:wordWrap/>
        <w:overflowPunct/>
        <w:topLinePunct w:val="0"/>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3.建立长效机制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完善防返贫监测帮扶机制的基础上，健全信息共享机制，每月组织行业部门进行信息比对，排查问题；推行“微网格”管理，将全县412个村（社区）划分为18764个微网格，逐一配备信息员，常态化开展排查；完善督查督办和追责问责常态机制，将问题排查整改作为督查督办和追责问责的重要内容，确保责任到位、整改到位。</w:t>
      </w:r>
    </w:p>
    <w:p w14:paraId="4341ED79">
      <w:pPr>
        <w:pStyle w:val="15"/>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楷体" w:hAnsi="楷体" w:eastAsia="楷体" w:cs="楷体"/>
          <w:b/>
          <w:bCs/>
          <w:color w:val="auto"/>
          <w:sz w:val="32"/>
          <w:szCs w:val="32"/>
          <w:lang w:val="en-US" w:eastAsia="zh-CN"/>
        </w:rPr>
      </w:pPr>
    </w:p>
    <w:p w14:paraId="4D9CD684">
      <w:pPr>
        <w:pStyle w:val="15"/>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存在的问题及原因分析</w:t>
      </w:r>
    </w:p>
    <w:p w14:paraId="3B023CD9">
      <w:pPr>
        <w:pStyle w:val="15"/>
        <w:keepNext w:val="0"/>
        <w:keepLines w:val="0"/>
        <w:pageBreakBefore w:val="0"/>
        <w:widowControl w:val="0"/>
        <w:numPr>
          <w:ilvl w:val="0"/>
          <w:numId w:val="0"/>
        </w:numPr>
        <w:kinsoku/>
        <w:wordWrap/>
        <w:overflowPunct/>
        <w:topLinePunct w:val="0"/>
        <w:bidi w:val="0"/>
        <w:snapToGrid/>
        <w:spacing w:line="600" w:lineRule="exact"/>
        <w:ind w:firstLine="960" w:firstLineChars="300"/>
        <w:jc w:val="left"/>
        <w:textAlignment w:val="auto"/>
        <w:rPr>
          <w:rFonts w:hint="eastAsia" w:eastAsia="仿宋_GB2312"/>
          <w:sz w:val="72"/>
          <w:szCs w:val="72"/>
          <w:lang w:val="en-US" w:eastAsia="zh-CN"/>
        </w:rPr>
      </w:pPr>
      <w:r>
        <w:rPr>
          <w:rFonts w:hint="eastAsia" w:ascii="仿宋_GB2312" w:hAnsi="仿宋_GB2312" w:eastAsia="仿宋_GB2312" w:cs="仿宋_GB2312"/>
          <w:sz w:val="32"/>
          <w:szCs w:val="32"/>
          <w:lang w:val="en-US" w:eastAsia="zh-CN"/>
        </w:rPr>
        <w:t>无。</w:t>
      </w:r>
    </w:p>
    <w:p w14:paraId="6248AB87">
      <w:pPr>
        <w:pStyle w:val="15"/>
        <w:jc w:val="center"/>
        <w:rPr>
          <w:sz w:val="72"/>
          <w:szCs w:val="72"/>
        </w:rPr>
      </w:pPr>
    </w:p>
    <w:p w14:paraId="21EA5185">
      <w:pPr>
        <w:pStyle w:val="15"/>
        <w:jc w:val="center"/>
        <w:rPr>
          <w:sz w:val="72"/>
          <w:szCs w:val="72"/>
        </w:rPr>
      </w:pPr>
    </w:p>
    <w:p w14:paraId="3C1223B7">
      <w:pPr>
        <w:pStyle w:val="15"/>
        <w:jc w:val="center"/>
        <w:rPr>
          <w:sz w:val="72"/>
          <w:szCs w:val="72"/>
        </w:rPr>
      </w:pPr>
    </w:p>
    <w:p w14:paraId="3AB7A849">
      <w:pPr>
        <w:pStyle w:val="15"/>
        <w:jc w:val="both"/>
        <w:rPr>
          <w:rFonts w:hint="eastAsia" w:ascii="方正小标宋_GBK" w:hAnsi="方正小标宋_GBK" w:eastAsia="方正小标宋_GBK" w:cs="方正小标宋_GBK"/>
          <w:sz w:val="72"/>
          <w:szCs w:val="72"/>
        </w:rPr>
      </w:pPr>
    </w:p>
    <w:p w14:paraId="470F1F35">
      <w:pPr>
        <w:pStyle w:val="15"/>
        <w:jc w:val="center"/>
        <w:rPr>
          <w:rFonts w:hint="eastAsia" w:ascii="方正小标宋_GBK" w:hAnsi="方正小标宋_GBK" w:eastAsia="方正小标宋_GBK" w:cs="方正小标宋_GBK"/>
          <w:sz w:val="72"/>
          <w:szCs w:val="72"/>
        </w:rPr>
      </w:pPr>
    </w:p>
    <w:p w14:paraId="2805E7DD">
      <w:pPr>
        <w:pStyle w:val="15"/>
        <w:jc w:val="center"/>
        <w:rPr>
          <w:rFonts w:hint="eastAsia" w:ascii="方正小标宋_GBK" w:hAnsi="方正小标宋_GBK" w:eastAsia="方正小标宋_GBK" w:cs="方正小标宋_GBK"/>
          <w:sz w:val="72"/>
          <w:szCs w:val="72"/>
        </w:rPr>
      </w:pPr>
    </w:p>
    <w:p w14:paraId="15F353BA">
      <w:pPr>
        <w:pStyle w:val="15"/>
        <w:jc w:val="center"/>
        <w:rPr>
          <w:rFonts w:hint="eastAsia" w:ascii="方正小标宋_GBK" w:hAnsi="方正小标宋_GBK" w:eastAsia="方正小标宋_GBK" w:cs="方正小标宋_GBK"/>
          <w:sz w:val="72"/>
          <w:szCs w:val="72"/>
        </w:rPr>
      </w:pPr>
    </w:p>
    <w:p w14:paraId="06DBD915">
      <w:pPr>
        <w:pStyle w:val="15"/>
        <w:jc w:val="center"/>
        <w:rPr>
          <w:rFonts w:hint="eastAsia" w:ascii="方正小标宋_GBK" w:hAnsi="方正小标宋_GBK" w:eastAsia="方正小标宋_GBK" w:cs="方正小标宋_GBK"/>
          <w:sz w:val="72"/>
          <w:szCs w:val="72"/>
        </w:rPr>
      </w:pPr>
    </w:p>
    <w:p w14:paraId="7593E218">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6843A2B">
      <w:pPr>
        <w:jc w:val="center"/>
        <w:rPr>
          <w:rFonts w:hint="eastAsia" w:ascii="方正小标宋_GBK" w:hAnsi="方正小标宋_GBK" w:eastAsia="方正小标宋_GBK" w:cs="方正小标宋_GBK"/>
          <w:color w:val="000000"/>
          <w:kern w:val="0"/>
          <w:sz w:val="70"/>
          <w:szCs w:val="70"/>
        </w:rPr>
      </w:pPr>
    </w:p>
    <w:p w14:paraId="6295D16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BBA4CEC">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749BED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一、财政拨款收入：指县财政当年拨付的资金。</w:t>
      </w:r>
    </w:p>
    <w:p w14:paraId="6A3F74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二、基本支出：指部门为保障其机构正常运转、完成日常工作任务的年度基本支出，包括人员经费和公用经费两部分。</w:t>
      </w:r>
    </w:p>
    <w:p w14:paraId="09E037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1B170BC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F1ACC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五、农林水支出：反映政府农林水事务支出。</w:t>
      </w:r>
    </w:p>
    <w:p w14:paraId="2D76DD1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402591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0A457C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421741F3">
      <w:pPr>
        <w:pStyle w:val="15"/>
        <w:jc w:val="center"/>
        <w:rPr>
          <w:rFonts w:hint="eastAsia" w:ascii="方正小标宋_GBK" w:hAnsi="方正小标宋_GBK" w:eastAsia="方正小标宋_GBK" w:cs="方正小标宋_GBK"/>
          <w:sz w:val="72"/>
          <w:szCs w:val="72"/>
        </w:rPr>
      </w:pPr>
      <w:bookmarkStart w:id="2" w:name="OLE_LINK33"/>
      <w:bookmarkStart w:id="3" w:name="OLE_LINK30"/>
      <w:bookmarkStart w:id="4" w:name="OLE_LINK15"/>
    </w:p>
    <w:p w14:paraId="60F3444D">
      <w:pPr>
        <w:pStyle w:val="15"/>
        <w:jc w:val="center"/>
        <w:rPr>
          <w:rFonts w:hint="eastAsia" w:ascii="方正小标宋_GBK" w:hAnsi="方正小标宋_GBK" w:eastAsia="方正小标宋_GBK" w:cs="方正小标宋_GBK"/>
          <w:sz w:val="72"/>
          <w:szCs w:val="72"/>
        </w:rPr>
      </w:pPr>
    </w:p>
    <w:p w14:paraId="13BFBC74">
      <w:pPr>
        <w:pStyle w:val="15"/>
        <w:jc w:val="center"/>
        <w:rPr>
          <w:rFonts w:hint="eastAsia" w:ascii="方正小标宋_GBK" w:hAnsi="方正小标宋_GBK" w:eastAsia="方正小标宋_GBK" w:cs="方正小标宋_GBK"/>
          <w:sz w:val="72"/>
          <w:szCs w:val="72"/>
        </w:rPr>
      </w:pPr>
    </w:p>
    <w:p w14:paraId="175B78FD">
      <w:pPr>
        <w:pStyle w:val="15"/>
        <w:jc w:val="center"/>
        <w:rPr>
          <w:rFonts w:hint="eastAsia" w:ascii="方正小标宋_GBK" w:hAnsi="方正小标宋_GBK" w:eastAsia="方正小标宋_GBK" w:cs="方正小标宋_GBK"/>
          <w:sz w:val="72"/>
          <w:szCs w:val="72"/>
        </w:rPr>
      </w:pPr>
    </w:p>
    <w:p w14:paraId="37657E08">
      <w:pPr>
        <w:pStyle w:val="15"/>
        <w:jc w:val="center"/>
        <w:rPr>
          <w:rFonts w:hint="eastAsia" w:ascii="方正小标宋_GBK" w:hAnsi="方正小标宋_GBK" w:eastAsia="方正小标宋_GBK" w:cs="方正小标宋_GBK"/>
          <w:sz w:val="72"/>
          <w:szCs w:val="72"/>
        </w:rPr>
      </w:pPr>
    </w:p>
    <w:p w14:paraId="79B3214D">
      <w:pPr>
        <w:pStyle w:val="15"/>
        <w:jc w:val="center"/>
        <w:rPr>
          <w:rFonts w:hint="eastAsia" w:ascii="方正小标宋_GBK" w:hAnsi="方正小标宋_GBK" w:eastAsia="方正小标宋_GBK" w:cs="方正小标宋_GBK"/>
          <w:sz w:val="72"/>
          <w:szCs w:val="72"/>
        </w:rPr>
      </w:pPr>
    </w:p>
    <w:p w14:paraId="4112BAC7">
      <w:pPr>
        <w:pStyle w:val="15"/>
        <w:jc w:val="center"/>
        <w:rPr>
          <w:rFonts w:hint="eastAsia" w:ascii="方正小标宋_GBK" w:hAnsi="方正小标宋_GBK" w:eastAsia="方正小标宋_GBK" w:cs="方正小标宋_GBK"/>
          <w:sz w:val="72"/>
          <w:szCs w:val="72"/>
        </w:rPr>
      </w:pPr>
    </w:p>
    <w:p w14:paraId="617CEC1A">
      <w:pPr>
        <w:pStyle w:val="15"/>
        <w:jc w:val="center"/>
        <w:rPr>
          <w:rFonts w:hint="eastAsia" w:ascii="方正小标宋_GBK" w:hAnsi="方正小标宋_GBK" w:eastAsia="方正小标宋_GBK" w:cs="方正小标宋_GBK"/>
          <w:sz w:val="72"/>
          <w:szCs w:val="72"/>
        </w:rPr>
      </w:pPr>
    </w:p>
    <w:p w14:paraId="13F1EF49">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5"/>
        <w:jc w:val="center"/>
        <w:rPr>
          <w:rFonts w:hint="eastAsia" w:ascii="方正小标宋_GBK" w:hAnsi="方正小标宋_GBK" w:eastAsia="方正小标宋_GBK" w:cs="方正小标宋_GBK"/>
          <w:sz w:val="70"/>
          <w:szCs w:val="70"/>
        </w:rPr>
      </w:pPr>
    </w:p>
    <w:p w14:paraId="335CAE6D">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2"/>
    </w:p>
    <w:p w14:paraId="4C38E8F2">
      <w:pPr>
        <w:rPr>
          <w:sz w:val="72"/>
          <w:szCs w:val="72"/>
        </w:rPr>
      </w:pPr>
      <w:r>
        <w:rPr>
          <w:sz w:val="72"/>
          <w:szCs w:val="72"/>
        </w:rPr>
        <w:br w:type="page"/>
      </w:r>
    </w:p>
    <w:p w14:paraId="3940BBB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5"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3"/>
      <w:bookmarkEnd w:id="5"/>
    </w:p>
    <w:bookmarkEnd w:id="4"/>
    <w:p w14:paraId="00E5781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019A903E">
      <w:pPr>
        <w:shd w:val="clea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县</w:t>
      </w:r>
      <w:r>
        <w:rPr>
          <w:rFonts w:hint="eastAsia" w:ascii="方正大标宋简体" w:hAnsi="方正大标宋简体" w:eastAsia="方正大标宋简体" w:cs="方正大标宋简体"/>
          <w:sz w:val="44"/>
          <w:szCs w:val="44"/>
          <w:lang w:val="en-US" w:eastAsia="zh-CN"/>
        </w:rPr>
        <w:t>乡村振兴局</w:t>
      </w: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rPr>
        <w:t>年度整体支出</w:t>
      </w:r>
    </w:p>
    <w:p w14:paraId="64496372">
      <w:pPr>
        <w:shd w:val="clea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绩效自评报告</w:t>
      </w:r>
    </w:p>
    <w:p w14:paraId="63A0CCCE">
      <w:pPr>
        <w:shd w:val="clea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根据县财政局关于开展部门整体支出绩效自评工作要求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年度部门整体支出自评情况报告如下：</w:t>
      </w:r>
    </w:p>
    <w:p w14:paraId="3D476D84">
      <w:pPr>
        <w:shd w:val="clea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14:paraId="40BAB57A">
      <w:pPr>
        <w:shd w:val="clea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（一）部门基本情况</w:t>
      </w:r>
    </w:p>
    <w:p w14:paraId="405C5DDA">
      <w:pPr>
        <w:shd w:val="clea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根据《中共溆浦县委办公室文件》（溆办法【</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w:t>
      </w:r>
      <w:r>
        <w:rPr>
          <w:rFonts w:hint="eastAsia" w:ascii="仿宋_GB2312" w:hAnsi="仿宋_GB2312" w:eastAsia="仿宋_GB2312" w:cs="仿宋_GB2312"/>
          <w:sz w:val="32"/>
          <w:szCs w:val="32"/>
          <w:lang w:eastAsia="zh-CN"/>
        </w:rPr>
        <w:t>）溆浦县扶贫开发办公室溆浦县扶贫开发办公室从2019年4月25日下文起已属溆浦县人民政府工作部门，为正科级。截至2023年12月底止，我单位实有行政编工作人员9人，全额拨款事业编工作人员9人，离退休人员5人，其中提前退休人员1人。另因工作需要，向社会聘用辅助人员2人，公益岗位7人。</w:t>
      </w:r>
      <w:r>
        <w:rPr>
          <w:rFonts w:hint="eastAsia" w:ascii="仿宋_GB2312" w:hAnsi="仿宋_GB2312" w:eastAsia="仿宋_GB2312" w:cs="仿宋_GB2312"/>
          <w:sz w:val="32"/>
          <w:szCs w:val="32"/>
        </w:rPr>
        <w:t>部门主要职能：</w:t>
      </w:r>
    </w:p>
    <w:p w14:paraId="0EA1F30C">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1、负责守住防止发生规模性返贫底线，做好巩固脱贫成果同乡村振兴有效衔接工作；</w:t>
      </w:r>
    </w:p>
    <w:p w14:paraId="779FFA82">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2、负责牵头抓好防返贫监测和帮扶工作，对易致返贫人口实施常态化监测和帮扶政策落实；</w:t>
      </w:r>
    </w:p>
    <w:p w14:paraId="3B18A881">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3、负责巩固拓展脱贫成果同乡村振兴有效衔接项目库建设工作，统筹加强扶贫项目资产管理和监督，建立健全资产管护制度。</w:t>
      </w:r>
    </w:p>
    <w:p w14:paraId="4070F003">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4、参与拟定职责内县级衔接资金分配建议方案，参与县级衔接资金监管和绩效评价，协助县整合办管好用好衔接资金。</w:t>
      </w:r>
    </w:p>
    <w:p w14:paraId="11463444">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5、负责指导搞好小额信贷、互助资金相关政策落实和监督，</w:t>
      </w:r>
    </w:p>
    <w:p w14:paraId="4C3D458B">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抓好光伏电站管理运维、收益分配工作和“雨露计划”补助发放工作。组织建设县级产业融合发展示范园、科技园；</w:t>
      </w:r>
    </w:p>
    <w:p w14:paraId="6275E4D7">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6、负责牵头做好社会帮扶工作，开展定点帮扶、行业帮扶及相关考核评价工作，协助开展“万企兴万村”行动，引导更多社会力量支持参与乡村振兴；</w:t>
      </w:r>
    </w:p>
    <w:p w14:paraId="3AA97C53">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7、负责统筹推进农村卫生厕所改（新）建工作；</w:t>
      </w:r>
    </w:p>
    <w:p w14:paraId="090848A1">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8、负责统筹实施乡村振兴实绩考核和国家后续评估准备工作；</w:t>
      </w:r>
    </w:p>
    <w:p w14:paraId="20F92BB7">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9、协助做好易地扶贫搬迁后续帮扶工作，协调搞好革命老区帮扶工作；</w:t>
      </w:r>
    </w:p>
    <w:p w14:paraId="14891D33">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10、协助组织部门做好驻村第一书记和工作队选派管理工作和乡村振兴干部培训工作；</w:t>
      </w:r>
    </w:p>
    <w:p w14:paraId="2969CB20">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11、协助做好承接雨花区对口帮扶工作；</w:t>
      </w:r>
    </w:p>
    <w:p w14:paraId="392F5130">
      <w:pPr>
        <w:shd w:val="clea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12、承担领导小组日常事务工作，统筹推进实施乡村振兴战略各项工作和领导交办的其他事项</w:t>
      </w:r>
    </w:p>
    <w:p w14:paraId="17962B21">
      <w:pPr>
        <w:shd w:val="clea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（二）部门整体支出规模、使用方向和主要内容、涉及范围等</w:t>
      </w:r>
    </w:p>
    <w:p w14:paraId="02AC277D">
      <w:pPr>
        <w:shd w:val="clea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年，我单位本年支出合计</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主要用于人员经费、行政运行、</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各项工作及驻村帮扶工作队等。</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本次部门整体支出评价与预决算口径保持一致，为县</w:t>
      </w:r>
      <w:r>
        <w:rPr>
          <w:rFonts w:hint="eastAsia" w:ascii="仿宋_GB2312" w:hAnsi="仿宋_GB2312" w:eastAsia="仿宋_GB2312" w:cs="仿宋_GB2312"/>
          <w:sz w:val="32"/>
          <w:szCs w:val="32"/>
          <w:lang w:val="en-US" w:eastAsia="zh-CN"/>
        </w:rPr>
        <w:t>乡村振兴局</w:t>
      </w:r>
      <w:r>
        <w:rPr>
          <w:rFonts w:hint="eastAsia" w:ascii="仿宋_GB2312" w:hAnsi="仿宋_GB2312" w:eastAsia="仿宋_GB2312" w:cs="仿宋_GB2312"/>
          <w:sz w:val="32"/>
          <w:szCs w:val="32"/>
        </w:rPr>
        <w:t>机关使用资金。</w:t>
      </w:r>
    </w:p>
    <w:p w14:paraId="01E0E8E5">
      <w:pPr>
        <w:shd w:val="clea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一般公共预算支出情况</w:t>
      </w:r>
    </w:p>
    <w:p w14:paraId="04039769">
      <w:pPr>
        <w:shd w:val="clea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w:t>
      </w:r>
    </w:p>
    <w:p w14:paraId="0817A5FA">
      <w:pPr>
        <w:pStyle w:val="10"/>
        <w:shd w:val="clear" w:color="auto"/>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万元，主要用于保障机构运转，履行单位职能。其中：人员经费支出</w:t>
      </w:r>
      <w:r>
        <w:rPr>
          <w:rFonts w:hint="eastAsia" w:ascii="仿宋_GB2312" w:hAnsi="仿宋_GB2312" w:eastAsia="仿宋_GB2312" w:cs="仿宋_GB2312"/>
          <w:sz w:val="32"/>
          <w:szCs w:val="32"/>
          <w:lang w:val="en-US" w:eastAsia="zh-CN"/>
        </w:rPr>
        <w:t>4500.24</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637.46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Hans"/>
        </w:rPr>
        <w:t>较上年度增加</w:t>
      </w:r>
      <w:r>
        <w:rPr>
          <w:rFonts w:hint="default" w:ascii="仿宋_GB2312" w:hAnsi="仿宋_GB2312" w:eastAsia="仿宋_GB2312" w:cs="仿宋_GB2312"/>
          <w:sz w:val="32"/>
          <w:szCs w:val="32"/>
          <w:lang w:eastAsia="zh-Hans"/>
        </w:rPr>
        <w:t>2575.07</w:t>
      </w:r>
      <w:r>
        <w:rPr>
          <w:rFonts w:hint="eastAsia" w:ascii="仿宋_GB2312" w:hAnsi="仿宋_GB2312" w:eastAsia="仿宋_GB2312" w:cs="仿宋_GB2312"/>
          <w:sz w:val="32"/>
          <w:szCs w:val="32"/>
          <w:lang w:val="en-US" w:eastAsia="zh-Hans"/>
        </w:rPr>
        <w:t>万元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主要是本单位人员类含雨露计划等到户支出</w:t>
      </w:r>
      <w:r>
        <w:rPr>
          <w:rFonts w:hint="default" w:ascii="仿宋_GB2312" w:hAnsi="仿宋_GB2312" w:eastAsia="仿宋_GB2312" w:cs="仿宋_GB2312"/>
          <w:sz w:val="32"/>
          <w:szCs w:val="32"/>
          <w:lang w:eastAsia="zh-Hans"/>
        </w:rPr>
        <w:t>。</w:t>
      </w:r>
    </w:p>
    <w:p w14:paraId="5C4BBC64">
      <w:pPr>
        <w:shd w:val="clea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县政府及各部门要求，建立健全了财务管理制度、接待制度、用车制度、各类会议制度等。接待制度对人员、标准、接待程序都予以规范，用车制度对车辆管理、维修、费用支出都进行了明确。“三公”经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万元，主要是公务接待费</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万元。</w:t>
      </w:r>
    </w:p>
    <w:p w14:paraId="04347490">
      <w:pPr>
        <w:shd w:val="clea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专项</w:t>
      </w:r>
      <w:r>
        <w:rPr>
          <w:rFonts w:hint="eastAsia" w:ascii="楷体_GB2312" w:hAnsi="楷体_GB2312" w:eastAsia="楷体_GB2312" w:cs="楷体_GB2312"/>
          <w:b/>
          <w:bCs/>
          <w:sz w:val="32"/>
          <w:szCs w:val="32"/>
        </w:rPr>
        <w:t>支出</w:t>
      </w:r>
    </w:p>
    <w:p w14:paraId="4F13DAC6">
      <w:pPr>
        <w:pStyle w:val="10"/>
        <w:shd w:val="clear" w:color="auto"/>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宋体"/>
          <w:color w:val="000000"/>
          <w:sz w:val="32"/>
          <w:szCs w:val="32"/>
          <w:shd w:val="clear" w:color="auto" w:fill="FFFFFF"/>
          <w:lang w:val="en-US" w:eastAsia="zh-CN"/>
        </w:rPr>
        <w:t>。</w:t>
      </w:r>
    </w:p>
    <w:p w14:paraId="3F16F3A1">
      <w:pPr>
        <w:numPr>
          <w:ilvl w:val="0"/>
          <w:numId w:val="0"/>
        </w:numPr>
        <w:shd w:val="clea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14:paraId="0B269A7C">
      <w:pPr>
        <w:pStyle w:val="10"/>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本单位无政府性基金预算支出。</w:t>
      </w:r>
    </w:p>
    <w:p w14:paraId="38D0B6FD">
      <w:pPr>
        <w:pStyle w:val="10"/>
        <w:shd w:val="clear" w:color="auto"/>
        <w:spacing w:before="0" w:beforeAutospacing="0" w:after="0" w:afterAutospacing="0" w:line="560" w:lineRule="exact"/>
        <w:ind w:firstLine="632" w:firstLineChars="200"/>
        <w:jc w:val="both"/>
        <w:rPr>
          <w:rFonts w:hint="default" w:ascii="仿宋_GB2312" w:hAnsi="宋体" w:eastAsia="仿宋_GB2312" w:cs="宋体"/>
          <w:color w:val="000000"/>
          <w:sz w:val="32"/>
          <w:szCs w:val="32"/>
          <w:shd w:val="clear" w:color="auto" w:fill="FFFFFF"/>
          <w:lang w:val="en-US" w:eastAsia="zh-CN"/>
        </w:rPr>
      </w:pPr>
      <w:r>
        <w:rPr>
          <w:rFonts w:hint="eastAsia" w:ascii="黑体" w:hAnsi="黑体" w:eastAsia="黑体"/>
          <w:spacing w:val="-2"/>
          <w:sz w:val="32"/>
          <w:szCs w:val="32"/>
          <w:lang w:eastAsia="zh-CN"/>
        </w:rPr>
        <w:t>四、国有资本经营预算支出情况</w:t>
      </w:r>
    </w:p>
    <w:p w14:paraId="4417A1DC">
      <w:pPr>
        <w:pStyle w:val="9"/>
        <w:numPr>
          <w:ilvl w:val="0"/>
          <w:numId w:val="0"/>
        </w:numPr>
        <w:shd w:val="clear"/>
        <w:ind w:leftChars="200" w:firstLine="320" w:firstLineChars="100"/>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14:paraId="30E6B918">
      <w:pPr>
        <w:pStyle w:val="9"/>
        <w:numPr>
          <w:ilvl w:val="0"/>
          <w:numId w:val="0"/>
        </w:numPr>
        <w:shd w:val="clear"/>
        <w:ind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val="en-US" w:eastAsia="zh-CN"/>
        </w:rPr>
        <w:t>五、</w:t>
      </w:r>
      <w:r>
        <w:rPr>
          <w:rFonts w:hint="eastAsia" w:ascii="黑体" w:hAnsi="黑体" w:eastAsia="黑体"/>
          <w:spacing w:val="-2"/>
          <w:sz w:val="32"/>
          <w:szCs w:val="32"/>
          <w:lang w:eastAsia="zh-CN"/>
        </w:rPr>
        <w:t>社会保险基金预算支出情况</w:t>
      </w:r>
    </w:p>
    <w:p w14:paraId="0F522BFB">
      <w:pPr>
        <w:pStyle w:val="9"/>
        <w:numPr>
          <w:ilvl w:val="0"/>
          <w:numId w:val="0"/>
        </w:numPr>
        <w:shd w:val="clear"/>
        <w:ind w:leftChars="200" w:firstLine="320" w:firstLineChars="100"/>
        <w:rPr>
          <w:rFonts w:hint="default" w:ascii="黑体" w:hAnsi="黑体" w:eastAsia="黑体"/>
          <w:spacing w:val="-2"/>
          <w:sz w:val="32"/>
          <w:szCs w:val="32"/>
          <w:lang w:val="en-US" w:eastAsia="zh-CN"/>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14:paraId="30A17C20">
      <w:pPr>
        <w:shd w:val="clea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资产管理情况</w:t>
      </w:r>
    </w:p>
    <w:p w14:paraId="1127C7F5">
      <w:pPr>
        <w:shd w:val="clea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严格按照溆浦县财产物资管理制度实施到位，对单位确需购置的固定资产，由使用部门提出申请分管副</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签署意见后，报</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审批或由党组集体讨论决定，对属于政府采购的项目严格执行政府采购，对固定资产的使用实行“谁使用，谁保管、谁维护”的原则。</w:t>
      </w:r>
    </w:p>
    <w:p w14:paraId="3CED665C">
      <w:pPr>
        <w:shd w:val="clea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、部门整体支出绩效情况</w:t>
      </w:r>
    </w:p>
    <w:p w14:paraId="3562A468">
      <w:pPr>
        <w:shd w:val="clea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2023年重点工作绩效进行了自评，</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我局2023年工作绩效情况报告如下：</w:t>
      </w:r>
    </w:p>
    <w:p w14:paraId="01A227FF">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1.持续强化党的领导。</w:t>
      </w:r>
      <w:r>
        <w:rPr>
          <w:rFonts w:hint="eastAsia" w:ascii="仿宋_GB2312" w:hAnsi="仿宋_GB2312" w:eastAsia="仿宋_GB2312" w:cs="仿宋_GB2312"/>
          <w:b/>
          <w:bCs/>
          <w:color w:val="000000"/>
          <w:sz w:val="32"/>
          <w:szCs w:val="32"/>
        </w:rPr>
        <w:t>一是认真</w:t>
      </w:r>
      <w:r>
        <w:rPr>
          <w:rFonts w:hint="eastAsia" w:ascii="仿宋_GB2312" w:hAnsi="仿宋_GB2312" w:eastAsia="仿宋_GB2312" w:cs="仿宋_GB2312"/>
          <w:b/>
          <w:bCs/>
          <w:color w:val="000000"/>
          <w:sz w:val="32"/>
          <w:szCs w:val="32"/>
          <w:lang w:eastAsia="zh-CN"/>
        </w:rPr>
        <w:t>学习贯彻</w:t>
      </w:r>
      <w:r>
        <w:rPr>
          <w:rFonts w:hint="eastAsia" w:ascii="仿宋_GB2312" w:hAnsi="仿宋_GB2312" w:eastAsia="仿宋_GB2312" w:cs="仿宋_GB2312"/>
          <w:b/>
          <w:bCs/>
          <w:color w:val="000000"/>
          <w:sz w:val="32"/>
          <w:szCs w:val="32"/>
        </w:rPr>
        <w:t>落实</w:t>
      </w:r>
      <w:r>
        <w:rPr>
          <w:rFonts w:hint="eastAsia" w:ascii="仿宋_GB2312" w:hAnsi="仿宋_GB2312" w:eastAsia="仿宋_GB2312" w:cs="仿宋_GB2312"/>
          <w:b/>
          <w:bCs/>
          <w:color w:val="000000"/>
          <w:sz w:val="32"/>
          <w:szCs w:val="32"/>
          <w:lang w:eastAsia="zh-CN"/>
        </w:rPr>
        <w:t>习近平总书记重要讲话指示精神</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2"/>
          <w:sz w:val="32"/>
          <w:szCs w:val="32"/>
          <w:lang w:val="en-US" w:eastAsia="zh-CN" w:bidi="ar-SA"/>
        </w:rPr>
        <w:t>在县委县政府的坚强领导下，全局</w:t>
      </w:r>
      <w:r>
        <w:rPr>
          <w:rFonts w:hint="eastAsia" w:ascii="仿宋_GB2312" w:hAnsi="仿宋_GB2312" w:cs="仿宋_GB2312"/>
          <w:color w:val="auto"/>
          <w:spacing w:val="0"/>
          <w:sz w:val="32"/>
          <w:szCs w:val="32"/>
          <w:lang w:val="en-US" w:eastAsia="zh-CN"/>
        </w:rPr>
        <w:t>上下认真贯彻落实</w:t>
      </w:r>
      <w:r>
        <w:rPr>
          <w:rFonts w:hint="eastAsia" w:ascii="仿宋_GB2312" w:hAnsi="仿宋_GB2312" w:eastAsia="仿宋_GB2312" w:cs="仿宋_GB2312"/>
          <w:color w:val="000000"/>
          <w:kern w:val="2"/>
          <w:sz w:val="32"/>
          <w:szCs w:val="32"/>
          <w:lang w:val="en-US" w:eastAsia="zh-CN" w:bidi="ar-SA"/>
        </w:rPr>
        <w:t>习近平总书记关于乡村振兴系列重要论述和指示批示精神，严格落实“三会一课”、“一月一课一片一实践”、主题党日、组织生活会、民主评议党员等制度，规范组织生活，局电子显示屏全天候播放习总书记关于乡村振兴相关内容，党务公开栏及时更新，推动党政文化、党政知识上屏、上墙，氛围浓厚。</w:t>
      </w:r>
      <w:r>
        <w:rPr>
          <w:rFonts w:hint="eastAsia" w:ascii="仿宋_GB2312" w:hAnsi="仿宋_GB2312" w:eastAsia="仿宋_GB2312" w:cs="仿宋_GB2312"/>
          <w:b/>
          <w:bCs/>
          <w:color w:val="000000"/>
          <w:sz w:val="32"/>
          <w:szCs w:val="32"/>
        </w:rPr>
        <w:t>二是全面压实</w:t>
      </w:r>
      <w:r>
        <w:rPr>
          <w:rFonts w:hint="eastAsia" w:ascii="仿宋_GB2312" w:hAnsi="仿宋_GB2312" w:eastAsia="仿宋_GB2312" w:cs="仿宋_GB2312"/>
          <w:b/>
          <w:bCs/>
          <w:color w:val="000000"/>
          <w:sz w:val="32"/>
          <w:szCs w:val="32"/>
          <w:lang w:eastAsia="zh-CN"/>
        </w:rPr>
        <w:t>党政</w:t>
      </w:r>
      <w:r>
        <w:rPr>
          <w:rFonts w:hint="eastAsia" w:ascii="仿宋_GB2312" w:hAnsi="仿宋_GB2312" w:eastAsia="仿宋_GB2312" w:cs="仿宋_GB2312"/>
          <w:b/>
          <w:bCs/>
          <w:color w:val="000000"/>
          <w:sz w:val="32"/>
          <w:szCs w:val="32"/>
        </w:rPr>
        <w:t>责任。</w:t>
      </w:r>
      <w:r>
        <w:rPr>
          <w:rFonts w:hint="eastAsia" w:ascii="仿宋_GB2312" w:hAnsi="仿宋_GB2312" w:eastAsia="仿宋_GB2312" w:cs="仿宋_GB2312"/>
          <w:color w:val="000000"/>
          <w:sz w:val="32"/>
          <w:szCs w:val="32"/>
        </w:rPr>
        <w:t>贯彻落实《乡村振兴责任制实施办法》，建立完善县级领导包乡镇和分管行业，行业部门主要领导包行业，乡镇党委书记、乡镇长包乡镇，驻村工作队长、村党支部书记包村，结对帮扶责任人包户的“五个包干”制度，实现联镇联村联户“全覆盖”。</w:t>
      </w:r>
      <w:r>
        <w:rPr>
          <w:rFonts w:hint="eastAsia" w:ascii="仿宋_GB2312" w:hAnsi="仿宋_GB2312" w:eastAsia="仿宋_GB2312" w:cs="仿宋_GB2312"/>
          <w:b/>
          <w:bCs/>
          <w:color w:val="000000"/>
          <w:sz w:val="32"/>
          <w:szCs w:val="32"/>
        </w:rPr>
        <w:t>三是持续建强农村党组织。</w:t>
      </w:r>
      <w:r>
        <w:rPr>
          <w:rFonts w:hint="eastAsia" w:ascii="仿宋_GB2312" w:hAnsi="仿宋_GB2312" w:eastAsia="仿宋_GB2312" w:cs="仿宋_GB2312"/>
          <w:color w:val="000000"/>
          <w:sz w:val="32"/>
          <w:szCs w:val="32"/>
        </w:rPr>
        <w:t>出台《关于进一步加强农村基层党组织和村干部队伍建设的若干措施》，全覆盖开展村党组织届中分析，调整6名推进乡村振兴不力的村（社区）干部。以“四个一”举措，整顿提升6个软弱涣散基层党组织。</w:t>
      </w:r>
    </w:p>
    <w:p w14:paraId="4C9465A8">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2.持续完善工作机制。</w:t>
      </w:r>
      <w:r>
        <w:rPr>
          <w:rFonts w:hint="eastAsia" w:ascii="仿宋_GB2312" w:hAnsi="仿宋_GB2312" w:eastAsia="仿宋_GB2312" w:cs="仿宋_GB2312"/>
          <w:b/>
          <w:bCs/>
          <w:kern w:val="0"/>
          <w:sz w:val="32"/>
          <w:szCs w:val="32"/>
        </w:rPr>
        <w:t>一是完善推进机制</w:t>
      </w:r>
      <w:r>
        <w:rPr>
          <w:rFonts w:hint="eastAsia" w:ascii="仿宋_GB2312" w:hAnsi="仿宋_GB2312" w:eastAsia="仿宋_GB2312" w:cs="仿宋_GB2312"/>
          <w:kern w:val="0"/>
          <w:sz w:val="32"/>
          <w:szCs w:val="32"/>
        </w:rPr>
        <w:t>。顺应乡村振兴新形势和新要求，</w:t>
      </w:r>
      <w:r>
        <w:rPr>
          <w:rFonts w:hint="eastAsia" w:ascii="仿宋_GB2312" w:hAnsi="仿宋_GB2312" w:eastAsia="仿宋_GB2312" w:cs="仿宋_GB2312"/>
          <w:sz w:val="32"/>
          <w:szCs w:val="32"/>
        </w:rPr>
        <w:t>制定出台《溆浦县乡村建设行动工作推进机制》《关于进一步健全完善帮扶项目联农带农机制的实施意见》等文件，进一步完善有效衔接工作推进机制。</w:t>
      </w:r>
      <w:r>
        <w:rPr>
          <w:rFonts w:hint="eastAsia" w:ascii="仿宋_GB2312" w:hAnsi="仿宋_GB2312" w:eastAsia="仿宋_GB2312" w:cs="仿宋_GB2312"/>
          <w:b/>
          <w:bCs/>
          <w:kern w:val="0"/>
          <w:sz w:val="32"/>
          <w:szCs w:val="32"/>
        </w:rPr>
        <w:t>二是调优帮扶体系。</w:t>
      </w:r>
      <w:r>
        <w:rPr>
          <w:rFonts w:hint="eastAsia" w:ascii="仿宋_GB2312" w:hAnsi="仿宋_GB2312" w:eastAsia="仿宋_GB2312" w:cs="仿宋_GB2312"/>
          <w:kern w:val="0"/>
          <w:sz w:val="32"/>
          <w:szCs w:val="32"/>
        </w:rPr>
        <w:t>结合工作队轮换，组建166支驻村工作队驻扎“四类村”，精选</w:t>
      </w:r>
      <w:r>
        <w:rPr>
          <w:rFonts w:hint="eastAsia" w:ascii="仿宋_GB2312" w:hAnsi="宋体" w:eastAsia="仿宋_GB2312" w:cs="仿宋_GB2312"/>
          <w:color w:val="000000"/>
          <w:kern w:val="0"/>
          <w:sz w:val="32"/>
          <w:szCs w:val="32"/>
        </w:rPr>
        <w:t>1077名领导干部帮扶监测户，安排6279名党员干部联系脱贫户，实现力量资源集中、精准帮扶。</w:t>
      </w:r>
      <w:r>
        <w:rPr>
          <w:rFonts w:hint="eastAsia" w:ascii="仿宋_GB2312" w:hAnsi="仿宋_GB2312" w:eastAsia="仿宋_GB2312" w:cs="仿宋_GB2312"/>
          <w:b/>
          <w:bCs/>
          <w:kern w:val="0"/>
          <w:sz w:val="32"/>
          <w:szCs w:val="32"/>
        </w:rPr>
        <w:t>三是强化专项监督。</w:t>
      </w:r>
      <w:r>
        <w:rPr>
          <w:rFonts w:hint="eastAsia" w:ascii="仿宋_GB2312" w:hAnsi="仿宋_GB2312" w:eastAsia="仿宋_GB2312" w:cs="仿宋_GB2312"/>
          <w:kern w:val="0"/>
          <w:sz w:val="32"/>
          <w:szCs w:val="32"/>
        </w:rPr>
        <w:t>成立“三湘护农”专项行动领导小组，</w:t>
      </w:r>
      <w:r>
        <w:rPr>
          <w:rFonts w:hint="eastAsia" w:ascii="仿宋_GB2312" w:hAnsi="仿宋_GB2312" w:eastAsia="仿宋_GB2312" w:cs="仿宋_GB2312"/>
          <w:sz w:val="32"/>
          <w:szCs w:val="32"/>
        </w:rPr>
        <w:t>建立“定期会商、线索移交、联合督办、信息共享”工作机制，加强乡村振兴领域专项监督。全年受理问题线索61件，立案14件28人，处理49人，处分11人，工作得到中纪委、省纪委肯定。</w:t>
      </w:r>
    </w:p>
    <w:p w14:paraId="05C16FBF">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eastAsia="仿宋_GB2312"/>
        </w:rPr>
      </w:pPr>
      <w:r>
        <w:rPr>
          <w:rFonts w:hint="eastAsia" w:ascii="楷体_GB2312" w:hAnsi="楷体_GB2312" w:eastAsia="楷体_GB2312" w:cs="楷体_GB2312"/>
          <w:b/>
          <w:bCs/>
          <w:sz w:val="32"/>
          <w:szCs w:val="32"/>
        </w:rPr>
        <w:t>3.持续加强工作保障。</w:t>
      </w:r>
      <w:r>
        <w:rPr>
          <w:rFonts w:hint="eastAsia" w:ascii="仿宋_GB2312" w:hAnsi="楷体_GB2312" w:eastAsia="仿宋_GB2312" w:cs="楷体_GB2312"/>
          <w:b/>
          <w:bCs/>
          <w:sz w:val="32"/>
          <w:szCs w:val="32"/>
        </w:rPr>
        <w:t>一是加强资金保障。</w:t>
      </w:r>
      <w:r>
        <w:rPr>
          <w:rFonts w:hint="eastAsia" w:ascii="仿宋_GB2312" w:hAnsi="仿宋" w:eastAsia="仿宋_GB2312" w:cs="仿宋"/>
          <w:sz w:val="32"/>
          <w:szCs w:val="32"/>
        </w:rPr>
        <w:t>在“因需而整”的前提下做到“应整尽整”，全年统筹使用财政涉农资金27938万元，其中</w:t>
      </w:r>
      <w:r>
        <w:rPr>
          <w:rFonts w:hint="eastAsia" w:ascii="仿宋_GB2312" w:hAnsi="仿宋_GB2312" w:eastAsia="仿宋_GB2312" w:cs="仿宋_GB2312"/>
          <w:sz w:val="32"/>
          <w:szCs w:val="32"/>
          <w:lang w:val="zh-CN"/>
        </w:rPr>
        <w:t>中央财政衔接资金13195万元，用于产业发展</w:t>
      </w:r>
      <w:r>
        <w:rPr>
          <w:rFonts w:hint="eastAsia" w:ascii="仿宋_GB2312" w:hAnsi="仿宋_GB2312" w:eastAsia="仿宋_GB2312" w:cs="仿宋_GB2312"/>
          <w:sz w:val="32"/>
          <w:szCs w:val="32"/>
        </w:rPr>
        <w:t>8050</w:t>
      </w:r>
      <w:r>
        <w:rPr>
          <w:rFonts w:hint="eastAsia" w:ascii="仿宋_GB2312" w:hAnsi="仿宋_GB2312" w:eastAsia="仿宋_GB2312" w:cs="仿宋_GB2312"/>
          <w:sz w:val="32"/>
          <w:szCs w:val="32"/>
          <w:lang w:val="zh-CN"/>
        </w:rPr>
        <w:t>万元，占比</w:t>
      </w:r>
      <w:r>
        <w:rPr>
          <w:rFonts w:hint="eastAsia" w:ascii="仿宋_GB2312" w:hAnsi="仿宋_GB2312" w:eastAsia="仿宋_GB2312" w:cs="仿宋_GB2312"/>
          <w:sz w:val="32"/>
          <w:szCs w:val="32"/>
        </w:rPr>
        <w:t>61%，同比增长3.13%</w:t>
      </w:r>
      <w:r>
        <w:rPr>
          <w:rFonts w:hint="eastAsia" w:ascii="仿宋_GB2312" w:hAnsi="仿宋_GB2312" w:eastAsia="仿宋_GB2312" w:cs="仿宋_GB2312"/>
          <w:sz w:val="32"/>
          <w:szCs w:val="32"/>
          <w:lang w:val="zh-CN"/>
        </w:rPr>
        <w:t>。</w:t>
      </w:r>
      <w:r>
        <w:rPr>
          <w:rFonts w:hint="eastAsia" w:ascii="仿宋_GB2312" w:hAnsi="楷体_GB2312" w:eastAsia="仿宋_GB2312" w:cs="楷体_GB2312"/>
          <w:b/>
          <w:bCs/>
          <w:sz w:val="32"/>
          <w:szCs w:val="32"/>
        </w:rPr>
        <w:t>二是加强能力保障。</w:t>
      </w:r>
      <w:r>
        <w:rPr>
          <w:rFonts w:hint="eastAsia" w:ascii="仿宋_GB2312" w:hAnsi="仿宋_GB2312" w:eastAsia="仿宋_GB2312" w:cs="仿宋_GB2312"/>
          <w:sz w:val="32"/>
          <w:szCs w:val="32"/>
        </w:rPr>
        <w:t>按照“全员、精准、有效”要求，全面加强乡村振兴培训，</w:t>
      </w:r>
      <w:r>
        <w:rPr>
          <w:rFonts w:hint="eastAsia" w:ascii="仿宋_GB2312" w:eastAsia="仿宋_GB2312" w:cs="仿宋_GB2312"/>
          <w:sz w:val="32"/>
          <w:szCs w:val="32"/>
        </w:rPr>
        <w:t>培训基层干部5</w:t>
      </w:r>
      <w:r>
        <w:rPr>
          <w:rFonts w:hint="eastAsia" w:ascii="仿宋_GB2312" w:eastAsia="仿宋_GB2312" w:cs="仿宋_GB2312"/>
          <w:sz w:val="32"/>
          <w:szCs w:val="32"/>
          <w:lang w:val="en-US" w:eastAsia="zh-CN"/>
        </w:rPr>
        <w:t>725</w:t>
      </w:r>
      <w:r>
        <w:rPr>
          <w:rFonts w:hint="eastAsia" w:ascii="仿宋_GB2312" w:eastAsia="仿宋_GB2312" w:cs="仿宋_GB2312"/>
          <w:sz w:val="32"/>
          <w:szCs w:val="32"/>
        </w:rPr>
        <w:t>人，网络培训干部22</w:t>
      </w:r>
      <w:r>
        <w:rPr>
          <w:rFonts w:hint="eastAsia" w:ascii="仿宋_GB2312" w:eastAsia="仿宋_GB2312" w:cs="仿宋_GB2312"/>
          <w:sz w:val="32"/>
          <w:szCs w:val="32"/>
          <w:lang w:val="en-US" w:eastAsia="zh-CN"/>
        </w:rPr>
        <w:t>67</w:t>
      </w:r>
      <w:r>
        <w:rPr>
          <w:rFonts w:hint="eastAsia" w:ascii="仿宋_GB2312" w:eastAsia="仿宋_GB2312" w:cs="仿宋_GB2312"/>
          <w:sz w:val="32"/>
          <w:szCs w:val="32"/>
        </w:rPr>
        <w:t>人。组织121名党政正职到厦门大学、浙江大学开展乡村振兴主题培训，开阔视野、提升能力。</w:t>
      </w:r>
      <w:r>
        <w:rPr>
          <w:rFonts w:hint="eastAsia" w:ascii="仿宋_GB2312" w:hAnsi="楷体_GB2312" w:eastAsia="仿宋_GB2312" w:cs="楷体_GB2312"/>
          <w:b/>
          <w:bCs/>
          <w:sz w:val="32"/>
          <w:szCs w:val="32"/>
        </w:rPr>
        <w:t>三是加强驻村保障。</w:t>
      </w:r>
      <w:r>
        <w:rPr>
          <w:rFonts w:hint="eastAsia" w:ascii="仿宋_GB2312" w:hAnsi="Times New Roman" w:eastAsia="仿宋_GB2312" w:cs="Times New Roman"/>
          <w:sz w:val="32"/>
          <w:szCs w:val="32"/>
        </w:rPr>
        <w:t>全面落实驻村队生活、通讯、交通、人身意外伤害保险和重大疾病保险、健康体检等待遇，按“有办公座椅、有床铺、有衣柜、有空调、有热水器、有厨房、有冰箱”等“七有”要求，全面提升驻村条件，激励干部安心投身乡村振兴。</w:t>
      </w:r>
    </w:p>
    <w:p w14:paraId="692A69B7">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二</w:t>
      </w:r>
      <w:r>
        <w:rPr>
          <w:rFonts w:hint="eastAsia" w:ascii="黑体" w:hAnsi="黑体" w:eastAsia="黑体" w:cs="黑体"/>
          <w:b/>
          <w:bCs/>
          <w:sz w:val="32"/>
          <w:szCs w:val="32"/>
          <w:shd w:val="clear" w:color="auto" w:fill="FFFFFF"/>
          <w:lang w:eastAsia="zh-CN"/>
        </w:rPr>
        <w:t>）守牢防止返贫这条底线，持续巩固脱贫成果</w:t>
      </w:r>
    </w:p>
    <w:p w14:paraId="1C0F727C">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习近平</w:t>
      </w:r>
      <w:r>
        <w:rPr>
          <w:rFonts w:ascii="仿宋_GB2312" w:hAnsi="仿宋" w:eastAsia="仿宋_GB2312" w:cs="仿宋"/>
          <w:sz w:val="32"/>
          <w:szCs w:val="32"/>
        </w:rPr>
        <w:t>总书记</w:t>
      </w:r>
      <w:r>
        <w:rPr>
          <w:rFonts w:hint="eastAsia" w:ascii="仿宋_GB2312" w:hAnsi="仿宋" w:eastAsia="仿宋_GB2312" w:cs="仿宋"/>
          <w:sz w:val="32"/>
          <w:szCs w:val="32"/>
        </w:rPr>
        <w:t>强调“</w:t>
      </w:r>
      <w:r>
        <w:rPr>
          <w:rFonts w:ascii="仿宋_GB2312" w:hAnsi="仿宋" w:eastAsia="仿宋_GB2312" w:cs="仿宋"/>
          <w:sz w:val="32"/>
          <w:szCs w:val="32"/>
        </w:rPr>
        <w:t>巩固拓展脱贫攻坚成果是全面推进乡村振兴的底线任务</w:t>
      </w:r>
      <w:r>
        <w:rPr>
          <w:rFonts w:hint="eastAsia" w:ascii="仿宋_GB2312" w:hAnsi="仿宋" w:eastAsia="仿宋_GB2312" w:cs="仿宋"/>
          <w:sz w:val="32"/>
          <w:szCs w:val="32"/>
        </w:rPr>
        <w:t>”</w:t>
      </w:r>
      <w:r>
        <w:rPr>
          <w:rFonts w:ascii="仿宋_GB2312" w:hAnsi="仿宋" w:eastAsia="仿宋_GB2312" w:cs="仿宋"/>
          <w:sz w:val="32"/>
          <w:szCs w:val="32"/>
        </w:rPr>
        <w:t>。</w:t>
      </w:r>
      <w:r>
        <w:rPr>
          <w:rFonts w:hint="eastAsia" w:ascii="仿宋_GB2312" w:hAnsi="仿宋" w:eastAsia="仿宋_GB2312" w:cs="仿宋"/>
          <w:sz w:val="32"/>
          <w:szCs w:val="32"/>
        </w:rPr>
        <w:t>我们坚决守牢这一底线，不断拓展脱贫成果。</w:t>
      </w:r>
    </w:p>
    <w:p w14:paraId="0BC0E8CE">
      <w:pPr>
        <w:pStyle w:val="3"/>
        <w:keepNext w:val="0"/>
        <w:keepLines w:val="0"/>
        <w:pageBreakBefore w:val="0"/>
        <w:widowControl w:val="0"/>
        <w:shd w:val="clear"/>
        <w:kinsoku/>
        <w:wordWrap/>
        <w:overflowPunct/>
        <w:topLinePunct w:val="0"/>
        <w:autoSpaceDN/>
        <w:bidi w:val="0"/>
        <w:adjustRightInd/>
        <w:snapToGrid/>
        <w:spacing w:after="0" w:line="600" w:lineRule="exact"/>
        <w:ind w:firstLine="640" w:firstLineChars="200"/>
        <w:textAlignment w:val="auto"/>
        <w:rPr>
          <w:rFonts w:ascii="黑体" w:hAnsi="黑体" w:eastAsia="黑体" w:cs="黑体"/>
          <w:sz w:val="32"/>
          <w:szCs w:val="32"/>
        </w:rPr>
      </w:pPr>
      <w:r>
        <w:rPr>
          <w:rFonts w:hint="eastAsia" w:ascii="楷体_GB2312" w:hAnsi="楷体_GB2312" w:eastAsia="楷体_GB2312" w:cs="楷体_GB2312"/>
          <w:b/>
          <w:bCs/>
          <w:sz w:val="32"/>
          <w:szCs w:val="32"/>
        </w:rPr>
        <w:t>1.严防死守不发生返贫。</w:t>
      </w:r>
      <w:r>
        <w:rPr>
          <w:rFonts w:hint="eastAsia" w:ascii="仿宋_GB2312" w:hAnsi="仿宋_GB2312" w:eastAsia="仿宋_GB2312" w:cs="仿宋_GB2312"/>
          <w:sz w:val="32"/>
          <w:szCs w:val="32"/>
        </w:rPr>
        <w:t>制订《实施“一户一画像、一户一套餐”防返贫动态监测和精准帮扶工作方案》，创新“大数据+微网格”防贫模式，扎实推进防返贫监测帮扶工作。今年来，出动党员干部10682名，对224658户796644人精准“画像”，新识别监测对象</w:t>
      </w:r>
      <w:r>
        <w:rPr>
          <w:rFonts w:hint="eastAsia" w:ascii="仿宋_GB2312" w:hAnsi="仿宋_GB2312" w:eastAsia="仿宋_GB2312" w:cs="仿宋_GB2312"/>
          <w:snapToGrid w:val="0"/>
          <w:kern w:val="0"/>
          <w:sz w:val="32"/>
          <w:szCs w:val="32"/>
          <w:lang w:val="en-US" w:eastAsia="zh-CN"/>
        </w:rPr>
        <w:t>314</w:t>
      </w:r>
      <w:r>
        <w:rPr>
          <w:rFonts w:hint="eastAsia" w:ascii="仿宋_GB2312" w:hAnsi="仿宋_GB2312" w:eastAsia="仿宋_GB2312" w:cs="仿宋_GB2312"/>
          <w:snapToGrid w:val="0"/>
          <w:kern w:val="0"/>
          <w:sz w:val="32"/>
          <w:szCs w:val="32"/>
        </w:rPr>
        <w:t>户</w:t>
      </w:r>
      <w:r>
        <w:rPr>
          <w:rFonts w:hint="eastAsia" w:ascii="仿宋_GB2312" w:hAnsi="仿宋_GB2312" w:eastAsia="仿宋_GB2312" w:cs="仿宋_GB2312"/>
          <w:snapToGrid w:val="0"/>
          <w:kern w:val="0"/>
          <w:sz w:val="32"/>
          <w:szCs w:val="32"/>
          <w:lang w:val="en-US" w:eastAsia="zh-CN"/>
        </w:rPr>
        <w:t>795</w:t>
      </w:r>
      <w:r>
        <w:rPr>
          <w:rFonts w:hint="eastAsia" w:ascii="仿宋_GB2312" w:hAnsi="仿宋_GB2312" w:eastAsia="仿宋_GB2312" w:cs="仿宋_GB2312"/>
          <w:snapToGrid w:val="0"/>
          <w:kern w:val="0"/>
          <w:sz w:val="32"/>
          <w:szCs w:val="32"/>
        </w:rPr>
        <w:t>人</w:t>
      </w:r>
      <w:r>
        <w:rPr>
          <w:rFonts w:hint="eastAsia" w:ascii="仿宋_GB2312" w:hAnsi="仿宋_GB2312" w:eastAsia="仿宋_GB2312" w:cs="仿宋_GB2312"/>
          <w:sz w:val="32"/>
          <w:szCs w:val="32"/>
        </w:rPr>
        <w:t>，户均落实帮扶措施4.4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项，消除风险240户750人，无一人返贫。</w:t>
      </w:r>
    </w:p>
    <w:p w14:paraId="6715A1A3">
      <w:pPr>
        <w:pStyle w:val="22"/>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hint="eastAsia" w:hAnsi="仿宋_GB2312" w:eastAsia="仿宋_GB2312" w:cs="仿宋_GB2312"/>
          <w:color w:val="000000"/>
          <w:sz w:val="32"/>
          <w:szCs w:val="32"/>
          <w:lang w:val="zh-CN"/>
        </w:rPr>
      </w:pPr>
      <w:r>
        <w:rPr>
          <w:rFonts w:hint="eastAsia" w:ascii="楷体_GB2312" w:hAnsi="楷体_GB2312" w:eastAsia="楷体_GB2312" w:cs="楷体_GB2312"/>
          <w:b/>
          <w:bCs/>
          <w:sz w:val="32"/>
          <w:szCs w:val="32"/>
        </w:rPr>
        <w:t>2.精准落实帮扶政策。</w:t>
      </w:r>
      <w:r>
        <w:rPr>
          <w:rFonts w:hint="eastAsia" w:hAnsi="仿宋_GB2312" w:eastAsia="仿宋_GB2312" w:cs="仿宋_GB2312"/>
          <w:sz w:val="32"/>
          <w:szCs w:val="32"/>
        </w:rPr>
        <w:t>以落实政策为抓手，持续巩固“两不愁三保障”成果。</w:t>
      </w:r>
      <w:r>
        <w:rPr>
          <w:rFonts w:hint="eastAsia" w:hAnsi="仿宋_GB2312" w:eastAsia="仿宋_GB2312" w:cs="仿宋_GB2312"/>
          <w:b/>
          <w:bCs/>
          <w:sz w:val="32"/>
          <w:szCs w:val="32"/>
        </w:rPr>
        <w:t>教育保障方面，</w:t>
      </w:r>
      <w:r>
        <w:rPr>
          <w:rFonts w:hint="eastAsia" w:hAnsi="仿宋_GB2312" w:eastAsia="仿宋_GB2312" w:cs="仿宋_GB2312"/>
          <w:color w:val="000000"/>
          <w:sz w:val="32"/>
          <w:szCs w:val="32"/>
          <w:lang w:val="zh-CN"/>
        </w:rPr>
        <w:t>资助困难学生</w:t>
      </w:r>
      <w:r>
        <w:rPr>
          <w:rFonts w:hint="eastAsia" w:hAnsi="仿宋_GB2312" w:eastAsia="仿宋_GB2312" w:cs="仿宋_GB2312"/>
          <w:color w:val="000000"/>
          <w:sz w:val="32"/>
          <w:szCs w:val="32"/>
          <w:lang w:val="en-US" w:eastAsia="zh-CN"/>
        </w:rPr>
        <w:t>73750</w:t>
      </w:r>
      <w:r>
        <w:rPr>
          <w:rFonts w:hint="eastAsia" w:hAnsi="仿宋_GB2312" w:eastAsia="仿宋_GB2312" w:cs="仿宋_GB2312"/>
          <w:color w:val="000000"/>
          <w:sz w:val="32"/>
          <w:szCs w:val="32"/>
          <w:lang w:val="zh-CN"/>
        </w:rPr>
        <w:t>人次，帮扶资金</w:t>
      </w:r>
      <w:r>
        <w:rPr>
          <w:rFonts w:hint="eastAsia" w:hAnsi="仿宋_GB2312" w:eastAsia="仿宋_GB2312" w:cs="仿宋_GB2312"/>
          <w:color w:val="000000"/>
          <w:sz w:val="32"/>
          <w:szCs w:val="32"/>
          <w:lang w:val="en-US" w:eastAsia="zh-CN"/>
        </w:rPr>
        <w:t>5044.62</w:t>
      </w:r>
      <w:r>
        <w:rPr>
          <w:rFonts w:hint="eastAsia" w:hAnsi="仿宋_GB2312" w:eastAsia="仿宋_GB2312" w:cs="仿宋_GB2312"/>
          <w:color w:val="000000"/>
          <w:sz w:val="32"/>
          <w:szCs w:val="32"/>
          <w:lang w:val="zh-CN"/>
        </w:rPr>
        <w:t>万元</w:t>
      </w:r>
      <w:r>
        <w:rPr>
          <w:rFonts w:hint="eastAsia" w:hAnsi="仿宋_GB2312" w:eastAsia="仿宋_GB2312" w:cs="仿宋_GB2312"/>
          <w:color w:val="000000"/>
          <w:sz w:val="32"/>
          <w:szCs w:val="32"/>
        </w:rPr>
        <w:t>，</w:t>
      </w:r>
      <w:r>
        <w:rPr>
          <w:rFonts w:hint="eastAsia" w:hAnsi="仿宋_GB2312" w:eastAsia="仿宋_GB2312" w:cs="仿宋_GB2312"/>
          <w:color w:val="000000"/>
          <w:sz w:val="32"/>
          <w:szCs w:val="32"/>
          <w:lang w:val="zh-CN"/>
        </w:rPr>
        <w:t>为2</w:t>
      </w:r>
      <w:r>
        <w:rPr>
          <w:rFonts w:hint="eastAsia" w:hAnsi="仿宋_GB2312" w:eastAsia="仿宋_GB2312" w:cs="仿宋_GB2312"/>
          <w:color w:val="000000"/>
          <w:sz w:val="32"/>
          <w:szCs w:val="32"/>
        </w:rPr>
        <w:t>11</w:t>
      </w:r>
      <w:r>
        <w:rPr>
          <w:rFonts w:hint="eastAsia" w:hAnsi="仿宋_GB2312" w:eastAsia="仿宋_GB2312" w:cs="仿宋_GB2312"/>
          <w:color w:val="000000"/>
          <w:sz w:val="32"/>
          <w:szCs w:val="32"/>
          <w:lang w:val="zh-CN"/>
        </w:rPr>
        <w:t>名适龄儿童少年送教上门，无一人失学辍学。</w:t>
      </w:r>
      <w:r>
        <w:rPr>
          <w:rFonts w:hint="eastAsia" w:hAnsi="仿宋_GB2312" w:eastAsia="仿宋_GB2312" w:cs="仿宋_GB2312"/>
          <w:b/>
          <w:bCs/>
          <w:sz w:val="32"/>
          <w:szCs w:val="32"/>
          <w:lang w:val="zh-CN"/>
        </w:rPr>
        <w:t>医疗保障</w:t>
      </w:r>
      <w:r>
        <w:rPr>
          <w:rFonts w:hint="eastAsia" w:hAnsi="仿宋_GB2312" w:eastAsia="仿宋_GB2312" w:cs="仿宋_GB2312"/>
          <w:b/>
          <w:bCs/>
          <w:sz w:val="32"/>
          <w:szCs w:val="32"/>
        </w:rPr>
        <w:t>方面。</w:t>
      </w:r>
      <w:r>
        <w:rPr>
          <w:rFonts w:hint="eastAsia" w:hAnsi="仿宋_GB2312" w:eastAsia="仿宋_GB2312" w:cs="仿宋_GB2312"/>
          <w:sz w:val="32"/>
          <w:szCs w:val="32"/>
        </w:rPr>
        <w:t>33种大病救治率、脱贫人口和监测户“四类慢性病”患者签约服务率、脱贫人口和监测户参保率均达100%。</w:t>
      </w:r>
      <w:r>
        <w:rPr>
          <w:rFonts w:hint="eastAsia" w:hAnsi="仿宋_GB2312" w:eastAsia="仿宋_GB2312" w:cs="仿宋_GB2312"/>
          <w:b/>
          <w:bCs/>
          <w:sz w:val="32"/>
          <w:szCs w:val="32"/>
        </w:rPr>
        <w:t>住房保障方面。</w:t>
      </w:r>
      <w:r>
        <w:rPr>
          <w:rFonts w:hint="eastAsia" w:hAnsi="仿宋_GB2312" w:eastAsia="仿宋_GB2312" w:cs="仿宋_GB2312"/>
          <w:sz w:val="32"/>
          <w:szCs w:val="32"/>
        </w:rPr>
        <w:t>常态化开展房屋安全质量排查鉴定，今年改造危房192户，无一人住危房。</w:t>
      </w:r>
      <w:r>
        <w:rPr>
          <w:rFonts w:hint="eastAsia" w:hAnsi="仿宋_GB2312" w:eastAsia="仿宋_GB2312" w:cs="仿宋_GB2312"/>
          <w:b/>
          <w:bCs/>
          <w:sz w:val="32"/>
          <w:szCs w:val="32"/>
        </w:rPr>
        <w:t>饮水安全方面。</w:t>
      </w:r>
      <w:r>
        <w:rPr>
          <w:rFonts w:hint="eastAsia" w:hAnsi="仿宋_GB2312" w:eastAsia="仿宋_GB2312" w:cs="仿宋_GB2312"/>
          <w:color w:val="000000"/>
          <w:sz w:val="32"/>
          <w:szCs w:val="32"/>
          <w:lang w:val="zh-CN"/>
        </w:rPr>
        <w:t>整合资金600万元，实施农村饮水安全巩固提升工程19处</w:t>
      </w:r>
      <w:r>
        <w:rPr>
          <w:rFonts w:hint="eastAsia" w:hAnsi="仿宋_GB2312" w:eastAsia="仿宋_GB2312" w:cs="仿宋_GB2312"/>
          <w:color w:val="000000"/>
          <w:sz w:val="32"/>
          <w:szCs w:val="32"/>
          <w:lang w:val="zh-CN" w:eastAsia="zh-CN"/>
        </w:rPr>
        <w:t>；</w:t>
      </w:r>
      <w:r>
        <w:rPr>
          <w:rFonts w:hint="eastAsia" w:hAnsi="仿宋_GB2312" w:eastAsia="仿宋_GB2312" w:cs="仿宋_GB2312"/>
          <w:color w:val="000000"/>
          <w:sz w:val="32"/>
          <w:szCs w:val="32"/>
          <w:lang w:val="zh-CN"/>
        </w:rPr>
        <w:t>投入养护资金272万元，维修农村饮水项目144处，实现饮水安全问题动态清零。</w:t>
      </w:r>
    </w:p>
    <w:p w14:paraId="1918FD9D">
      <w:pPr>
        <w:keepNext w:val="0"/>
        <w:keepLines w:val="0"/>
        <w:pageBreakBefore w:val="0"/>
        <w:widowControl w:val="0"/>
        <w:shd w:val="clear"/>
        <w:kinsoku/>
        <w:wordWrap/>
        <w:overflowPunct/>
        <w:topLinePunct w:val="0"/>
        <w:autoSpaceDE w:val="0"/>
        <w:autoSpaceDN/>
        <w:bidi w:val="0"/>
        <w:adjustRightInd/>
        <w:snapToGrid/>
        <w:spacing w:line="600" w:lineRule="exact"/>
        <w:ind w:firstLine="640" w:firstLineChars="200"/>
        <w:textAlignment w:val="auto"/>
        <w:rPr>
          <w:rFonts w:hAnsi="仿宋_GB2312" w:eastAsia="仿宋_GB2312" w:cs="仿宋_GB2312"/>
          <w:color w:val="000000"/>
          <w:sz w:val="32"/>
          <w:szCs w:val="32"/>
        </w:rPr>
      </w:pPr>
      <w:r>
        <w:rPr>
          <w:rFonts w:hint="eastAsia" w:ascii="楷体_GB2312" w:hAnsi="楷体_GB2312" w:eastAsia="楷体_GB2312" w:cs="楷体_GB2312"/>
          <w:b/>
          <w:bCs/>
          <w:sz w:val="32"/>
          <w:szCs w:val="32"/>
        </w:rPr>
        <w:t>3.不断强化后续帮扶。</w:t>
      </w:r>
      <w:r>
        <w:rPr>
          <w:rFonts w:hint="eastAsia" w:ascii="仿宋_GB2312" w:hAnsi="仿宋_GB2312" w:eastAsia="仿宋_GB2312" w:cs="仿宋_GB2312"/>
          <w:b/>
          <w:bCs/>
          <w:sz w:val="32"/>
          <w:szCs w:val="32"/>
          <w:lang w:val="zh-CN"/>
        </w:rPr>
        <w:t>在基础保障方面</w:t>
      </w:r>
      <w:r>
        <w:rPr>
          <w:rFonts w:hint="eastAsia"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rPr>
        <w:t>安排</w:t>
      </w:r>
      <w:r>
        <w:rPr>
          <w:rFonts w:hint="eastAsia" w:hAnsi="仿宋_GB2312" w:eastAsia="仿宋_GB2312" w:cs="仿宋_GB2312"/>
          <w:color w:val="000000"/>
          <w:sz w:val="32"/>
          <w:szCs w:val="32"/>
          <w:lang w:val="zh-CN"/>
        </w:rPr>
        <w:t>资金</w:t>
      </w:r>
      <w:r>
        <w:rPr>
          <w:rFonts w:hint="eastAsia" w:ascii="仿宋_GB2312" w:hAnsi="仿宋_GB2312" w:eastAsia="仿宋_GB2312" w:cs="仿宋_GB2312"/>
          <w:color w:val="000000"/>
          <w:sz w:val="32"/>
          <w:szCs w:val="32"/>
        </w:rPr>
        <w:t>174万元用于</w:t>
      </w:r>
      <w:r>
        <w:rPr>
          <w:rFonts w:hint="eastAsia" w:hAnsi="仿宋_GB2312" w:eastAsia="仿宋_GB2312" w:cs="仿宋_GB2312"/>
          <w:color w:val="000000"/>
          <w:sz w:val="32"/>
          <w:szCs w:val="32"/>
        </w:rPr>
        <w:t>“小微”建设，</w:t>
      </w:r>
      <w:r>
        <w:rPr>
          <w:rFonts w:hint="eastAsia" w:ascii="仿宋_GB2312" w:hAnsi="仿宋_GB2312" w:eastAsia="仿宋_GB2312" w:cs="仿宋_GB2312"/>
          <w:color w:val="000000"/>
          <w:sz w:val="32"/>
          <w:szCs w:val="32"/>
          <w:lang w:val="zh-CN"/>
        </w:rPr>
        <w:t>集中安置区水、电、路、通讯、有线、垃圾及污水处理等设施全</w:t>
      </w:r>
      <w:r>
        <w:rPr>
          <w:rFonts w:hint="eastAsia" w:hAnsi="仿宋_GB2312" w:eastAsia="仿宋_GB2312" w:cs="仿宋_GB2312"/>
          <w:color w:val="000000"/>
          <w:sz w:val="32"/>
          <w:szCs w:val="32"/>
          <w:lang w:val="zh-CN"/>
        </w:rPr>
        <w:t>面完善</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b/>
          <w:bCs/>
          <w:sz w:val="32"/>
          <w:szCs w:val="32"/>
          <w:lang w:val="zh-CN"/>
        </w:rPr>
        <w:t>在提升致富能力方面，</w:t>
      </w:r>
      <w:r>
        <w:rPr>
          <w:rFonts w:hint="eastAsia" w:hAnsi="仿宋_GB2312" w:eastAsia="仿宋_GB2312" w:cs="仿宋_GB2312"/>
          <w:color w:val="000000"/>
          <w:sz w:val="32"/>
          <w:szCs w:val="32"/>
          <w:lang w:val="zh-CN"/>
        </w:rPr>
        <w:t>以开发式帮扶为主，推进产业就业帮扶，有劳力的搬迁户户均落实产业帮扶政策1项以上，实现稳定就业1人以上，今年搬迁群众收入增速</w:t>
      </w:r>
      <w:r>
        <w:rPr>
          <w:rFonts w:hint="eastAsia" w:hAnsi="仿宋_GB2312" w:eastAsia="仿宋_GB2312" w:cs="仿宋_GB2312"/>
          <w:color w:val="000000"/>
          <w:sz w:val="32"/>
          <w:szCs w:val="32"/>
          <w:lang w:val="zh-CN" w:eastAsia="zh-CN"/>
        </w:rPr>
        <w:t>达</w:t>
      </w:r>
      <w:r>
        <w:rPr>
          <w:rFonts w:hint="eastAsia" w:hAnsi="仿宋_GB2312" w:eastAsia="仿宋_GB2312" w:cs="仿宋_GB2312"/>
          <w:color w:val="000000"/>
          <w:sz w:val="32"/>
          <w:szCs w:val="32"/>
          <w:lang w:val="en-US" w:eastAsia="zh-CN"/>
        </w:rPr>
        <w:t>14.45%</w:t>
      </w:r>
      <w:r>
        <w:rPr>
          <w:rFonts w:hint="eastAsia" w:hAnsi="仿宋_GB2312" w:eastAsia="仿宋_GB2312" w:cs="仿宋_GB2312"/>
          <w:color w:val="000000"/>
          <w:sz w:val="32"/>
          <w:szCs w:val="32"/>
          <w:lang w:val="zh-CN"/>
        </w:rPr>
        <w:t>。</w:t>
      </w:r>
      <w:r>
        <w:rPr>
          <w:rFonts w:hint="eastAsia" w:ascii="仿宋_GB2312" w:hAnsi="仿宋_GB2312" w:eastAsia="仿宋_GB2312" w:cs="仿宋_GB2312"/>
          <w:b/>
          <w:bCs/>
          <w:sz w:val="32"/>
          <w:szCs w:val="32"/>
        </w:rPr>
        <w:t>在社区融入方面，</w:t>
      </w:r>
      <w:r>
        <w:rPr>
          <w:rFonts w:hint="eastAsia" w:hAnsi="仿宋_GB2312" w:eastAsia="仿宋_GB2312" w:cs="仿宋_GB2312"/>
          <w:color w:val="000000"/>
          <w:sz w:val="32"/>
          <w:szCs w:val="32"/>
        </w:rPr>
        <w:t>强化</w:t>
      </w:r>
      <w:r>
        <w:rPr>
          <w:rFonts w:hAnsi="仿宋_GB2312" w:eastAsia="仿宋_GB2312" w:cs="仿宋_GB2312"/>
          <w:color w:val="000000"/>
          <w:sz w:val="32"/>
          <w:szCs w:val="32"/>
        </w:rPr>
        <w:t>“一站两委四会”</w:t>
      </w:r>
      <w:r>
        <w:rPr>
          <w:rFonts w:hint="eastAsia" w:hAnsi="仿宋_GB2312" w:eastAsia="仿宋_GB2312" w:cs="仿宋_GB2312"/>
          <w:color w:val="000000"/>
          <w:sz w:val="32"/>
          <w:szCs w:val="32"/>
        </w:rPr>
        <w:t>作用的同时，</w:t>
      </w:r>
      <w:r>
        <w:rPr>
          <w:rFonts w:hint="eastAsia" w:hAnsi="仿宋_GB2312" w:eastAsia="仿宋_GB2312" w:cs="仿宋_GB2312"/>
          <w:color w:val="000000"/>
          <w:sz w:val="32"/>
          <w:szCs w:val="32"/>
          <w:lang w:val="zh-CN"/>
        </w:rPr>
        <w:t>在县城安置点探索以迁入地为主、原籍地为辅的双重管理办法，在其他安置点按本人意愿，灵活选择就业就学、户籍管理等方式，确保了“搬得出、稳得住”。</w:t>
      </w:r>
    </w:p>
    <w:p w14:paraId="1C3D8ED5">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4.着力完善兜底机制。</w:t>
      </w:r>
      <w:r>
        <w:rPr>
          <w:rFonts w:hint="eastAsia" w:ascii="仿宋_GB2312" w:hAnsi="仿宋_GB2312" w:eastAsia="仿宋_GB2312" w:cs="仿宋_GB2312"/>
          <w:b/>
          <w:bCs/>
          <w:sz w:val="32"/>
          <w:szCs w:val="32"/>
        </w:rPr>
        <w:t>一是优化低保对象动态调整机制</w:t>
      </w:r>
      <w:r>
        <w:rPr>
          <w:rFonts w:hint="eastAsia" w:ascii="仿宋_GB2312" w:hAnsi="仿宋_GB2312" w:eastAsia="仿宋_GB2312" w:cs="仿宋_GB2312"/>
          <w:sz w:val="32"/>
          <w:szCs w:val="32"/>
        </w:rPr>
        <w:t>。成立家庭收入核算小组，推行“核算为主、评议为辅”的识别机制，今年新纳入低保对象</w:t>
      </w:r>
      <w:r>
        <w:rPr>
          <w:rFonts w:hint="eastAsia" w:ascii="仿宋_GB2312" w:hAnsi="仿宋_GB2312" w:eastAsia="仿宋_GB2312" w:cs="仿宋_GB2312"/>
          <w:sz w:val="32"/>
          <w:szCs w:val="32"/>
          <w:lang w:val="en-US" w:eastAsia="zh-CN"/>
        </w:rPr>
        <w:t>1933</w:t>
      </w:r>
      <w:r>
        <w:rPr>
          <w:rFonts w:hint="eastAsia" w:ascii="仿宋_GB2312" w:hAnsi="仿宋_GB2312" w:eastAsia="仿宋_GB2312" w:cs="仿宋_GB2312"/>
          <w:sz w:val="32"/>
          <w:szCs w:val="32"/>
        </w:rPr>
        <w:t>人，做到了应保尽保。</w:t>
      </w:r>
      <w:r>
        <w:rPr>
          <w:rFonts w:hint="eastAsia" w:ascii="仿宋_GB2312" w:hAnsi="仿宋_GB2312" w:eastAsia="仿宋_GB2312" w:cs="仿宋_GB2312"/>
          <w:b/>
          <w:bCs/>
          <w:sz w:val="32"/>
          <w:szCs w:val="32"/>
        </w:rPr>
        <w:t>二是优化精准救助方式。</w:t>
      </w:r>
      <w:r>
        <w:rPr>
          <w:rFonts w:hint="eastAsia" w:ascii="仿宋_GB2312" w:hAnsi="仿宋_GB2312" w:eastAsia="仿宋_GB2312" w:cs="仿宋_GB2312"/>
          <w:sz w:val="32"/>
          <w:szCs w:val="32"/>
        </w:rPr>
        <w:t>发挥县乡村“三级联动”作用，推动社会救助从“被动申请”向“主动发现”转变，今年实施临时救助6010人次，发放救助资金650.45万元，确保了应救尽救，精准施救。</w:t>
      </w:r>
      <w:r>
        <w:rPr>
          <w:rFonts w:hint="eastAsia" w:ascii="仿宋_GB2312" w:hAnsi="仿宋_GB2312" w:eastAsia="仿宋_GB2312" w:cs="仿宋_GB2312"/>
          <w:b/>
          <w:bCs/>
          <w:sz w:val="32"/>
          <w:szCs w:val="32"/>
        </w:rPr>
        <w:t>三是建立特殊困难群体结对帮扶机制。</w:t>
      </w:r>
      <w:r>
        <w:rPr>
          <w:rFonts w:hint="eastAsia" w:ascii="仿宋_GB2312" w:hAnsi="仿宋_GB2312" w:eastAsia="仿宋_GB2312" w:cs="仿宋_GB2312"/>
          <w:sz w:val="32"/>
          <w:szCs w:val="32"/>
        </w:rPr>
        <w:t>投入资金206万元建强乡镇社工站，以购买服务的方式，对1163名生活不能自理的困难群众提供照料服务，保障基本生活。</w:t>
      </w:r>
    </w:p>
    <w:p w14:paraId="19934541">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三</w:t>
      </w: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紧扣乡村振兴这根主线，全面建设和美乡村</w:t>
      </w:r>
    </w:p>
    <w:p w14:paraId="319518E0">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近年，中央一号文件持续将乡村振兴作为主线，部署推进“三农”工作。我县紧扣这一主线任务，推动“三农”发展。</w:t>
      </w:r>
    </w:p>
    <w:p w14:paraId="71EDCD02">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楷体_GB2312" w:hAnsi="楷体_GB2312" w:eastAsia="楷体_GB2312" w:cs="楷体_GB2312"/>
          <w:b/>
          <w:bCs/>
          <w:sz w:val="32"/>
          <w:szCs w:val="32"/>
        </w:rPr>
        <w:t>1.全力推动农民增收。</w:t>
      </w:r>
      <w:r>
        <w:rPr>
          <w:rFonts w:hint="eastAsia" w:ascii="仿宋_GB2312" w:hAnsi="仿宋_GB2312" w:eastAsia="仿宋_GB2312" w:cs="仿宋_GB2312"/>
          <w:sz w:val="32"/>
          <w:szCs w:val="32"/>
        </w:rPr>
        <w:t>紧扣增收这一关键，推动农民致富。</w:t>
      </w:r>
      <w:r>
        <w:rPr>
          <w:rFonts w:hint="eastAsia" w:ascii="仿宋_GB2312" w:hAnsi="仿宋_GB2312" w:eastAsia="仿宋_GB2312" w:cs="仿宋_GB2312"/>
          <w:b/>
          <w:bCs/>
          <w:sz w:val="32"/>
          <w:szCs w:val="32"/>
        </w:rPr>
        <w:t>一是兴产业促就业。</w:t>
      </w:r>
      <w:r>
        <w:rPr>
          <w:rFonts w:hint="eastAsia" w:ascii="仿宋_GB2312" w:hAnsi="仿宋_GB2312" w:eastAsia="仿宋_GB2312" w:cs="仿宋_GB2312"/>
          <w:sz w:val="32"/>
          <w:szCs w:val="32"/>
        </w:rPr>
        <w:t>着力打造“10+2”产业链，湘维公司再增2条生产线、投资32亿元的硅砂提纯项目正式开工、新引进21家阀门企业，雨溆工业园14家企业正式投产，新发展中药材5520亩、茶叶2300亩，溆浦（龙潭）山银花集散中心建成揭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rPr>
        <w:t>全县脱贫人口人均纯收入</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15644元，增速达13.22%。</w:t>
      </w:r>
      <w:r>
        <w:rPr>
          <w:rFonts w:hint="eastAsia" w:ascii="仿宋_GB2312" w:hAnsi="仿宋_GB2312" w:eastAsia="仿宋_GB2312" w:cs="仿宋_GB2312"/>
          <w:b/>
          <w:bCs/>
          <w:sz w:val="32"/>
          <w:szCs w:val="32"/>
        </w:rPr>
        <w:t>二是稳就业促增收。</w:t>
      </w:r>
      <w:r>
        <w:rPr>
          <w:rFonts w:hint="eastAsia" w:ascii="仿宋_GB2312" w:hAnsi="仿宋_GB2312" w:eastAsia="仿宋_GB2312" w:cs="仿宋_GB2312"/>
          <w:sz w:val="32"/>
          <w:szCs w:val="32"/>
        </w:rPr>
        <w:t>出台《溆浦县就业困难人员就业帮扶十条措施》，开展各类职业技能培训2458人次，安置公益性岗位</w:t>
      </w:r>
      <w:r>
        <w:rPr>
          <w:rFonts w:hint="eastAsia" w:ascii="仿宋_GB2312" w:hAnsi="仿宋_GB2312" w:eastAsia="仿宋_GB2312" w:cs="仿宋_GB2312"/>
          <w:sz w:val="32"/>
          <w:szCs w:val="32"/>
          <w:lang w:val="en-US" w:eastAsia="zh-CN"/>
        </w:rPr>
        <w:t>2416</w:t>
      </w:r>
      <w:r>
        <w:rPr>
          <w:rFonts w:hint="eastAsia" w:ascii="仿宋_GB2312" w:hAnsi="仿宋_GB2312" w:eastAsia="仿宋_GB2312" w:cs="仿宋_GB2312"/>
          <w:sz w:val="32"/>
          <w:szCs w:val="32"/>
        </w:rPr>
        <w:t>人，全县新增城镇就业2112人，新增农村劳动力转移就业3675人，</w:t>
      </w:r>
      <w:r>
        <w:rPr>
          <w:rFonts w:hint="eastAsia" w:ascii="仿宋_GB2312" w:hAnsi="宋体" w:eastAsia="仿宋_GB2312" w:cs="宋体"/>
          <w:bCs w:val="0"/>
          <w:color w:val="auto"/>
          <w:kern w:val="2"/>
          <w:sz w:val="32"/>
          <w:szCs w:val="32"/>
          <w:shd w:val="clear" w:color="auto" w:fill="auto"/>
          <w:lang w:val="en-US" w:eastAsia="zh-CN" w:bidi="ar-SA"/>
        </w:rPr>
        <w:t>5.72</w:t>
      </w:r>
      <w:r>
        <w:rPr>
          <w:rFonts w:hint="eastAsia" w:ascii="仿宋_GB2312" w:hAnsi="仿宋_GB2312" w:eastAsia="仿宋_GB2312" w:cs="仿宋_GB2312"/>
          <w:sz w:val="32"/>
          <w:szCs w:val="32"/>
        </w:rPr>
        <w:t>万有就业意愿的脱贫劳动力全部就业。</w:t>
      </w:r>
      <w:r>
        <w:rPr>
          <w:rFonts w:hint="eastAsia" w:ascii="仿宋_GB2312" w:hAnsi="仿宋_GB2312" w:eastAsia="仿宋_GB2312" w:cs="仿宋_GB2312"/>
          <w:b/>
          <w:bCs/>
          <w:sz w:val="32"/>
          <w:szCs w:val="32"/>
        </w:rPr>
        <w:t>三是提标准保兜底。</w:t>
      </w:r>
      <w:r>
        <w:rPr>
          <w:rFonts w:hint="eastAsia" w:ascii="仿宋_GB2312" w:hAnsi="仿宋_GB2312" w:eastAsia="仿宋_GB2312" w:cs="仿宋_GB2312"/>
          <w:sz w:val="32"/>
          <w:szCs w:val="32"/>
        </w:rPr>
        <w:t>克服财政困难，将农村低保提高至5016元/年/人，残疾人“两项补贴”提高至80元/月/人。</w:t>
      </w:r>
    </w:p>
    <w:p w14:paraId="52BBA326">
      <w:pPr>
        <w:pStyle w:val="23"/>
        <w:keepNext w:val="0"/>
        <w:keepLines w:val="0"/>
        <w:pageBreakBefore w:val="0"/>
        <w:widowControl w:val="0"/>
        <w:shd w:val="clear"/>
        <w:kinsoku/>
        <w:wordWrap/>
        <w:overflowPunct/>
        <w:topLinePunct w:val="0"/>
        <w:autoSpaceDN/>
        <w:bidi w:val="0"/>
        <w:adjustRightInd/>
        <w:snapToGrid/>
        <w:spacing w:afterLines="0" w:line="60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2.</w:t>
      </w:r>
      <w:r>
        <w:rPr>
          <w:rFonts w:hint="eastAsia" w:ascii="楷体_GB2312" w:hAnsi="仿宋_GB2312" w:eastAsia="楷体_GB2312" w:cs="仿宋_GB2312"/>
          <w:b/>
          <w:color w:val="000000"/>
          <w:kern w:val="0"/>
          <w:sz w:val="32"/>
          <w:szCs w:val="32"/>
        </w:rPr>
        <w:t>全力推进乡村建设。</w:t>
      </w:r>
      <w:r>
        <w:rPr>
          <w:rFonts w:hint="eastAsia" w:ascii="仿宋_GB2312" w:hAnsi="仿宋_GB2312" w:eastAsia="仿宋_GB2312" w:cs="仿宋_GB2312"/>
          <w:sz w:val="32"/>
          <w:szCs w:val="32"/>
        </w:rPr>
        <w:t>深入调研、充分论证，制定出台《溆浦县乡村建设行动实施方案》《溆浦县乡村建设行动工作推进机制》《溆浦县2023年度乡村建设任务清单》，以“项目化”“清单式”推进乡村建设。结合户厕问题排查整改再“回头看”工作，对农村户厕全面盘底，科学锁定2179座年度改厕任务，按“一厕一方案一责任人一技术员”要求和“一月一调度一通报”机制，</w:t>
      </w:r>
      <w:r>
        <w:rPr>
          <w:rFonts w:hint="eastAsia" w:ascii="仿宋_GB2312" w:hAnsi="仿宋_GB2312" w:eastAsia="仿宋_GB2312" w:cs="仿宋_GB2312"/>
          <w:sz w:val="32"/>
          <w:szCs w:val="32"/>
          <w:lang w:eastAsia="zh-CN"/>
        </w:rPr>
        <w:t>目前已全部完工</w:t>
      </w:r>
      <w:r>
        <w:rPr>
          <w:rFonts w:hint="eastAsia" w:ascii="仿宋_GB2312" w:hAnsi="仿宋_GB2312" w:eastAsia="仿宋_GB2312" w:cs="仿宋_GB2312"/>
          <w:sz w:val="32"/>
          <w:szCs w:val="32"/>
        </w:rPr>
        <w:t>。多方筹资2000万元，以奖补方式和“打擂台”形式推进农村人居环境整治，农村面貌持续改善。</w:t>
      </w:r>
    </w:p>
    <w:p w14:paraId="31030A25">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3.全力改进乡村治理。</w:t>
      </w:r>
      <w:r>
        <w:rPr>
          <w:rFonts w:hint="eastAsia" w:ascii="仿宋_GB2312" w:eastAsia="仿宋_GB2312"/>
          <w:b/>
          <w:bCs/>
          <w:sz w:val="32"/>
          <w:szCs w:val="32"/>
          <w:lang w:eastAsia="zh-CN"/>
        </w:rPr>
        <w:t>一是</w:t>
      </w:r>
      <w:r>
        <w:rPr>
          <w:rFonts w:hint="eastAsia" w:ascii="仿宋_GB2312" w:eastAsia="仿宋_GB2312"/>
          <w:b/>
          <w:bCs/>
          <w:sz w:val="32"/>
          <w:szCs w:val="32"/>
        </w:rPr>
        <w:t>拓展党建引领乡村治理领域</w:t>
      </w:r>
      <w:r>
        <w:rPr>
          <w:rFonts w:hint="eastAsia" w:ascii="仿宋_GB2312" w:eastAsia="仿宋_GB2312"/>
          <w:sz w:val="32"/>
          <w:szCs w:val="32"/>
        </w:rPr>
        <w:t>。推广片长、组长、邻长“三长制”治理，全县412个村（社区）选任片长2215名、组长6084名、邻长21197名，通过“三长”把98%的矛盾纠纷化解在村内。</w:t>
      </w:r>
      <w:r>
        <w:rPr>
          <w:rFonts w:hint="eastAsia" w:ascii="仿宋_GB2312" w:eastAsia="仿宋_GB2312"/>
          <w:b/>
          <w:bCs/>
          <w:sz w:val="32"/>
          <w:szCs w:val="32"/>
          <w:lang w:eastAsia="zh-CN"/>
        </w:rPr>
        <w:t>二是</w:t>
      </w:r>
      <w:r>
        <w:rPr>
          <w:rFonts w:hint="eastAsia" w:ascii="仿宋_GB2312" w:eastAsia="仿宋_GB2312"/>
          <w:b/>
          <w:bCs/>
          <w:sz w:val="32"/>
          <w:szCs w:val="32"/>
        </w:rPr>
        <w:t>深入开展新时代文明实践工作</w:t>
      </w:r>
      <w:r>
        <w:rPr>
          <w:rFonts w:hint="eastAsia" w:ascii="仿宋_GB2312" w:eastAsia="仿宋_GB2312"/>
          <w:sz w:val="32"/>
          <w:szCs w:val="32"/>
        </w:rPr>
        <w:t>。投入1000万元，按“五有”标准，建立完善县、乡、村、安置点四级组织体系，建成文明实践示范站点22个、文明村镇313个。</w:t>
      </w:r>
      <w:r>
        <w:rPr>
          <w:rFonts w:hint="eastAsia" w:ascii="仿宋_GB2312" w:eastAsia="仿宋_GB2312"/>
          <w:b/>
          <w:bCs/>
          <w:sz w:val="32"/>
          <w:szCs w:val="32"/>
          <w:lang w:eastAsia="zh-CN"/>
        </w:rPr>
        <w:t>三是</w:t>
      </w:r>
      <w:r>
        <w:rPr>
          <w:rFonts w:hint="eastAsia" w:ascii="仿宋_GB2312" w:eastAsia="仿宋_GB2312"/>
          <w:b/>
          <w:bCs/>
          <w:sz w:val="32"/>
          <w:szCs w:val="32"/>
        </w:rPr>
        <w:t>深入推进移风易俗。</w:t>
      </w:r>
      <w:r>
        <w:rPr>
          <w:rFonts w:hint="eastAsia" w:ascii="仿宋_GB2312" w:eastAsia="仿宋_GB2312"/>
          <w:sz w:val="32"/>
          <w:szCs w:val="32"/>
        </w:rPr>
        <w:t>全面推广“幸福基金”“爱心超市”“星级评比”等经验做法，建立红白理事会等组织，引导制定倡导新风、整治陋习的《红白理事会章程》，村级红白理事会实现全覆盖。</w:t>
      </w:r>
    </w:p>
    <w:p w14:paraId="37579276">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四</w:t>
      </w:r>
      <w:r>
        <w:rPr>
          <w:rFonts w:hint="eastAsia" w:ascii="黑体" w:hAnsi="黑体" w:eastAsia="黑体" w:cs="黑体"/>
          <w:b/>
          <w:bCs/>
          <w:sz w:val="32"/>
          <w:szCs w:val="32"/>
          <w:shd w:val="clear" w:color="auto" w:fill="FFFFFF"/>
          <w:lang w:eastAsia="zh-CN"/>
        </w:rPr>
        <w:t>）狠抓问题整改这一关键，全力提升工作质效</w:t>
      </w:r>
    </w:p>
    <w:p w14:paraId="415F30CE">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在省市部署有效衔接突出问题排查整改后，我们把自己摆进去，对照反馈问题，举一反三，持续补短板、强弱项、提质效。</w:t>
      </w:r>
    </w:p>
    <w:p w14:paraId="6EC4D13B">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1.精心安排部署。</w:t>
      </w:r>
      <w:r>
        <w:rPr>
          <w:rFonts w:hint="eastAsia" w:ascii="仿宋_GB2312" w:hAnsi="仿宋_GB2312" w:eastAsia="仿宋_GB2312" w:cs="仿宋_GB2312"/>
          <w:sz w:val="32"/>
          <w:szCs w:val="32"/>
        </w:rPr>
        <w:t>建立了由县委书记任召集人的问题排查整改联席会议制度，县委县政府主要领导亲自部署、</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调度。对照中央、省、市反馈的问题系统分析，逐一明确整改措施、责任领导、责任单位和整改时限。各行业部门聚焦18个方面有效衔接问题和户厕问题，分类制定实施细则，抽调业务骨干，组建整改专班，从制度、业务、力量各方面，确保工作精准高效。</w:t>
      </w:r>
    </w:p>
    <w:p w14:paraId="5F4EC7CD">
      <w:pPr>
        <w:keepNext w:val="0"/>
        <w:keepLines w:val="0"/>
        <w:pageBreakBefore w:val="0"/>
        <w:widowControl w:val="0"/>
        <w:shd w:val="clear"/>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2.全面排查整改。</w:t>
      </w:r>
      <w:r>
        <w:rPr>
          <w:rFonts w:hint="eastAsia" w:ascii="仿宋_GB2312" w:hAnsi="仿宋_GB2312" w:eastAsia="仿宋_GB2312" w:cs="仿宋_GB2312"/>
          <w:sz w:val="32"/>
          <w:szCs w:val="32"/>
        </w:rPr>
        <w:t>对中央、省、市反馈的18个方面有效衔接问题，坚持不漏一村一户一人、不留死角盲区，全覆盖地毯式核查，共排查农户137712户456093人，排查扶贫项目7370个。对户厕问题，组织培训专业力量5427人，排查农村改厕户27133户。对排查出来的问题，对标中央和省市要求，对标行业标准，一条一条整改，坚决做到了整改不到位不放过、成效不明显不放过、群众不满意不放过。目前所有问题均整改到位。</w:t>
      </w:r>
    </w:p>
    <w:p w14:paraId="370E6763">
      <w:pPr>
        <w:pStyle w:val="3"/>
        <w:keepNext w:val="0"/>
        <w:keepLines w:val="0"/>
        <w:pageBreakBefore w:val="0"/>
        <w:widowControl w:val="0"/>
        <w:shd w:val="clear"/>
        <w:kinsoku/>
        <w:wordWrap/>
        <w:overflowPunct/>
        <w:topLinePunct w:val="0"/>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3.建立长效机制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完善防返贫监测帮扶机制的基础上，健全信息共享机制，每月组织行业部门进行信息比对，排查问题；推行“微网格”管理，将全县412个村（社区）划分为18764个微网格，逐一配备信息员，常态化开展排查；完善督查督办和追责问责常态机制，将问题排查整改作为督查督办和追责问责的重要内容，确保责任到位、整改到位。</w:t>
      </w:r>
    </w:p>
    <w:p w14:paraId="2284EB4C">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八</w:t>
      </w:r>
      <w:r>
        <w:rPr>
          <w:rFonts w:hint="eastAsia" w:ascii="黑体" w:hAnsi="黑体" w:eastAsia="黑体"/>
          <w:spacing w:val="-2"/>
          <w:sz w:val="32"/>
          <w:szCs w:val="32"/>
        </w:rPr>
        <w:t>、存在的主要问题</w:t>
      </w:r>
    </w:p>
    <w:p w14:paraId="7A5049A6">
      <w:pPr>
        <w:pStyle w:val="10"/>
        <w:shd w:val="clear" w:color="auto"/>
        <w:spacing w:before="0" w:beforeAutospacing="0" w:after="0" w:afterAutospacing="0" w:line="560" w:lineRule="exact"/>
        <w:ind w:firstLine="640" w:firstLineChars="200"/>
        <w:jc w:val="both"/>
        <w:rPr>
          <w:rFonts w:hint="eastAsia" w:ascii="仿宋_GB2312" w:hAnsi="宋体" w:eastAsia="仿宋_GB2312" w:cs="宋体"/>
          <w:b/>
          <w:bCs/>
          <w:color w:val="auto"/>
          <w:sz w:val="32"/>
          <w:szCs w:val="32"/>
        </w:rPr>
      </w:pPr>
      <w:r>
        <w:rPr>
          <w:rFonts w:hint="eastAsia" w:ascii="仿宋_GB2312" w:hAnsi="宋体" w:eastAsia="仿宋_GB2312" w:cs="宋体"/>
          <w:b/>
          <w:bCs/>
          <w:color w:val="auto"/>
          <w:sz w:val="32"/>
          <w:szCs w:val="32"/>
          <w:shd w:val="clear" w:color="auto" w:fill="FFFFFF"/>
        </w:rPr>
        <w:t>（一）单位负担重。</w:t>
      </w:r>
    </w:p>
    <w:p w14:paraId="1CC2E444">
      <w:pPr>
        <w:pStyle w:val="10"/>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shd w:val="clear" w:color="auto" w:fill="FFFFFF"/>
        </w:rPr>
        <w:t>近年部门预算基本上是保人员经费、公用经费厉行节约，从实际运行和决算情况来看，除基本支出外，单位每年要负担一些财政无预算的</w:t>
      </w:r>
      <w:r>
        <w:rPr>
          <w:rFonts w:hint="eastAsia" w:ascii="仿宋_GB2312" w:hAnsi="宋体" w:eastAsia="仿宋_GB2312" w:cs="宋体"/>
          <w:color w:val="000000"/>
          <w:sz w:val="32"/>
          <w:szCs w:val="32"/>
          <w:shd w:val="clear" w:color="auto" w:fill="FFFFFF"/>
          <w:lang w:eastAsia="zh-CN"/>
        </w:rPr>
        <w:t>钢</w:t>
      </w:r>
      <w:r>
        <w:rPr>
          <w:rFonts w:hint="eastAsia" w:ascii="仿宋_GB2312" w:hAnsi="宋体" w:eastAsia="仿宋_GB2312" w:cs="宋体"/>
          <w:color w:val="000000"/>
          <w:sz w:val="32"/>
          <w:szCs w:val="32"/>
          <w:shd w:val="clear" w:color="auto" w:fill="FFFFFF"/>
        </w:rPr>
        <w:t>性支出，资金来源无着落，单位只能挤占基本支出，单位运转困难，也造成单位难以按照部门预算使用资金。</w:t>
      </w:r>
    </w:p>
    <w:p w14:paraId="755256F0">
      <w:pPr>
        <w:pStyle w:val="10"/>
        <w:numPr>
          <w:ilvl w:val="0"/>
          <w:numId w:val="3"/>
        </w:numPr>
        <w:shd w:val="clear" w:color="auto"/>
        <w:spacing w:before="0" w:beforeAutospacing="0" w:after="0" w:afterAutospacing="0" w:line="560" w:lineRule="exact"/>
        <w:ind w:left="0" w:leftChars="0" w:firstLine="640" w:firstLineChars="200"/>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b/>
          <w:bCs/>
          <w:color w:val="000000"/>
          <w:sz w:val="32"/>
          <w:szCs w:val="32"/>
          <w:shd w:val="clear" w:color="auto" w:fill="FFFFFF"/>
        </w:rPr>
        <w:t>预算不够准确。</w:t>
      </w:r>
    </w:p>
    <w:p w14:paraId="5F99A9EA">
      <w:pPr>
        <w:pStyle w:val="10"/>
        <w:numPr>
          <w:ilvl w:val="0"/>
          <w:numId w:val="0"/>
        </w:numPr>
        <w:shd w:val="clear" w:color="auto"/>
        <w:spacing w:before="0" w:beforeAutospacing="0" w:after="0" w:afterAutospacing="0" w:line="560" w:lineRule="exact"/>
        <w:ind w:leftChars="200" w:firstLine="320" w:firstLineChars="100"/>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上年预算时，因物价、经济发展、具体工作内容等因素无法完全估算准确，还有一些临时需做的项目经费，都无法预算进去。</w:t>
      </w:r>
    </w:p>
    <w:p w14:paraId="68B86AA1">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九</w:t>
      </w:r>
      <w:r>
        <w:rPr>
          <w:rFonts w:hint="eastAsia" w:ascii="黑体" w:hAnsi="黑体" w:eastAsia="黑体"/>
          <w:spacing w:val="-2"/>
          <w:sz w:val="32"/>
          <w:szCs w:val="32"/>
        </w:rPr>
        <w:t>、改进措施和有关建议</w:t>
      </w:r>
    </w:p>
    <w:p w14:paraId="5535C558">
      <w:pPr>
        <w:pStyle w:val="10"/>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auto"/>
          <w:sz w:val="32"/>
          <w:szCs w:val="32"/>
          <w:shd w:val="clear" w:color="auto" w:fill="FFFFFF"/>
        </w:rPr>
        <w:t>（一）增加经常性支出的预算。</w:t>
      </w:r>
      <w:r>
        <w:rPr>
          <w:rFonts w:hint="eastAsia" w:ascii="仿宋_GB2312" w:hAnsi="宋体" w:eastAsia="仿宋_GB2312" w:cs="宋体"/>
          <w:color w:val="000000"/>
          <w:sz w:val="32"/>
          <w:szCs w:val="32"/>
          <w:shd w:val="clear" w:color="auto" w:fill="FFFFFF"/>
        </w:rPr>
        <w:t>建议把</w:t>
      </w:r>
      <w:r>
        <w:rPr>
          <w:rFonts w:hint="eastAsia" w:ascii="仿宋_GB2312" w:hAnsi="宋体" w:eastAsia="仿宋_GB2312" w:cs="宋体"/>
          <w:color w:val="000000"/>
          <w:sz w:val="32"/>
          <w:szCs w:val="32"/>
          <w:shd w:val="clear" w:color="auto" w:fill="FFFFFF"/>
          <w:lang w:val="en-US" w:eastAsia="zh-CN"/>
        </w:rPr>
        <w:t>刚性</w:t>
      </w:r>
      <w:r>
        <w:rPr>
          <w:rFonts w:hint="eastAsia" w:ascii="仿宋_GB2312" w:hAnsi="宋体" w:eastAsia="仿宋_GB2312" w:cs="宋体"/>
          <w:color w:val="000000"/>
          <w:sz w:val="32"/>
          <w:szCs w:val="32"/>
          <w:shd w:val="clear" w:color="auto" w:fill="FFFFFF"/>
        </w:rPr>
        <w:t>支出等全县性中心工作单独列入财政预算，减轻单位负担。</w:t>
      </w:r>
    </w:p>
    <w:p w14:paraId="55C9AE73">
      <w:pPr>
        <w:pStyle w:val="10"/>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shd w:val="clear" w:color="auto" w:fill="FFFFFF"/>
        </w:rPr>
        <w:t>（二）科学合理编制预算。</w:t>
      </w:r>
      <w:r>
        <w:rPr>
          <w:rFonts w:hint="eastAsia" w:ascii="仿宋_GB2312" w:hAnsi="宋体" w:eastAsia="仿宋_GB2312" w:cs="宋体"/>
          <w:color w:val="000000"/>
          <w:sz w:val="32"/>
          <w:szCs w:val="32"/>
          <w:shd w:val="clear" w:color="auto" w:fill="FFFFFF"/>
        </w:rPr>
        <w:t>对一些新项目加强预算编制的前瞻性，按照新《预算法》及其实施条例的相关规定，按政策规定及本部门的发展规划，结合上一年度预算执行情况和本年度预算收支变化因素，科学、合理地编制本年预算草案，执行中确需调剂预算的，按规定程序报经批准。</w:t>
      </w:r>
    </w:p>
    <w:p w14:paraId="0000E8C6">
      <w:pPr>
        <w:numPr>
          <w:ilvl w:val="0"/>
          <w:numId w:val="0"/>
        </w:numPr>
        <w:shd w:val="clear" w:color="auto"/>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363F8417">
      <w:pPr>
        <w:numPr>
          <w:ilvl w:val="0"/>
          <w:numId w:val="0"/>
        </w:numPr>
        <w:shd w:val="clear" w:color="auto"/>
        <w:spacing w:line="640" w:lineRule="exact"/>
        <w:ind w:firstLine="632"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（一）绩效自评结果拟应用情况</w:t>
      </w:r>
    </w:p>
    <w:p w14:paraId="09A7F6DD">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在省市县各级财政部门共同努力下，20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年度溆浦</w:t>
      </w:r>
      <w:r>
        <w:rPr>
          <w:rFonts w:hint="eastAsia" w:ascii="仿宋_GB2312" w:hAnsi="宋体" w:eastAsia="仿宋_GB2312"/>
          <w:sz w:val="32"/>
          <w:szCs w:val="32"/>
          <w:lang w:val="en-US" w:eastAsia="zh-CN"/>
        </w:rPr>
        <w:t>县乡村振兴</w:t>
      </w:r>
      <w:r>
        <w:rPr>
          <w:rFonts w:hint="eastAsia" w:ascii="仿宋_GB2312" w:hAnsi="宋体" w:eastAsia="仿宋_GB2312"/>
          <w:sz w:val="32"/>
          <w:szCs w:val="32"/>
        </w:rPr>
        <w:t>工作基本完成。资金使用符合相关财务规定。通过</w:t>
      </w:r>
      <w:r>
        <w:rPr>
          <w:rFonts w:hint="eastAsia" w:ascii="仿宋_GB2312" w:hAnsi="宋体" w:eastAsia="仿宋_GB2312"/>
          <w:sz w:val="32"/>
          <w:szCs w:val="32"/>
          <w:lang w:val="en-US" w:eastAsia="zh-CN"/>
        </w:rPr>
        <w:t>各项</w:t>
      </w:r>
      <w:r>
        <w:rPr>
          <w:rFonts w:hint="eastAsia" w:ascii="仿宋_GB2312" w:hAnsi="宋体" w:eastAsia="仿宋_GB2312"/>
          <w:sz w:val="32"/>
          <w:szCs w:val="32"/>
        </w:rPr>
        <w:t>资金的实施</w:t>
      </w:r>
      <w:r>
        <w:rPr>
          <w:rFonts w:hint="eastAsia" w:ascii="仿宋_GB2312" w:hAnsi="仿宋_GB2312" w:eastAsia="仿宋_GB2312" w:cs="仿宋_GB2312"/>
          <w:b w:val="0"/>
          <w:bCs w:val="0"/>
          <w:color w:val="auto"/>
          <w:kern w:val="0"/>
          <w:sz w:val="32"/>
          <w:szCs w:val="32"/>
        </w:rPr>
        <w:t>，全力推进</w:t>
      </w:r>
      <w:r>
        <w:rPr>
          <w:rFonts w:hint="eastAsia" w:ascii="仿宋_GB2312" w:hAnsi="仿宋_GB2312" w:eastAsia="仿宋_GB2312" w:cs="仿宋_GB2312"/>
          <w:b w:val="0"/>
          <w:bCs w:val="0"/>
          <w:color w:val="auto"/>
          <w:kern w:val="0"/>
          <w:sz w:val="32"/>
          <w:szCs w:val="32"/>
          <w:lang w:val="en-US" w:eastAsia="zh-CN"/>
        </w:rPr>
        <w:t>乡村振兴工作</w:t>
      </w:r>
      <w:r>
        <w:rPr>
          <w:rFonts w:hint="eastAsia" w:ascii="仿宋_GB2312" w:hAnsi="仿宋_GB2312" w:eastAsia="仿宋_GB2312" w:cs="仿宋_GB2312"/>
          <w:b w:val="0"/>
          <w:bCs w:val="0"/>
          <w:color w:val="auto"/>
          <w:kern w:val="0"/>
          <w:sz w:val="32"/>
          <w:szCs w:val="32"/>
        </w:rPr>
        <w:t>，各项工作取得了明显成效</w:t>
      </w:r>
      <w:r>
        <w:rPr>
          <w:rFonts w:hint="eastAsia" w:ascii="仿宋_GB2312" w:hAnsi="仿宋_GB2312" w:eastAsia="仿宋_GB2312" w:cs="仿宋_GB2312"/>
          <w:b w:val="0"/>
          <w:bCs w:val="0"/>
          <w:color w:val="auto"/>
          <w:kern w:val="0"/>
          <w:sz w:val="32"/>
          <w:szCs w:val="32"/>
          <w:lang w:eastAsia="zh-CN"/>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整体</w:t>
      </w:r>
      <w:r>
        <w:rPr>
          <w:rFonts w:hint="eastAsia" w:ascii="仿宋_GB2312" w:hAnsi="宋体" w:eastAsia="仿宋_GB2312"/>
          <w:sz w:val="32"/>
          <w:szCs w:val="32"/>
        </w:rPr>
        <w:t>资金绩效评价指标评分为</w:t>
      </w:r>
      <w:r>
        <w:rPr>
          <w:rFonts w:hint="eastAsia" w:ascii="仿宋_GB2312" w:hAnsi="宋体" w:eastAsia="仿宋_GB2312"/>
          <w:sz w:val="32"/>
          <w:szCs w:val="32"/>
          <w:lang w:val="en-US" w:eastAsia="zh-CN"/>
        </w:rPr>
        <w:t>98</w:t>
      </w:r>
      <w:r>
        <w:rPr>
          <w:rFonts w:hint="eastAsia" w:ascii="仿宋_GB2312" w:hAnsi="宋体" w:eastAsia="仿宋_GB2312"/>
          <w:sz w:val="32"/>
          <w:szCs w:val="32"/>
        </w:rPr>
        <w:t>分</w:t>
      </w:r>
      <w:r>
        <w:rPr>
          <w:rFonts w:hint="default" w:ascii="仿宋_GB2312" w:hAnsi="宋体" w:eastAsia="仿宋_GB2312"/>
          <w:sz w:val="32"/>
          <w:szCs w:val="32"/>
        </w:rPr>
        <w:t>，</w:t>
      </w:r>
      <w:r>
        <w:rPr>
          <w:rFonts w:hint="eastAsia" w:ascii="仿宋_GB2312" w:hAnsi="宋体" w:eastAsia="仿宋_GB2312"/>
          <w:sz w:val="32"/>
          <w:szCs w:val="32"/>
          <w:lang w:val="en-US" w:eastAsia="zh-Hans"/>
        </w:rPr>
        <w:t>评价等级为优</w:t>
      </w:r>
      <w:r>
        <w:rPr>
          <w:rFonts w:hint="eastAsia" w:ascii="仿宋_GB2312" w:hAnsi="宋体" w:eastAsia="仿宋_GB2312"/>
          <w:sz w:val="32"/>
          <w:szCs w:val="32"/>
        </w:rPr>
        <w:t>。</w:t>
      </w:r>
    </w:p>
    <w:p w14:paraId="0BEB841B">
      <w:pPr>
        <w:numPr>
          <w:ilvl w:val="0"/>
          <w:numId w:val="0"/>
        </w:numPr>
        <w:shd w:val="clear" w:color="auto"/>
        <w:spacing w:line="640" w:lineRule="exact"/>
        <w:ind w:firstLine="632"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（二）绩效自评公开情况</w:t>
      </w:r>
    </w:p>
    <w:p w14:paraId="557C47F5">
      <w:pPr>
        <w:numPr>
          <w:ilvl w:val="0"/>
          <w:numId w:val="0"/>
        </w:numPr>
        <w:shd w:val="clear" w:color="auto"/>
        <w:spacing w:line="640" w:lineRule="exact"/>
        <w:ind w:firstLine="632" w:firstLineChars="200"/>
        <w:rPr>
          <w:rFonts w:hint="eastAsia" w:ascii="仿宋_GB2312" w:eastAsia="仿宋_GB2312"/>
        </w:rPr>
      </w:pPr>
      <w:r>
        <w:rPr>
          <w:rFonts w:hint="eastAsia" w:ascii="仿宋" w:hAnsi="仿宋" w:eastAsia="仿宋" w:cs="仿宋"/>
          <w:b w:val="0"/>
          <w:bCs w:val="0"/>
          <w:spacing w:val="-2"/>
          <w:sz w:val="32"/>
          <w:szCs w:val="32"/>
          <w:lang w:val="en-US" w:eastAsia="zh-CN"/>
        </w:rPr>
        <w:t>我单位2023年绩效自评由财政部门审核通过后统一在政府门户网站上公开，接受社会监督。</w:t>
      </w:r>
    </w:p>
    <w:p w14:paraId="3C387D4A">
      <w:pPr>
        <w:shd w:val="clear"/>
        <w:spacing w:line="640" w:lineRule="exact"/>
        <w:rPr>
          <w:rFonts w:hint="eastAsia" w:ascii="仿宋_GB2312" w:eastAsia="仿宋_GB2312"/>
        </w:rPr>
      </w:pPr>
    </w:p>
    <w:p w14:paraId="12EFBB48">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Chars="200"/>
        <w:textAlignment w:val="auto"/>
        <w:rPr>
          <w:rFonts w:hint="default" w:ascii="仿宋_GB2312" w:hAnsi="宋体" w:eastAsia="仿宋_GB2312" w:cstheme="minorBidi"/>
          <w:kern w:val="2"/>
          <w:sz w:val="28"/>
          <w:szCs w:val="28"/>
          <w:lang w:val="en-US" w:eastAsia="zh-CN" w:bidi="ar-SA"/>
        </w:rPr>
      </w:pPr>
    </w:p>
    <w:p w14:paraId="13AB030F">
      <w:pPr>
        <w:pStyle w:val="15"/>
        <w:jc w:val="center"/>
        <w:rPr>
          <w:sz w:val="72"/>
          <w:szCs w:val="72"/>
        </w:rPr>
      </w:pPr>
      <w:bookmarkStart w:id="6" w:name="_GoBack"/>
      <w:bookmarkEnd w:id="6"/>
    </w:p>
    <w:p w14:paraId="39FC5E5D">
      <w:pPr>
        <w:pStyle w:val="15"/>
        <w:jc w:val="center"/>
        <w:rPr>
          <w:sz w:val="72"/>
          <w:szCs w:val="72"/>
        </w:rPr>
      </w:pPr>
    </w:p>
    <w:p w14:paraId="3147EB1D">
      <w:pPr>
        <w:pStyle w:val="15"/>
        <w:jc w:val="center"/>
        <w:rPr>
          <w:sz w:val="72"/>
          <w:szCs w:val="72"/>
        </w:rPr>
      </w:pPr>
    </w:p>
    <w:p w14:paraId="25F16875">
      <w:pPr>
        <w:pStyle w:val="15"/>
        <w:jc w:val="center"/>
        <w:rPr>
          <w:sz w:val="72"/>
          <w:szCs w:val="72"/>
        </w:rPr>
      </w:pPr>
    </w:p>
    <w:p w14:paraId="1D92D215">
      <w:pPr>
        <w:pStyle w:val="15"/>
        <w:jc w:val="center"/>
        <w:rPr>
          <w:sz w:val="72"/>
          <w:szCs w:val="72"/>
        </w:rPr>
      </w:pPr>
    </w:p>
    <w:p w14:paraId="3199CA77">
      <w:pPr>
        <w:pStyle w:val="15"/>
        <w:jc w:val="center"/>
        <w:rPr>
          <w:sz w:val="72"/>
          <w:szCs w:val="72"/>
        </w:rPr>
      </w:pPr>
    </w:p>
    <w:p w14:paraId="2519D6CF">
      <w:pPr>
        <w:pStyle w:val="15"/>
        <w:jc w:val="both"/>
        <w:rPr>
          <w:sz w:val="72"/>
          <w:szCs w:val="7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F5131"/>
    <w:multiLevelType w:val="singleLevel"/>
    <w:tmpl w:val="B7CF5131"/>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1CDF27"/>
    <w:multiLevelType w:val="singleLevel"/>
    <w:tmpl w:val="3F1CDF2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000000"/>
    <w:rsid w:val="2310348D"/>
    <w:rsid w:val="34870E6C"/>
    <w:rsid w:val="4FDF1A62"/>
    <w:rsid w:val="65A84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2"/>
    <w:qFormat/>
    <w:uiPriority w:val="0"/>
  </w:style>
  <w:style w:type="paragraph" w:styleId="4">
    <w:name w:val="Body Text Indent"/>
    <w:basedOn w:val="1"/>
    <w:unhideWhenUsed/>
    <w:qFormat/>
    <w:uiPriority w:val="99"/>
    <w:pPr>
      <w:spacing w:after="120"/>
      <w:ind w:left="420" w:leftChars="2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9"/>
    <w:semiHidden/>
    <w:qFormat/>
    <w:uiPriority w:val="0"/>
    <w:pPr>
      <w:snapToGrid w:val="0"/>
      <w:jc w:val="left"/>
    </w:pPr>
    <w:rPr>
      <w:sz w:val="18"/>
      <w:szCs w:val="18"/>
    </w:rPr>
  </w:style>
  <w:style w:type="paragraph" w:styleId="9">
    <w:name w:val="Body Text First Indent 2"/>
    <w:basedOn w:val="4"/>
    <w:unhideWhenUsed/>
    <w:qFormat/>
    <w:uiPriority w:val="99"/>
    <w:pPr>
      <w:spacing w:after="0"/>
      <w:ind w:left="0" w:leftChars="0" w:firstLine="420" w:firstLineChars="200"/>
    </w:pPr>
    <w:rPr>
      <w:rFonts w:eastAsia="仿宋_GB2312"/>
      <w:sz w:val="36"/>
      <w:szCs w:val="36"/>
    </w:rPr>
  </w:style>
  <w:style w:type="paragraph" w:styleId="10">
    <w:name w:val="Normal (Web)"/>
    <w:basedOn w:val="1"/>
    <w:qFormat/>
    <w:uiPriority w:val="0"/>
    <w:pPr>
      <w:jc w:val="left"/>
    </w:pPr>
    <w:rPr>
      <w:rFonts w:cs="Times New Roman"/>
      <w:kern w:val="0"/>
      <w:sz w:val="24"/>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font51"/>
    <w:basedOn w:val="12"/>
    <w:qFormat/>
    <w:uiPriority w:val="0"/>
    <w:rPr>
      <w:rFonts w:ascii="楷体" w:hAnsi="楷体" w:eastAsia="楷体" w:cs="楷体"/>
      <w:b/>
      <w:bCs/>
      <w:color w:val="000000"/>
      <w:sz w:val="24"/>
      <w:szCs w:val="24"/>
      <w:u w:val="none"/>
    </w:rPr>
  </w:style>
  <w:style w:type="paragraph" w:customStyle="1" w:styleId="22">
    <w:name w:val="正文1"/>
    <w:autoRedefine/>
    <w:qFormat/>
    <w:uiPriority w:val="0"/>
    <w:pPr>
      <w:jc w:val="both"/>
    </w:pPr>
    <w:rPr>
      <w:rFonts w:ascii="仿宋_GB2312" w:hAnsi="宋体" w:eastAsia="宋体" w:cs="宋体"/>
      <w:kern w:val="2"/>
      <w:sz w:val="21"/>
      <w:szCs w:val="21"/>
      <w:lang w:val="en-US" w:eastAsia="zh-CN" w:bidi="ar-SA"/>
    </w:rPr>
  </w:style>
  <w:style w:type="paragraph" w:customStyle="1" w:styleId="23">
    <w:name w:val="标草稿２"/>
    <w:basedOn w:val="1"/>
    <w:autoRedefine/>
    <w:qFormat/>
    <w:uiPriority w:val="0"/>
    <w:pPr>
      <w:spacing w:afterLines="100"/>
      <w:ind w:firstLine="643"/>
    </w:pPr>
    <w:rPr>
      <w:bCs/>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11672</Words>
  <Characters>14539</Characters>
  <Lines>63</Lines>
  <Paragraphs>18</Paragraphs>
  <TotalTime>0</TotalTime>
  <ScaleCrop>false</ScaleCrop>
  <LinksUpToDate>false</LinksUpToDate>
  <CharactersWithSpaces>14749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Administrator</cp:lastModifiedBy>
  <cp:lastPrinted>2023-08-16T01:28:00Z</cp:lastPrinted>
  <dcterms:modified xsi:type="dcterms:W3CDTF">2024-09-27T02:14:16Z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B9308DD2B3FFA674AB19F166290EA58D_43</vt:lpwstr>
  </property>
</Properties>
</file>