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jc w:val="center"/>
        <w:rPr>
          <w:rFonts w:hint="eastAsia"/>
          <w:sz w:val="56"/>
          <w:szCs w:val="56"/>
        </w:rPr>
      </w:pPr>
    </w:p>
    <w:p>
      <w:pPr>
        <w:pStyle w:val="15"/>
        <w:jc w:val="center"/>
        <w:rPr>
          <w:sz w:val="56"/>
          <w:szCs w:val="56"/>
        </w:rPr>
      </w:pPr>
    </w:p>
    <w:p>
      <w:pPr>
        <w:pStyle w:val="15"/>
        <w:jc w:val="center"/>
        <w:rPr>
          <w:sz w:val="84"/>
          <w:szCs w:val="84"/>
        </w:rPr>
      </w:pPr>
    </w:p>
    <w:p>
      <w:pPr>
        <w:pStyle w:val="15"/>
        <w:jc w:val="center"/>
        <w:rPr>
          <w:sz w:val="84"/>
          <w:szCs w:val="84"/>
        </w:rPr>
      </w:pPr>
    </w:p>
    <w:p>
      <w:pPr>
        <w:pStyle w:val="15"/>
        <w:jc w:val="center"/>
        <w:rPr>
          <w:sz w:val="84"/>
          <w:szCs w:val="84"/>
        </w:rPr>
      </w:pPr>
      <w:r>
        <w:rPr>
          <w:rFonts w:hint="eastAsia"/>
          <w:sz w:val="84"/>
          <w:szCs w:val="84"/>
          <w:lang w:eastAsia="zh-CN"/>
        </w:rPr>
        <w:t>202</w:t>
      </w:r>
      <w:r>
        <w:rPr>
          <w:rFonts w:hint="eastAsia"/>
          <w:sz w:val="84"/>
          <w:szCs w:val="84"/>
          <w:lang w:val="en-US" w:eastAsia="zh-CN"/>
        </w:rPr>
        <w:t>1</w:t>
      </w:r>
      <w:r>
        <w:rPr>
          <w:rFonts w:hint="eastAsia"/>
          <w:sz w:val="84"/>
          <w:szCs w:val="84"/>
        </w:rPr>
        <w:t>年度</w:t>
      </w:r>
    </w:p>
    <w:p>
      <w:pPr>
        <w:pStyle w:val="15"/>
        <w:jc w:val="center"/>
        <w:rPr>
          <w:sz w:val="56"/>
          <w:szCs w:val="56"/>
        </w:rPr>
      </w:pPr>
      <w:r>
        <w:rPr>
          <w:rFonts w:hint="eastAsia"/>
          <w:sz w:val="84"/>
          <w:szCs w:val="84"/>
        </w:rPr>
        <w:t>溆浦县农业农村局部门决算</w:t>
      </w:r>
    </w:p>
    <w:p>
      <w:pPr>
        <w:pStyle w:val="15"/>
        <w:jc w:val="center"/>
        <w:rPr>
          <w:sz w:val="56"/>
          <w:szCs w:val="56"/>
        </w:rPr>
      </w:pPr>
    </w:p>
    <w:p>
      <w:pPr>
        <w:pStyle w:val="15"/>
        <w:jc w:val="center"/>
        <w:rPr>
          <w:sz w:val="56"/>
          <w:szCs w:val="56"/>
        </w:rPr>
      </w:pPr>
    </w:p>
    <w:p>
      <w:pPr>
        <w:pStyle w:val="15"/>
        <w:jc w:val="center"/>
        <w:rPr>
          <w:sz w:val="56"/>
          <w:szCs w:val="56"/>
        </w:rPr>
      </w:pPr>
    </w:p>
    <w:p>
      <w:pPr>
        <w:pStyle w:val="15"/>
        <w:jc w:val="center"/>
        <w:rPr>
          <w:sz w:val="32"/>
          <w:szCs w:val="32"/>
        </w:rPr>
      </w:pPr>
    </w:p>
    <w:p>
      <w:pPr>
        <w:pStyle w:val="15"/>
        <w:jc w:val="center"/>
        <w:rPr>
          <w:sz w:val="32"/>
          <w:szCs w:val="32"/>
        </w:rPr>
      </w:pPr>
    </w:p>
    <w:p>
      <w:pPr>
        <w:pStyle w:val="15"/>
        <w:jc w:val="center"/>
        <w:rPr>
          <w:sz w:val="32"/>
          <w:szCs w:val="32"/>
        </w:rPr>
      </w:pPr>
    </w:p>
    <w:p>
      <w:pPr>
        <w:pStyle w:val="15"/>
        <w:jc w:val="center"/>
        <w:rPr>
          <w:sz w:val="32"/>
          <w:szCs w:val="32"/>
        </w:rPr>
      </w:pPr>
    </w:p>
    <w:p>
      <w:pPr>
        <w:pStyle w:val="15"/>
        <w:jc w:val="center"/>
        <w:rPr>
          <w:sz w:val="32"/>
          <w:szCs w:val="32"/>
        </w:rPr>
      </w:pPr>
    </w:p>
    <w:p>
      <w:pPr>
        <w:pStyle w:val="15"/>
        <w:spacing w:line="540" w:lineRule="exact"/>
        <w:jc w:val="center"/>
        <w:rPr>
          <w:sz w:val="56"/>
          <w:szCs w:val="56"/>
        </w:rPr>
      </w:pPr>
    </w:p>
    <w:p>
      <w:pPr>
        <w:pStyle w:val="15"/>
        <w:spacing w:line="500" w:lineRule="exact"/>
        <w:jc w:val="center"/>
        <w:rPr>
          <w:b/>
          <w:sz w:val="36"/>
          <w:szCs w:val="28"/>
        </w:rPr>
      </w:pPr>
    </w:p>
    <w:p>
      <w:pPr>
        <w:pStyle w:val="15"/>
        <w:spacing w:line="500" w:lineRule="exact"/>
        <w:jc w:val="center"/>
        <w:rPr>
          <w:b/>
          <w:sz w:val="36"/>
          <w:szCs w:val="28"/>
        </w:rPr>
      </w:pPr>
    </w:p>
    <w:p>
      <w:pPr>
        <w:pStyle w:val="15"/>
        <w:spacing w:line="500" w:lineRule="exact"/>
        <w:jc w:val="center"/>
        <w:rPr>
          <w:rFonts w:hint="eastAsia"/>
          <w:b/>
          <w:sz w:val="36"/>
          <w:szCs w:val="28"/>
        </w:rPr>
      </w:pPr>
    </w:p>
    <w:p>
      <w:pPr>
        <w:pStyle w:val="15"/>
        <w:spacing w:line="500" w:lineRule="exact"/>
        <w:jc w:val="center"/>
        <w:rPr>
          <w:rFonts w:hint="eastAsia"/>
          <w:b/>
          <w:sz w:val="36"/>
          <w:szCs w:val="28"/>
        </w:rPr>
      </w:pPr>
    </w:p>
    <w:p>
      <w:pPr>
        <w:pStyle w:val="15"/>
        <w:spacing w:line="500" w:lineRule="exact"/>
        <w:jc w:val="center"/>
        <w:rPr>
          <w:b/>
          <w:sz w:val="36"/>
          <w:szCs w:val="28"/>
        </w:rPr>
      </w:pPr>
      <w:r>
        <w:rPr>
          <w:rFonts w:hint="eastAsia"/>
          <w:b/>
          <w:sz w:val="36"/>
          <w:szCs w:val="28"/>
        </w:rPr>
        <w:t>目录</w:t>
      </w:r>
    </w:p>
    <w:p>
      <w:pPr>
        <w:pStyle w:val="15"/>
        <w:spacing w:line="500" w:lineRule="exact"/>
        <w:rPr>
          <w:rFonts w:ascii="仿宋_GB2312" w:hAnsi="仿宋_GB2312" w:cs="仿宋_GB2312"/>
          <w:b/>
          <w:sz w:val="28"/>
          <w:szCs w:val="28"/>
        </w:rPr>
      </w:pPr>
      <w:r>
        <w:rPr>
          <w:rFonts w:hint="eastAsia"/>
          <w:b/>
          <w:sz w:val="28"/>
          <w:szCs w:val="28"/>
        </w:rPr>
        <w:t>第一部分</w:t>
      </w:r>
      <w:r>
        <w:rPr>
          <w:rFonts w:hint="eastAsia"/>
          <w:b/>
          <w:sz w:val="28"/>
          <w:szCs w:val="28"/>
          <w:lang w:val="en-US" w:eastAsia="zh-CN"/>
        </w:rPr>
        <w:t>溆浦县农业农村局</w:t>
      </w:r>
      <w:r>
        <w:rPr>
          <w:rFonts w:hint="eastAsia"/>
          <w:b/>
          <w:sz w:val="28"/>
          <w:szCs w:val="28"/>
        </w:rPr>
        <w:t>单位概况</w:t>
      </w:r>
    </w:p>
    <w:p>
      <w:pPr>
        <w:pStyle w:val="15"/>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5"/>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5"/>
        <w:spacing w:line="500" w:lineRule="exact"/>
        <w:rPr>
          <w:rFonts w:ascii="仿宋_GB2312" w:hAnsi="仿宋_GB2312" w:cs="仿宋_GB2312"/>
          <w:b/>
          <w:sz w:val="28"/>
          <w:szCs w:val="28"/>
        </w:rPr>
      </w:pPr>
      <w:r>
        <w:rPr>
          <w:rFonts w:hint="eastAsia" w:hAnsi="仿宋_GB2312"/>
          <w:b/>
          <w:sz w:val="28"/>
          <w:szCs w:val="28"/>
        </w:rPr>
        <w:t>第二部分</w:t>
      </w:r>
      <w:r>
        <w:rPr>
          <w:rFonts w:hint="eastAsia" w:hAnsi="仿宋_GB2312"/>
          <w:b/>
          <w:sz w:val="28"/>
          <w:szCs w:val="28"/>
          <w:lang w:eastAsia="zh-CN"/>
        </w:rPr>
        <w:t>202</w:t>
      </w:r>
      <w:r>
        <w:rPr>
          <w:rFonts w:hint="eastAsia" w:hAnsi="仿宋_GB2312"/>
          <w:b/>
          <w:sz w:val="28"/>
          <w:szCs w:val="28"/>
          <w:lang w:val="en-US" w:eastAsia="zh-CN"/>
        </w:rPr>
        <w:t>1</w:t>
      </w:r>
      <w:r>
        <w:rPr>
          <w:rFonts w:hint="eastAsia" w:hAnsi="仿宋_GB2312"/>
          <w:b/>
          <w:sz w:val="28"/>
          <w:szCs w:val="28"/>
        </w:rPr>
        <w:t>年度部门决算表</w:t>
      </w:r>
    </w:p>
    <w:p>
      <w:pPr>
        <w:pStyle w:val="15"/>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5"/>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5"/>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5"/>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5"/>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5"/>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pPr>
        <w:pStyle w:val="15"/>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5"/>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5"/>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5"/>
        <w:spacing w:line="500" w:lineRule="exact"/>
        <w:rPr>
          <w:rFonts w:ascii="仿宋_GB2312" w:hAnsi="仿宋_GB2312" w:cs="仿宋_GB2312"/>
          <w:b/>
          <w:sz w:val="28"/>
          <w:szCs w:val="28"/>
        </w:rPr>
      </w:pPr>
      <w:r>
        <w:rPr>
          <w:rFonts w:hint="eastAsia" w:hAnsi="仿宋_GB2312"/>
          <w:b/>
          <w:sz w:val="28"/>
          <w:szCs w:val="28"/>
        </w:rPr>
        <w:t>第三部分</w:t>
      </w:r>
      <w:r>
        <w:rPr>
          <w:rFonts w:hint="eastAsia" w:hAnsi="仿宋_GB2312"/>
          <w:b/>
          <w:sz w:val="28"/>
          <w:szCs w:val="28"/>
          <w:lang w:eastAsia="zh-CN"/>
        </w:rPr>
        <w:t>202</w:t>
      </w:r>
      <w:r>
        <w:rPr>
          <w:rFonts w:hint="eastAsia" w:hAnsi="仿宋_GB2312"/>
          <w:b/>
          <w:sz w:val="28"/>
          <w:szCs w:val="28"/>
          <w:lang w:val="en-US" w:eastAsia="zh-CN"/>
        </w:rPr>
        <w:t>1</w:t>
      </w:r>
      <w:r>
        <w:rPr>
          <w:rFonts w:hint="eastAsia" w:hAnsi="仿宋_GB2312"/>
          <w:b/>
          <w:sz w:val="28"/>
          <w:szCs w:val="28"/>
        </w:rPr>
        <w:t>年度部门决算情况说明</w:t>
      </w:r>
    </w:p>
    <w:p>
      <w:pPr>
        <w:pStyle w:val="15"/>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三公</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机关运行经费支出说明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十一、政府采购支出说明</w:t>
      </w:r>
    </w:p>
    <w:p>
      <w:pPr>
        <w:pStyle w:val="15"/>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十二、国有资产占用情况说明</w:t>
      </w:r>
    </w:p>
    <w:p>
      <w:pPr>
        <w:pStyle w:val="15"/>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w:t>
      </w:r>
      <w:r>
        <w:rPr>
          <w:rFonts w:hint="eastAsia" w:cs="仿宋_GB2312" w:asciiTheme="minorEastAsia" w:hAnsiTheme="minorEastAsia" w:eastAsiaTheme="minorEastAsia"/>
          <w:sz w:val="28"/>
          <w:szCs w:val="28"/>
          <w:lang w:eastAsia="zh-CN"/>
        </w:rPr>
        <w:t>202</w:t>
      </w:r>
      <w:r>
        <w:rPr>
          <w:rFonts w:hint="eastAsia" w:cs="仿宋_GB2312" w:asciiTheme="minorEastAsia" w:hAnsiTheme="minorEastAsia" w:eastAsiaTheme="minorEastAsia"/>
          <w:sz w:val="28"/>
          <w:szCs w:val="28"/>
          <w:lang w:val="en-US" w:eastAsia="zh-CN"/>
        </w:rPr>
        <w:t>1</w:t>
      </w:r>
      <w:r>
        <w:rPr>
          <w:rFonts w:hint="eastAsia" w:cs="仿宋_GB2312" w:asciiTheme="minorEastAsia" w:hAnsiTheme="minorEastAsia" w:eastAsiaTheme="minorEastAsia"/>
          <w:sz w:val="28"/>
          <w:szCs w:val="28"/>
        </w:rPr>
        <w:t>年</w:t>
      </w:r>
      <w:r>
        <w:rPr>
          <w:rFonts w:hint="eastAsia" w:ascii="仿宋_GB2312" w:hAnsi="仿宋_GB2312" w:cs="仿宋_GB2312" w:eastAsiaTheme="minorEastAsia"/>
          <w:sz w:val="28"/>
          <w:szCs w:val="28"/>
        </w:rPr>
        <w:t>度预算绩效情况说明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5"/>
        <w:jc w:val="center"/>
        <w:rPr>
          <w:sz w:val="84"/>
          <w:szCs w:val="84"/>
        </w:rPr>
      </w:pPr>
      <w:r>
        <w:rPr>
          <w:rFonts w:hint="eastAsia"/>
          <w:sz w:val="84"/>
          <w:szCs w:val="84"/>
        </w:rPr>
        <w:t>第一部分</w:t>
      </w:r>
      <w:r>
        <w:rPr>
          <w:sz w:val="84"/>
          <w:szCs w:val="84"/>
        </w:rPr>
        <w:t xml:space="preserve"> </w:t>
      </w:r>
    </w:p>
    <w:p>
      <w:pPr>
        <w:pStyle w:val="15"/>
        <w:jc w:val="center"/>
        <w:rPr>
          <w:sz w:val="84"/>
          <w:szCs w:val="84"/>
        </w:rPr>
      </w:pPr>
    </w:p>
    <w:p>
      <w:pPr>
        <w:pStyle w:val="15"/>
        <w:jc w:val="center"/>
        <w:rPr>
          <w:sz w:val="84"/>
          <w:szCs w:val="84"/>
        </w:rPr>
      </w:pPr>
      <w:r>
        <w:rPr>
          <w:rFonts w:hint="eastAsia"/>
          <w:sz w:val="84"/>
          <w:szCs w:val="84"/>
        </w:rPr>
        <w:t>溆浦县农业农村局单位概况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6"/>
        <w:ind w:left="720" w:firstLine="0" w:firstLineChars="0"/>
        <w:jc w:val="left"/>
        <w:rPr>
          <w:rFonts w:ascii="黑体" w:hAnsi="黑体" w:eastAsia="黑体"/>
          <w:sz w:val="32"/>
          <w:szCs w:val="32"/>
        </w:rPr>
      </w:pPr>
    </w:p>
    <w:p>
      <w:pPr>
        <w:pStyle w:val="16"/>
        <w:ind w:left="720" w:firstLine="0" w:firstLineChars="0"/>
        <w:jc w:val="left"/>
        <w:rPr>
          <w:rFonts w:ascii="黑体" w:hAnsi="黑体" w:eastAsia="黑体"/>
          <w:sz w:val="32"/>
          <w:szCs w:val="32"/>
        </w:rPr>
      </w:pPr>
    </w:p>
    <w:p>
      <w:pPr>
        <w:pStyle w:val="16"/>
        <w:ind w:left="720" w:firstLine="0" w:firstLineChars="0"/>
        <w:jc w:val="left"/>
        <w:rPr>
          <w:rFonts w:ascii="黑体" w:hAnsi="黑体" w:eastAsia="黑体"/>
          <w:sz w:val="32"/>
          <w:szCs w:val="32"/>
        </w:rPr>
      </w:pPr>
    </w:p>
    <w:p>
      <w:pPr>
        <w:pStyle w:val="16"/>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pStyle w:val="9"/>
        <w:widowControl w:val="0"/>
        <w:spacing w:before="0" w:beforeAutospacing="0" w:after="0" w:afterAutospacing="0" w:line="580" w:lineRule="exact"/>
        <w:ind w:firstLine="640" w:firstLineChars="200"/>
        <w:jc w:val="both"/>
        <w:rPr>
          <w:rFonts w:ascii="仿宋" w:hAnsi="仿宋" w:eastAsia="仿宋"/>
          <w:sz w:val="32"/>
          <w:szCs w:val="32"/>
        </w:rPr>
      </w:pPr>
      <w:r>
        <w:rPr>
          <w:rFonts w:hint="eastAsia" w:ascii="仿宋" w:hAnsi="仿宋" w:eastAsia="仿宋"/>
          <w:sz w:val="32"/>
          <w:szCs w:val="32"/>
        </w:rPr>
        <w:t>溆浦县农业农村局主要职责有：</w:t>
      </w:r>
    </w:p>
    <w:p>
      <w:pPr>
        <w:pStyle w:val="9"/>
        <w:widowControl w:val="0"/>
        <w:spacing w:before="0" w:beforeAutospacing="0" w:after="0" w:afterAutospacing="0" w:line="580" w:lineRule="exact"/>
        <w:ind w:firstLine="640" w:firstLineChars="200"/>
        <w:jc w:val="both"/>
        <w:rPr>
          <w:rFonts w:ascii="仿宋" w:hAnsi="仿宋" w:eastAsia="仿宋"/>
          <w:sz w:val="32"/>
          <w:szCs w:val="32"/>
        </w:rPr>
      </w:pPr>
      <w:r>
        <w:rPr>
          <w:rFonts w:hint="eastAsia" w:ascii="仿宋" w:hAnsi="仿宋" w:eastAsia="仿宋"/>
          <w:sz w:val="32"/>
          <w:szCs w:val="32"/>
        </w:rPr>
        <w:t>1、在省农委、市农委及县政府的领导下，负责拟订农业生产发展站略、中长期规划并组织实施；</w:t>
      </w:r>
    </w:p>
    <w:p>
      <w:pPr>
        <w:pStyle w:val="9"/>
        <w:widowControl w:val="0"/>
        <w:spacing w:before="0" w:beforeAutospacing="0" w:after="0" w:afterAutospacing="0" w:line="580" w:lineRule="exact"/>
        <w:ind w:firstLine="640" w:firstLineChars="200"/>
        <w:jc w:val="both"/>
        <w:rPr>
          <w:rFonts w:ascii="仿宋" w:hAnsi="仿宋" w:eastAsia="仿宋"/>
          <w:sz w:val="32"/>
          <w:szCs w:val="32"/>
        </w:rPr>
      </w:pPr>
      <w:r>
        <w:rPr>
          <w:rFonts w:hint="eastAsia" w:ascii="仿宋" w:hAnsi="仿宋" w:eastAsia="仿宋"/>
          <w:sz w:val="32"/>
          <w:szCs w:val="32"/>
        </w:rPr>
        <w:t>2、负责农业行政执法工作；研究有关农产品及农业生产资料价格、农业财政补贴及农业产业保护的政策建议并按分工组织监督实施</w:t>
      </w:r>
    </w:p>
    <w:p>
      <w:pPr>
        <w:pStyle w:val="9"/>
        <w:widowControl w:val="0"/>
        <w:spacing w:before="0" w:beforeAutospacing="0" w:after="0" w:afterAutospacing="0" w:line="580" w:lineRule="exact"/>
        <w:ind w:firstLine="640" w:firstLineChars="200"/>
        <w:jc w:val="both"/>
        <w:rPr>
          <w:rFonts w:ascii="仿宋" w:hAnsi="仿宋" w:eastAsia="仿宋"/>
          <w:sz w:val="32"/>
          <w:szCs w:val="32"/>
        </w:rPr>
      </w:pPr>
      <w:r>
        <w:rPr>
          <w:rFonts w:hint="eastAsia" w:ascii="仿宋" w:hAnsi="仿宋" w:eastAsia="仿宋"/>
          <w:sz w:val="32"/>
          <w:szCs w:val="32"/>
        </w:rPr>
        <w:t>3、负责指导粮食等主要农产品生产，农业新技术、新品种、新成果和新器械的引进、试验、示范和推广工作以及农业项目的申报工作；</w:t>
      </w:r>
    </w:p>
    <w:p>
      <w:pPr>
        <w:pStyle w:val="9"/>
        <w:widowControl w:val="0"/>
        <w:spacing w:before="0" w:beforeAutospacing="0" w:after="0" w:afterAutospacing="0" w:line="580" w:lineRule="exact"/>
        <w:ind w:firstLine="640" w:firstLineChars="200"/>
        <w:jc w:val="both"/>
        <w:rPr>
          <w:rFonts w:ascii="仿宋" w:hAnsi="仿宋" w:eastAsia="仿宋"/>
          <w:sz w:val="32"/>
          <w:szCs w:val="32"/>
        </w:rPr>
      </w:pPr>
      <w:r>
        <w:rPr>
          <w:rFonts w:hint="eastAsia" w:ascii="仿宋" w:hAnsi="仿宋" w:eastAsia="仿宋"/>
          <w:sz w:val="32"/>
          <w:szCs w:val="32"/>
        </w:rPr>
        <w:t>4、负责农产品质量安全监管的责任，负责农业生产资料监督管理，负责农作物病虫害防治工作；</w:t>
      </w:r>
    </w:p>
    <w:p>
      <w:pPr>
        <w:pStyle w:val="9"/>
        <w:widowControl w:val="0"/>
        <w:spacing w:before="0" w:beforeAutospacing="0" w:after="0" w:afterAutospacing="0" w:line="580" w:lineRule="exact"/>
        <w:ind w:firstLine="640" w:firstLineChars="200"/>
        <w:jc w:val="both"/>
        <w:rPr>
          <w:rFonts w:ascii="仿宋" w:hAnsi="仿宋" w:eastAsia="仿宋"/>
          <w:sz w:val="32"/>
          <w:szCs w:val="32"/>
        </w:rPr>
      </w:pPr>
      <w:r>
        <w:rPr>
          <w:rFonts w:hint="eastAsia" w:ascii="仿宋" w:hAnsi="仿宋" w:eastAsia="仿宋"/>
          <w:sz w:val="32"/>
          <w:szCs w:val="32"/>
        </w:rPr>
        <w:t>5、承担农业防灾减灾工作的责任，负责监测、发布农业灾情，组织种子、化肥等救灾物质储备和调拨，提出农业生产救灾资金安排建议，指导农业生产紧急救灾和灾后生产恢复；</w:t>
      </w:r>
    </w:p>
    <w:p>
      <w:pPr>
        <w:pStyle w:val="9"/>
        <w:widowControl w:val="0"/>
        <w:spacing w:before="0" w:beforeAutospacing="0" w:after="0" w:afterAutospacing="0" w:line="580" w:lineRule="exact"/>
        <w:ind w:firstLine="640" w:firstLineChars="200"/>
        <w:jc w:val="both"/>
        <w:rPr>
          <w:rFonts w:ascii="仿宋" w:hAnsi="仿宋" w:eastAsia="仿宋"/>
          <w:sz w:val="32"/>
          <w:szCs w:val="32"/>
        </w:rPr>
      </w:pPr>
      <w:r>
        <w:rPr>
          <w:rFonts w:hint="eastAsia" w:ascii="仿宋" w:hAnsi="仿宋" w:eastAsia="仿宋"/>
          <w:sz w:val="32"/>
          <w:szCs w:val="32"/>
        </w:rPr>
        <w:t>6、负责基本农田和耕地质量的保护管理工作，负责外来生物防控工作，承担农业污染源治理有关工作；</w:t>
      </w:r>
    </w:p>
    <w:p>
      <w:pPr>
        <w:pStyle w:val="9"/>
        <w:widowControl w:val="0"/>
        <w:spacing w:before="0" w:beforeAutospacing="0" w:after="0" w:afterAutospacing="0" w:line="580" w:lineRule="exact"/>
        <w:ind w:firstLine="640" w:firstLineChars="200"/>
        <w:jc w:val="both"/>
        <w:rPr>
          <w:rFonts w:ascii="仿宋" w:hAnsi="仿宋" w:eastAsia="仿宋"/>
          <w:sz w:val="32"/>
          <w:szCs w:val="32"/>
        </w:rPr>
      </w:pPr>
      <w:r>
        <w:rPr>
          <w:rFonts w:hint="eastAsia" w:ascii="仿宋" w:hAnsi="仿宋" w:eastAsia="仿宋"/>
          <w:sz w:val="32"/>
          <w:szCs w:val="32"/>
        </w:rPr>
        <w:t>7、参与实施农村实用人才培训工程，承担农业农村人才专业技术资格和从业资格管理有关工作；</w:t>
      </w:r>
    </w:p>
    <w:p>
      <w:pPr>
        <w:pStyle w:val="9"/>
        <w:widowControl w:val="0"/>
        <w:spacing w:before="0" w:beforeAutospacing="0" w:after="0" w:afterAutospacing="0" w:line="580" w:lineRule="exact"/>
        <w:ind w:firstLine="640" w:firstLineChars="200"/>
        <w:jc w:val="both"/>
        <w:rPr>
          <w:rFonts w:ascii="仿宋" w:hAnsi="仿宋" w:eastAsia="仿宋"/>
          <w:sz w:val="32"/>
          <w:szCs w:val="32"/>
        </w:rPr>
      </w:pPr>
      <w:r>
        <w:rPr>
          <w:rFonts w:hint="eastAsia" w:ascii="仿宋" w:hAnsi="仿宋" w:eastAsia="仿宋"/>
          <w:sz w:val="32"/>
          <w:szCs w:val="32"/>
        </w:rPr>
        <w:t>8、组织制定全县蔬菜产业中长期发展和年度实施计划，负责对全县商品蔬菜的质量进行安全管理；</w:t>
      </w:r>
    </w:p>
    <w:p>
      <w:pPr>
        <w:pStyle w:val="9"/>
        <w:widowControl w:val="0"/>
        <w:spacing w:before="0" w:beforeAutospacing="0" w:after="0" w:afterAutospacing="0" w:line="580" w:lineRule="exact"/>
        <w:ind w:firstLine="640" w:firstLineChars="200"/>
        <w:jc w:val="both"/>
        <w:rPr>
          <w:rFonts w:ascii="仿宋" w:hAnsi="仿宋" w:eastAsia="仿宋"/>
          <w:sz w:val="32"/>
          <w:szCs w:val="32"/>
        </w:rPr>
      </w:pPr>
      <w:r>
        <w:rPr>
          <w:rFonts w:hint="eastAsia" w:ascii="仿宋" w:hAnsi="仿宋" w:eastAsia="仿宋"/>
          <w:sz w:val="32"/>
          <w:szCs w:val="32"/>
        </w:rPr>
        <w:t>9、负责制定农技推广规划、计划和有关政策，并组织监督实施。</w:t>
      </w:r>
    </w:p>
    <w:p>
      <w:pPr>
        <w:pStyle w:val="9"/>
        <w:widowControl w:val="0"/>
        <w:spacing w:before="0" w:beforeAutospacing="0" w:after="0" w:afterAutospacing="0" w:line="580" w:lineRule="exact"/>
        <w:ind w:firstLine="640" w:firstLineChars="200"/>
        <w:jc w:val="both"/>
        <w:rPr>
          <w:rFonts w:ascii="仿宋_GB2312" w:eastAsia="仿宋_GB2312" w:hAnsiTheme="minorEastAsia"/>
          <w:sz w:val="28"/>
          <w:szCs w:val="32"/>
        </w:rPr>
      </w:pPr>
      <w:r>
        <w:rPr>
          <w:rFonts w:hint="eastAsia" w:ascii="仿宋" w:hAnsi="仿宋" w:eastAsia="仿宋"/>
          <w:sz w:val="32"/>
          <w:szCs w:val="32"/>
        </w:rPr>
        <w:t>10、完成县人民政府及上级主管部门交办的其他事项。</w:t>
      </w:r>
    </w:p>
    <w:p>
      <w:pPr>
        <w:jc w:val="left"/>
        <w:rPr>
          <w:rFonts w:ascii="仿宋_GB2312" w:eastAsia="仿宋_GB2312" w:hAnsiTheme="minorEastAsia"/>
          <w:sz w:val="28"/>
          <w:szCs w:val="32"/>
        </w:rPr>
      </w:pP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pStyle w:val="9"/>
        <w:widowControl w:val="0"/>
        <w:spacing w:before="0" w:beforeAutospacing="0" w:after="0" w:afterAutospacing="0" w:line="580" w:lineRule="exact"/>
        <w:ind w:firstLine="640" w:firstLineChars="200"/>
        <w:jc w:val="both"/>
        <w:rPr>
          <w:rFonts w:hint="eastAsia" w:asciiTheme="minorEastAsia" w:hAnsiTheme="minorEastAsia"/>
          <w:bCs/>
          <w:sz w:val="32"/>
          <w:szCs w:val="32"/>
        </w:rPr>
      </w:pPr>
      <w:r>
        <w:rPr>
          <w:rFonts w:hint="eastAsia" w:asciiTheme="minorEastAsia" w:hAnsiTheme="minorEastAsia"/>
          <w:bCs/>
          <w:sz w:val="32"/>
          <w:szCs w:val="32"/>
        </w:rPr>
        <w:t>（一）内设机构设置。</w:t>
      </w:r>
    </w:p>
    <w:p>
      <w:pPr>
        <w:pStyle w:val="9"/>
        <w:widowControl w:val="0"/>
        <w:spacing w:before="0" w:beforeAutospacing="0" w:after="0" w:afterAutospacing="0" w:line="580" w:lineRule="exact"/>
        <w:ind w:firstLine="640" w:firstLineChars="200"/>
        <w:jc w:val="both"/>
        <w:rPr>
          <w:rFonts w:ascii="仿宋" w:hAnsi="仿宋" w:eastAsia="仿宋"/>
          <w:sz w:val="32"/>
          <w:szCs w:val="32"/>
        </w:rPr>
      </w:pPr>
      <w:r>
        <w:rPr>
          <w:rFonts w:hint="eastAsia" w:ascii="仿宋" w:hAnsi="仿宋" w:eastAsia="仿宋"/>
          <w:sz w:val="32"/>
          <w:szCs w:val="32"/>
        </w:rPr>
        <w:t>溆浦县农业农村局系溆浦县人民政府直属职能机构，内设10个机构，分别是办公室、综合调研股、人事股、财务股、乡村产业发展股、农村社会事业促进股、农产品质量安全监管股、种植业管理股、养殖业管理股、农田建设和农业机械化管理股。行政事业编制数94个，实有在职人员79人。下辖二级机构7个，分别是：正科级全额拨款事业单位溆浦县农业技术推广中心；股级行政单位：溆浦县农村能源办；股级全额拨款事业单位：溆浦县农民素质教育中心，溆浦县种子管理站、溆浦县蔬菜办、溆浦县农产品质量安全检验检测站、溆浦县农业资源保护与利用站。自收自支事业单位3个，分别是：溆浦县园艺示范场，在编人数203人，溆浦县农业科学研究所，在编人数115人，溆浦县水稻良种作物繁殖场，在编人数33人。</w:t>
      </w:r>
    </w:p>
    <w:p>
      <w:pPr>
        <w:widowControl/>
        <w:spacing w:line="600" w:lineRule="exact"/>
        <w:ind w:firstLine="640" w:firstLineChars="200"/>
        <w:rPr>
          <w:rFonts w:asciiTheme="minorEastAsia" w:hAnsiTheme="minorEastAsia"/>
          <w:bCs/>
          <w:kern w:val="0"/>
          <w:sz w:val="32"/>
          <w:szCs w:val="32"/>
        </w:rPr>
      </w:pPr>
      <w:r>
        <w:rPr>
          <w:rFonts w:hint="eastAsia" w:asciiTheme="minorEastAsia" w:hAnsiTheme="minorEastAsia"/>
          <w:bCs/>
          <w:kern w:val="0"/>
          <w:sz w:val="32"/>
          <w:szCs w:val="32"/>
        </w:rPr>
        <w:t>（二）决算单位构成。</w:t>
      </w:r>
    </w:p>
    <w:p>
      <w:pPr>
        <w:widowControl/>
        <w:spacing w:line="600" w:lineRule="exact"/>
        <w:ind w:firstLine="960" w:firstLineChars="300"/>
        <w:rPr>
          <w:rFonts w:ascii="仿宋" w:hAnsi="仿宋" w:eastAsia="仿宋" w:cs="仿宋"/>
          <w:bCs/>
          <w:kern w:val="0"/>
          <w:sz w:val="32"/>
          <w:szCs w:val="32"/>
        </w:rPr>
      </w:pPr>
      <w:r>
        <w:rPr>
          <w:rFonts w:hint="eastAsia" w:ascii="仿宋" w:hAnsi="仿宋" w:eastAsia="仿宋" w:cs="仿宋"/>
          <w:bCs/>
          <w:kern w:val="0"/>
          <w:sz w:val="32"/>
          <w:szCs w:val="32"/>
        </w:rPr>
        <w:t>1、溆浦县农业农村局单位20</w:t>
      </w:r>
      <w:r>
        <w:rPr>
          <w:rFonts w:hint="eastAsia" w:ascii="仿宋" w:hAnsi="仿宋" w:eastAsia="仿宋" w:cs="仿宋"/>
          <w:bCs/>
          <w:kern w:val="0"/>
          <w:sz w:val="32"/>
          <w:szCs w:val="32"/>
          <w:lang w:val="en-US" w:eastAsia="zh-CN"/>
        </w:rPr>
        <w:t>21</w:t>
      </w:r>
      <w:r>
        <w:rPr>
          <w:rFonts w:hint="eastAsia" w:ascii="仿宋" w:hAnsi="仿宋" w:eastAsia="仿宋" w:cs="仿宋"/>
          <w:bCs/>
          <w:kern w:val="0"/>
          <w:sz w:val="32"/>
          <w:szCs w:val="32"/>
        </w:rPr>
        <w:t>年部门决算汇总公开单位构成包括：溆浦县农业农村局本级。</w:t>
      </w:r>
    </w:p>
    <w:p>
      <w:pPr>
        <w:widowControl/>
        <w:spacing w:line="600" w:lineRule="exact"/>
        <w:ind w:firstLine="960" w:firstLineChars="300"/>
        <w:rPr>
          <w:rFonts w:hint="eastAsia" w:ascii="仿宋" w:hAnsi="仿宋" w:eastAsia="仿宋" w:cs="仿宋"/>
          <w:bCs/>
          <w:kern w:val="0"/>
          <w:sz w:val="32"/>
          <w:szCs w:val="32"/>
          <w:lang w:eastAsia="zh-CN"/>
        </w:rPr>
      </w:pPr>
      <w:r>
        <w:rPr>
          <w:rFonts w:hint="eastAsia" w:ascii="仿宋" w:hAnsi="仿宋" w:eastAsia="仿宋" w:cs="仿宋"/>
          <w:bCs/>
          <w:kern w:val="0"/>
          <w:sz w:val="32"/>
          <w:szCs w:val="32"/>
        </w:rPr>
        <w:t>2、本单位无二级机构</w:t>
      </w:r>
      <w:r>
        <w:rPr>
          <w:rFonts w:hint="eastAsia" w:ascii="仿宋" w:hAnsi="仿宋" w:eastAsia="仿宋" w:cs="仿宋"/>
          <w:bCs/>
          <w:kern w:val="0"/>
          <w:sz w:val="32"/>
          <w:szCs w:val="32"/>
          <w:lang w:eastAsia="zh-CN"/>
        </w:rPr>
        <w:t>。</w:t>
      </w: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11"/>
        <w:tblW w:w="14081" w:type="dxa"/>
        <w:tblInd w:w="93" w:type="dxa"/>
        <w:tblLayout w:type="autofit"/>
        <w:tblCellMar>
          <w:top w:w="0" w:type="dxa"/>
          <w:left w:w="108" w:type="dxa"/>
          <w:bottom w:w="0" w:type="dxa"/>
          <w:right w:w="108" w:type="dxa"/>
        </w:tblCellMar>
      </w:tblPr>
      <w:tblGrid>
        <w:gridCol w:w="4126"/>
        <w:gridCol w:w="449"/>
        <w:gridCol w:w="631"/>
        <w:gridCol w:w="599"/>
        <w:gridCol w:w="98"/>
        <w:gridCol w:w="232"/>
        <w:gridCol w:w="3468"/>
        <w:gridCol w:w="845"/>
        <w:gridCol w:w="1460"/>
        <w:gridCol w:w="657"/>
        <w:gridCol w:w="1516"/>
      </w:tblGrid>
      <w:tr>
        <w:tblPrEx>
          <w:tblCellMar>
            <w:top w:w="0" w:type="dxa"/>
            <w:left w:w="108" w:type="dxa"/>
            <w:bottom w:w="0" w:type="dxa"/>
            <w:right w:w="108" w:type="dxa"/>
          </w:tblCellMar>
        </w:tblPrEx>
        <w:trPr>
          <w:trHeight w:val="360" w:hRule="atLeast"/>
        </w:trPr>
        <w:tc>
          <w:tcPr>
            <w:tcW w:w="1408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收入支出决算总表</w:t>
            </w:r>
          </w:p>
        </w:tc>
      </w:tr>
      <w:tr>
        <w:tblPrEx>
          <w:tblCellMar>
            <w:top w:w="0" w:type="dxa"/>
            <w:left w:w="108" w:type="dxa"/>
            <w:bottom w:w="0" w:type="dxa"/>
            <w:right w:w="108" w:type="dxa"/>
          </w:tblCellMar>
        </w:tblPrEx>
        <w:trPr>
          <w:trHeight w:val="199" w:hRule="atLeast"/>
        </w:trPr>
        <w:tc>
          <w:tcPr>
            <w:tcW w:w="5206"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公开01表</w:t>
            </w:r>
          </w:p>
        </w:tc>
      </w:tr>
      <w:tr>
        <w:tblPrEx>
          <w:tblCellMar>
            <w:top w:w="0" w:type="dxa"/>
            <w:left w:w="108" w:type="dxa"/>
            <w:bottom w:w="0" w:type="dxa"/>
            <w:right w:w="108" w:type="dxa"/>
          </w:tblCellMar>
        </w:tblPrEx>
        <w:trPr>
          <w:trHeight w:val="300" w:hRule="atLeast"/>
        </w:trPr>
        <w:tc>
          <w:tcPr>
            <w:tcW w:w="5206" w:type="dxa"/>
            <w:gridSpan w:val="3"/>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val="en-US" w:eastAsia="zh-CN"/>
              </w:rPr>
              <w:t>溆浦县农业农村局</w:t>
            </w:r>
            <w:r>
              <w:rPr>
                <w:rFonts w:ascii="宋体" w:hAnsi="宋体" w:eastAsia="宋体" w:cs="宋体"/>
                <w:color w:val="000000"/>
                <w:kern w:val="0"/>
                <w:sz w:val="20"/>
                <w:szCs w:val="20"/>
              </w:rPr>
              <w:t xml:space="preserve"> </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340" w:hRule="atLeast"/>
        </w:trPr>
        <w:tc>
          <w:tcPr>
            <w:tcW w:w="5805"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8276" w:type="dxa"/>
            <w:gridSpan w:val="7"/>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r>
              <w:rPr>
                <w:rFonts w:hint="eastAsia" w:ascii="宋体" w:hAnsi="宋体" w:eastAsia="宋体" w:cs="宋体"/>
                <w:kern w:val="0"/>
                <w:sz w:val="22"/>
              </w:rPr>
              <w:t>31855.88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一、一般公共服务支出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17</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b w:val="0"/>
                <w:bCs w:val="0"/>
                <w:kern w:val="0"/>
                <w:sz w:val="22"/>
              </w:rPr>
            </w:pPr>
            <w:r>
              <w:rPr>
                <w:rFonts w:hint="eastAsia" w:ascii="宋体" w:hAnsi="宋体" w:eastAsia="宋体" w:cs="宋体"/>
                <w:b w:val="0"/>
                <w:bCs w:val="0"/>
                <w:kern w:val="0"/>
                <w:sz w:val="22"/>
              </w:rPr>
              <w:t>2.4</w:t>
            </w:r>
            <w:r>
              <w:rPr>
                <w:rFonts w:hint="eastAsia" w:ascii="宋体" w:hAnsi="宋体" w:eastAsia="宋体" w:cs="宋体"/>
                <w:b w:val="0"/>
                <w:bCs w:val="0"/>
                <w:kern w:val="0"/>
                <w:sz w:val="22"/>
                <w:lang w:val="en-US" w:eastAsia="zh-CN"/>
              </w:rPr>
              <w:t>0</w:t>
            </w:r>
            <w:r>
              <w:rPr>
                <w:rFonts w:hint="eastAsia" w:ascii="宋体" w:hAnsi="宋体" w:eastAsia="宋体" w:cs="宋体"/>
                <w:b w:val="0"/>
                <w:bCs w:val="0"/>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2"/>
                <w:lang w:val="en-US" w:eastAsia="zh-CN"/>
              </w:rPr>
            </w:pPr>
            <w:r>
              <w:rPr>
                <w:rFonts w:hint="eastAsia" w:ascii="宋体" w:hAnsi="宋体" w:eastAsia="宋体" w:cs="宋体"/>
                <w:kern w:val="0"/>
                <w:sz w:val="22"/>
              </w:rPr>
              <w:t>五、教育支出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1</w:t>
            </w:r>
            <w:r>
              <w:rPr>
                <w:rFonts w:hint="eastAsia" w:ascii="宋体" w:hAnsi="宋体" w:eastAsia="宋体" w:cs="宋体"/>
                <w:kern w:val="0"/>
                <w:sz w:val="22"/>
                <w:lang w:val="en-US" w:eastAsia="zh-CN"/>
              </w:rPr>
              <w:t>8</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b w:val="0"/>
                <w:bCs w:val="0"/>
                <w:kern w:val="0"/>
                <w:sz w:val="22"/>
              </w:rPr>
            </w:pPr>
            <w:r>
              <w:rPr>
                <w:rFonts w:hint="eastAsia" w:ascii="宋体" w:hAnsi="宋体" w:eastAsia="宋体" w:cs="宋体"/>
                <w:b w:val="0"/>
                <w:bCs w:val="0"/>
                <w:kern w:val="0"/>
                <w:sz w:val="22"/>
              </w:rPr>
              <w:t>17.6</w:t>
            </w:r>
            <w:r>
              <w:rPr>
                <w:rFonts w:hint="eastAsia" w:ascii="宋体" w:hAnsi="宋体" w:eastAsia="宋体" w:cs="宋体"/>
                <w:b w:val="0"/>
                <w:bCs w:val="0"/>
                <w:kern w:val="0"/>
                <w:sz w:val="22"/>
                <w:lang w:val="en-US" w:eastAsia="zh-CN"/>
              </w:rPr>
              <w:t>0</w:t>
            </w:r>
            <w:r>
              <w:rPr>
                <w:rFonts w:hint="eastAsia" w:ascii="宋体" w:hAnsi="宋体" w:eastAsia="宋体" w:cs="宋体"/>
                <w:b w:val="0"/>
                <w:bCs w:val="0"/>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2"/>
                <w:lang w:val="en-US" w:eastAsia="zh-CN"/>
              </w:rPr>
            </w:pPr>
            <w:r>
              <w:rPr>
                <w:rFonts w:hint="eastAsia" w:ascii="宋体" w:hAnsi="宋体" w:eastAsia="宋体" w:cs="宋体"/>
                <w:kern w:val="0"/>
                <w:sz w:val="22"/>
              </w:rPr>
              <w:t>六、科学技术支出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1</w:t>
            </w:r>
            <w:r>
              <w:rPr>
                <w:rFonts w:hint="eastAsia" w:ascii="宋体" w:hAnsi="宋体" w:eastAsia="宋体" w:cs="宋体"/>
                <w:kern w:val="0"/>
                <w:sz w:val="22"/>
                <w:lang w:val="en-US" w:eastAsia="zh-CN"/>
              </w:rPr>
              <w:t>9</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b w:val="0"/>
                <w:bCs w:val="0"/>
                <w:kern w:val="0"/>
                <w:sz w:val="22"/>
              </w:rPr>
            </w:pPr>
            <w:r>
              <w:rPr>
                <w:rFonts w:hint="eastAsia" w:ascii="宋体" w:hAnsi="宋体" w:eastAsia="宋体" w:cs="宋体"/>
                <w:b w:val="0"/>
                <w:bCs w:val="0"/>
                <w:kern w:val="0"/>
                <w:sz w:val="22"/>
              </w:rPr>
              <w:t>20</w:t>
            </w:r>
            <w:r>
              <w:rPr>
                <w:rFonts w:hint="eastAsia" w:ascii="宋体" w:hAnsi="宋体" w:eastAsia="宋体" w:cs="宋体"/>
                <w:b w:val="0"/>
                <w:bCs w:val="0"/>
                <w:kern w:val="0"/>
                <w:sz w:val="22"/>
                <w:lang w:val="en-US" w:eastAsia="zh-CN"/>
              </w:rPr>
              <w:t>.00</w:t>
            </w:r>
            <w:r>
              <w:rPr>
                <w:rFonts w:hint="eastAsia" w:ascii="宋体" w:hAnsi="宋体" w:eastAsia="宋体" w:cs="宋体"/>
                <w:b w:val="0"/>
                <w:bCs w:val="0"/>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四、上级补助收入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八、社会保障和就业支出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20</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b w:val="0"/>
                <w:bCs w:val="0"/>
                <w:kern w:val="0"/>
                <w:sz w:val="22"/>
              </w:rPr>
            </w:pPr>
            <w:r>
              <w:rPr>
                <w:rFonts w:hint="eastAsia" w:ascii="宋体" w:hAnsi="宋体" w:eastAsia="宋体" w:cs="宋体"/>
                <w:b w:val="0"/>
                <w:bCs w:val="0"/>
                <w:kern w:val="0"/>
                <w:sz w:val="22"/>
              </w:rPr>
              <w:t>215.75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五、事业收入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九、卫生健康支出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21</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b w:val="0"/>
                <w:bCs w:val="0"/>
                <w:kern w:val="0"/>
                <w:sz w:val="22"/>
              </w:rPr>
            </w:pPr>
            <w:r>
              <w:rPr>
                <w:rFonts w:hint="eastAsia" w:ascii="宋体" w:hAnsi="宋体" w:eastAsia="宋体" w:cs="宋体"/>
                <w:b w:val="0"/>
                <w:bCs w:val="0"/>
                <w:kern w:val="0"/>
                <w:sz w:val="22"/>
              </w:rPr>
              <w:t>52.45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六、经营收入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十、节能环保支出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22</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b w:val="0"/>
                <w:bCs w:val="0"/>
                <w:kern w:val="0"/>
                <w:sz w:val="22"/>
              </w:rPr>
            </w:pPr>
            <w:r>
              <w:rPr>
                <w:rFonts w:hint="eastAsia" w:ascii="宋体" w:hAnsi="宋体" w:eastAsia="宋体" w:cs="宋体"/>
                <w:b w:val="0"/>
                <w:bCs w:val="0"/>
                <w:kern w:val="0"/>
                <w:sz w:val="22"/>
              </w:rPr>
              <w:t>1495.54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七、附属单位上缴收入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十一、城乡社区支出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2</w:t>
            </w:r>
            <w:r>
              <w:rPr>
                <w:rFonts w:hint="eastAsia" w:ascii="宋体" w:hAnsi="宋体" w:eastAsia="宋体" w:cs="宋体"/>
                <w:kern w:val="0"/>
                <w:sz w:val="22"/>
                <w:lang w:val="en-US" w:eastAsia="zh-CN"/>
              </w:rPr>
              <w:t>3</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b w:val="0"/>
                <w:bCs w:val="0"/>
                <w:kern w:val="0"/>
                <w:sz w:val="22"/>
              </w:rPr>
            </w:pPr>
            <w:r>
              <w:rPr>
                <w:rFonts w:hint="eastAsia" w:ascii="宋体" w:hAnsi="宋体" w:eastAsia="宋体" w:cs="宋体"/>
                <w:b w:val="0"/>
                <w:bCs w:val="0"/>
                <w:kern w:val="0"/>
                <w:sz w:val="22"/>
              </w:rPr>
              <w:t>10.16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八、其他收入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十二、农林水支出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2</w:t>
            </w:r>
            <w:r>
              <w:rPr>
                <w:rFonts w:hint="eastAsia" w:ascii="宋体" w:hAnsi="宋体" w:eastAsia="宋体" w:cs="宋体"/>
                <w:kern w:val="0"/>
                <w:sz w:val="22"/>
                <w:lang w:val="en-US" w:eastAsia="zh-CN"/>
              </w:rPr>
              <w:t>4</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b w:val="0"/>
                <w:bCs w:val="0"/>
                <w:kern w:val="0"/>
                <w:sz w:val="22"/>
              </w:rPr>
            </w:pPr>
            <w:r>
              <w:rPr>
                <w:rFonts w:hint="eastAsia" w:ascii="宋体" w:hAnsi="宋体" w:eastAsia="宋体" w:cs="宋体"/>
                <w:b w:val="0"/>
                <w:bCs w:val="0"/>
                <w:kern w:val="0"/>
                <w:sz w:val="22"/>
              </w:rPr>
              <w:t>　29524.03</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十五、商业服务业等支出　</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2</w:t>
            </w:r>
            <w:r>
              <w:rPr>
                <w:rFonts w:hint="eastAsia" w:ascii="宋体" w:hAnsi="宋体" w:eastAsia="宋体" w:cs="宋体"/>
                <w:kern w:val="0"/>
                <w:sz w:val="22"/>
                <w:lang w:val="en-US" w:eastAsia="zh-CN"/>
              </w:rPr>
              <w:t>5</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b w:val="0"/>
                <w:bCs w:val="0"/>
                <w:kern w:val="0"/>
                <w:sz w:val="22"/>
                <w:lang w:val="en-US" w:eastAsia="zh-CN"/>
              </w:rPr>
            </w:pPr>
            <w:r>
              <w:rPr>
                <w:rFonts w:hint="eastAsia" w:ascii="宋体" w:hAnsi="宋体" w:eastAsia="宋体" w:cs="宋体"/>
                <w:b w:val="0"/>
                <w:bCs w:val="0"/>
                <w:kern w:val="0"/>
                <w:sz w:val="22"/>
              </w:rPr>
              <w:t>　5</w:t>
            </w:r>
            <w:r>
              <w:rPr>
                <w:rFonts w:hint="eastAsia" w:ascii="宋体" w:hAnsi="宋体" w:eastAsia="宋体" w:cs="宋体"/>
                <w:b w:val="0"/>
                <w:bCs w:val="0"/>
                <w:kern w:val="0"/>
                <w:sz w:val="22"/>
                <w:lang w:val="en-US" w:eastAsia="zh-CN"/>
              </w:rPr>
              <w:t>.00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10</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十六、金融支出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26</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b w:val="0"/>
                <w:bCs w:val="0"/>
                <w:kern w:val="0"/>
                <w:sz w:val="22"/>
                <w:lang w:val="en-US" w:eastAsia="zh-CN"/>
              </w:rPr>
            </w:pPr>
            <w:r>
              <w:rPr>
                <w:rFonts w:hint="eastAsia" w:ascii="宋体" w:hAnsi="宋体" w:eastAsia="宋体" w:cs="宋体"/>
                <w:b w:val="0"/>
                <w:bCs w:val="0"/>
                <w:kern w:val="0"/>
                <w:sz w:val="22"/>
              </w:rPr>
              <w:t>60</w:t>
            </w:r>
            <w:r>
              <w:rPr>
                <w:rFonts w:hint="eastAsia" w:ascii="宋体" w:hAnsi="宋体" w:eastAsia="宋体" w:cs="宋体"/>
                <w:b w:val="0"/>
                <w:bCs w:val="0"/>
                <w:kern w:val="0"/>
                <w:sz w:val="22"/>
                <w:lang w:val="en-US" w:eastAsia="zh-CN"/>
              </w:rPr>
              <w:t>.00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11</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十九、住房保障支出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27</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b w:val="0"/>
                <w:bCs w:val="0"/>
                <w:kern w:val="0"/>
                <w:sz w:val="22"/>
              </w:rPr>
            </w:pPr>
            <w:r>
              <w:rPr>
                <w:rFonts w:hint="eastAsia" w:ascii="宋体" w:hAnsi="宋体" w:eastAsia="宋体" w:cs="宋体"/>
                <w:b w:val="0"/>
                <w:bCs w:val="0"/>
                <w:kern w:val="0"/>
                <w:sz w:val="22"/>
              </w:rPr>
              <w:t>43.19</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12</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二十、粮油物资储备支出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28</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b w:val="0"/>
                <w:bCs w:val="0"/>
                <w:kern w:val="0"/>
                <w:sz w:val="22"/>
              </w:rPr>
            </w:pPr>
            <w:r>
              <w:rPr>
                <w:rFonts w:hint="eastAsia" w:ascii="宋体" w:hAnsi="宋体" w:eastAsia="宋体" w:cs="宋体"/>
                <w:b w:val="0"/>
                <w:bCs w:val="0"/>
                <w:kern w:val="0"/>
                <w:sz w:val="22"/>
              </w:rPr>
              <w:t>409.75</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1</w:t>
            </w:r>
            <w:r>
              <w:rPr>
                <w:rFonts w:hint="eastAsia" w:ascii="宋体" w:hAnsi="宋体" w:eastAsia="宋体" w:cs="宋体"/>
                <w:kern w:val="0"/>
                <w:sz w:val="22"/>
                <w:lang w:val="en-US" w:eastAsia="zh-CN"/>
              </w:rPr>
              <w:t>3</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r>
              <w:rPr>
                <w:rFonts w:hint="eastAsia" w:ascii="宋体" w:hAnsi="宋体" w:eastAsia="宋体" w:cs="宋体"/>
                <w:kern w:val="0"/>
                <w:sz w:val="22"/>
              </w:rPr>
              <w:t>31855.88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2</w:t>
            </w:r>
            <w:r>
              <w:rPr>
                <w:rFonts w:hint="eastAsia" w:ascii="宋体" w:hAnsi="宋体" w:eastAsia="宋体" w:cs="宋体"/>
                <w:kern w:val="0"/>
                <w:sz w:val="22"/>
                <w:lang w:val="en-US" w:eastAsia="zh-CN"/>
              </w:rPr>
              <w:t>9</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b w:val="0"/>
                <w:bCs w:val="0"/>
                <w:kern w:val="0"/>
                <w:sz w:val="22"/>
              </w:rPr>
            </w:pPr>
            <w:r>
              <w:rPr>
                <w:rFonts w:hint="eastAsia" w:ascii="宋体" w:hAnsi="宋体" w:eastAsia="宋体" w:cs="宋体"/>
                <w:b w:val="0"/>
                <w:bCs w:val="0"/>
                <w:kern w:val="0"/>
                <w:sz w:val="22"/>
              </w:rPr>
              <w:t>　31855.88</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使用非财政拨款结余</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1</w:t>
            </w:r>
            <w:r>
              <w:rPr>
                <w:rFonts w:hint="eastAsia" w:ascii="宋体" w:hAnsi="宋体" w:eastAsia="宋体" w:cs="宋体"/>
                <w:kern w:val="0"/>
                <w:sz w:val="22"/>
                <w:lang w:val="en-US" w:eastAsia="zh-CN"/>
              </w:rPr>
              <w:t>4</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结余分配</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30</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b w:val="0"/>
                <w:bCs w:val="0"/>
                <w:kern w:val="0"/>
                <w:sz w:val="22"/>
              </w:rPr>
            </w:pPr>
            <w:r>
              <w:rPr>
                <w:rFonts w:hint="eastAsia" w:ascii="宋体" w:hAnsi="宋体" w:eastAsia="宋体" w:cs="宋体"/>
                <w:b w:val="0"/>
                <w:bCs w:val="0"/>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年初结转和结余</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1</w:t>
            </w:r>
            <w:r>
              <w:rPr>
                <w:rFonts w:hint="eastAsia" w:ascii="宋体" w:hAnsi="宋体" w:eastAsia="宋体" w:cs="宋体"/>
                <w:kern w:val="0"/>
                <w:sz w:val="22"/>
                <w:lang w:val="en-US" w:eastAsia="zh-CN"/>
              </w:rPr>
              <w:t>5</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r>
              <w:rPr>
                <w:rFonts w:hint="eastAsia" w:ascii="宋体" w:hAnsi="宋体" w:eastAsia="宋体" w:cs="宋体"/>
                <w:kern w:val="0"/>
                <w:sz w:val="22"/>
              </w:rPr>
              <w:t>119.89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年末结转和结余</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31</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b w:val="0"/>
                <w:bCs w:val="0"/>
                <w:kern w:val="0"/>
                <w:sz w:val="22"/>
              </w:rPr>
            </w:pPr>
            <w:r>
              <w:rPr>
                <w:rFonts w:hint="eastAsia" w:ascii="宋体" w:hAnsi="宋体" w:eastAsia="宋体" w:cs="宋体"/>
                <w:b w:val="0"/>
                <w:bCs w:val="0"/>
                <w:kern w:val="0"/>
                <w:sz w:val="22"/>
              </w:rPr>
              <w:t>　119.89</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1</w:t>
            </w:r>
            <w:r>
              <w:rPr>
                <w:rFonts w:hint="eastAsia" w:ascii="宋体" w:hAnsi="宋体" w:eastAsia="宋体" w:cs="宋体"/>
                <w:kern w:val="0"/>
                <w:sz w:val="22"/>
                <w:lang w:val="en-US" w:eastAsia="zh-CN"/>
              </w:rPr>
              <w:t>6</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r>
              <w:rPr>
                <w:rFonts w:hint="eastAsia" w:ascii="宋体" w:hAnsi="宋体" w:eastAsia="宋体" w:cs="宋体"/>
                <w:kern w:val="0"/>
                <w:sz w:val="22"/>
              </w:rPr>
              <w:t>31975.77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32</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b w:val="0"/>
                <w:bCs w:val="0"/>
                <w:kern w:val="0"/>
                <w:sz w:val="22"/>
              </w:rPr>
            </w:pPr>
            <w:r>
              <w:rPr>
                <w:rFonts w:hint="eastAsia" w:ascii="宋体" w:hAnsi="宋体" w:eastAsia="宋体" w:cs="宋体"/>
                <w:b w:val="0"/>
                <w:bCs w:val="0"/>
                <w:kern w:val="0"/>
                <w:sz w:val="22"/>
              </w:rPr>
              <w:t>　31975.77</w:t>
            </w:r>
          </w:p>
        </w:tc>
      </w:tr>
      <w:tr>
        <w:tblPrEx>
          <w:tblCellMar>
            <w:top w:w="0" w:type="dxa"/>
            <w:left w:w="108" w:type="dxa"/>
            <w:bottom w:w="0" w:type="dxa"/>
            <w:right w:w="108" w:type="dxa"/>
          </w:tblCellMar>
        </w:tblPrEx>
        <w:trPr>
          <w:trHeight w:val="1020" w:hRule="atLeast"/>
        </w:trPr>
        <w:tc>
          <w:tcPr>
            <w:tcW w:w="1408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注：1.本表反映部门本年度的总收支和年末结转结余情况。</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2.本套报表金额单位转换时可能存在尾数误差。</w:t>
            </w:r>
          </w:p>
        </w:tc>
      </w:tr>
    </w:tbl>
    <w:p>
      <w:pPr>
        <w:jc w:val="center"/>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tbl>
      <w:tblPr>
        <w:tblStyle w:val="11"/>
        <w:tblW w:w="15196" w:type="dxa"/>
        <w:tblInd w:w="0" w:type="dxa"/>
        <w:tblLayout w:type="fixed"/>
        <w:tblCellMar>
          <w:top w:w="0" w:type="dxa"/>
          <w:left w:w="0" w:type="dxa"/>
          <w:bottom w:w="0" w:type="dxa"/>
          <w:right w:w="0" w:type="dxa"/>
        </w:tblCellMar>
      </w:tblPr>
      <w:tblGrid>
        <w:gridCol w:w="480"/>
        <w:gridCol w:w="147"/>
        <w:gridCol w:w="173"/>
        <w:gridCol w:w="1665"/>
        <w:gridCol w:w="1655"/>
        <w:gridCol w:w="1655"/>
        <w:gridCol w:w="1655"/>
        <w:gridCol w:w="1655"/>
        <w:gridCol w:w="1655"/>
        <w:gridCol w:w="1851"/>
        <w:gridCol w:w="2605"/>
      </w:tblGrid>
      <w:tr>
        <w:tblPrEx>
          <w:tblCellMar>
            <w:top w:w="0" w:type="dxa"/>
            <w:left w:w="0" w:type="dxa"/>
            <w:bottom w:w="0" w:type="dxa"/>
            <w:right w:w="0" w:type="dxa"/>
          </w:tblCellMar>
        </w:tblPrEx>
        <w:trPr>
          <w:trHeight w:val="435" w:hRule="atLeast"/>
        </w:trPr>
        <w:tc>
          <w:tcPr>
            <w:tcW w:w="15196" w:type="dxa"/>
            <w:gridSpan w:val="11"/>
            <w:tcBorders>
              <w:top w:val="nil"/>
              <w:left w:val="nil"/>
              <w:bottom w:val="nil"/>
              <w:right w:val="nil"/>
            </w:tcBorders>
            <w:shd w:val="clear" w:color="auto" w:fill="auto"/>
            <w:noWrap/>
            <w:tcMar>
              <w:top w:w="15" w:type="dxa"/>
              <w:left w:w="15" w:type="dxa"/>
              <w:bottom w:w="0" w:type="dxa"/>
              <w:right w:w="15" w:type="dxa"/>
            </w:tcMar>
            <w:vAlign w:val="bottom"/>
          </w:tcPr>
          <w:p>
            <w:pPr>
              <w:keepNext w:val="0"/>
              <w:keepLines w:val="0"/>
              <w:widowControl/>
              <w:suppressLineNumbers w:val="0"/>
              <w:jc w:val="center"/>
              <w:textAlignment w:val="bottom"/>
              <w:rPr>
                <w:rFonts w:ascii="华文中宋" w:hAnsi="华文中宋" w:eastAsia="华文中宋" w:cs="宋体"/>
                <w:color w:val="000000"/>
                <w:sz w:val="32"/>
                <w:szCs w:val="32"/>
              </w:rPr>
            </w:pPr>
            <w:r>
              <w:rPr>
                <w:rFonts w:hint="eastAsia" w:ascii="宋体" w:hAnsi="宋体" w:eastAsia="宋体" w:cs="宋体"/>
                <w:i w:val="0"/>
                <w:iCs w:val="0"/>
                <w:color w:val="000000"/>
                <w:kern w:val="0"/>
                <w:sz w:val="30"/>
                <w:szCs w:val="30"/>
                <w:u w:val="none"/>
                <w:lang w:val="en-US" w:eastAsia="zh-CN" w:bidi="ar"/>
              </w:rPr>
              <w:t>收入决算表</w:t>
            </w:r>
          </w:p>
        </w:tc>
      </w:tr>
      <w:tr>
        <w:tblPrEx>
          <w:tblCellMar>
            <w:top w:w="0" w:type="dxa"/>
            <w:left w:w="0" w:type="dxa"/>
            <w:bottom w:w="0" w:type="dxa"/>
            <w:right w:w="0" w:type="dxa"/>
          </w:tblCellMar>
        </w:tblPrEx>
        <w:trPr>
          <w:trHeight w:val="285" w:hRule="atLeast"/>
        </w:trPr>
        <w:tc>
          <w:tcPr>
            <w:tcW w:w="480" w:type="dxa"/>
            <w:tcBorders>
              <w:top w:val="nil"/>
              <w:left w:val="nil"/>
              <w:bottom w:val="nil"/>
              <w:right w:val="nil"/>
            </w:tcBorders>
            <w:shd w:val="clear" w:color="000000" w:fill="FFFFFF"/>
            <w:noWrap/>
            <w:tcMar>
              <w:top w:w="15" w:type="dxa"/>
              <w:left w:w="15" w:type="dxa"/>
              <w:bottom w:w="0" w:type="dxa"/>
              <w:right w:w="15" w:type="dxa"/>
            </w:tcMar>
            <w:vAlign w:val="bottom"/>
          </w:tcPr>
          <w:p>
            <w:pPr>
              <w:rPr>
                <w:rFonts w:ascii="宋体" w:hAnsi="宋体" w:eastAsia="宋体" w:cs="宋体"/>
                <w:sz w:val="24"/>
                <w:szCs w:val="24"/>
              </w:rPr>
            </w:pPr>
          </w:p>
        </w:tc>
        <w:tc>
          <w:tcPr>
            <w:tcW w:w="147" w:type="dxa"/>
            <w:tcBorders>
              <w:top w:val="nil"/>
              <w:left w:val="nil"/>
              <w:bottom w:val="nil"/>
              <w:right w:val="nil"/>
            </w:tcBorders>
            <w:shd w:val="clear" w:color="000000" w:fill="FFFFFF"/>
            <w:noWrap/>
            <w:tcMar>
              <w:top w:w="15" w:type="dxa"/>
              <w:left w:w="15" w:type="dxa"/>
              <w:bottom w:w="0" w:type="dxa"/>
              <w:right w:w="15" w:type="dxa"/>
            </w:tcMar>
            <w:vAlign w:val="bottom"/>
          </w:tcPr>
          <w:p>
            <w:pPr>
              <w:rPr>
                <w:rFonts w:ascii="宋体" w:hAnsi="宋体" w:eastAsia="宋体" w:cs="宋体"/>
                <w:sz w:val="24"/>
                <w:szCs w:val="24"/>
              </w:rPr>
            </w:pPr>
          </w:p>
        </w:tc>
        <w:tc>
          <w:tcPr>
            <w:tcW w:w="173" w:type="dxa"/>
            <w:tcBorders>
              <w:top w:val="nil"/>
              <w:left w:val="nil"/>
              <w:bottom w:val="nil"/>
              <w:right w:val="nil"/>
            </w:tcBorders>
            <w:shd w:val="clear" w:color="000000" w:fill="FFFFFF"/>
            <w:noWrap/>
            <w:tcMar>
              <w:top w:w="15" w:type="dxa"/>
              <w:left w:w="15" w:type="dxa"/>
              <w:bottom w:w="0" w:type="dxa"/>
              <w:right w:w="15" w:type="dxa"/>
            </w:tcMar>
            <w:vAlign w:val="bottom"/>
          </w:tcPr>
          <w:p/>
        </w:tc>
        <w:tc>
          <w:tcPr>
            <w:tcW w:w="1665" w:type="dxa"/>
            <w:tcBorders>
              <w:top w:val="nil"/>
              <w:left w:val="nil"/>
              <w:bottom w:val="nil"/>
              <w:right w:val="nil"/>
            </w:tcBorders>
            <w:shd w:val="clear" w:color="000000" w:fill="FFFFFF"/>
            <w:noWrap/>
            <w:tcMar>
              <w:top w:w="15" w:type="dxa"/>
              <w:left w:w="15" w:type="dxa"/>
              <w:bottom w:w="0" w:type="dxa"/>
              <w:right w:w="15" w:type="dxa"/>
            </w:tcMar>
            <w:vAlign w:val="bottom"/>
          </w:tcPr>
          <w:p/>
        </w:tc>
        <w:tc>
          <w:tcPr>
            <w:tcW w:w="1655" w:type="dxa"/>
            <w:tcBorders>
              <w:top w:val="nil"/>
              <w:left w:val="nil"/>
              <w:bottom w:val="nil"/>
              <w:right w:val="nil"/>
            </w:tcBorders>
            <w:shd w:val="clear" w:color="000000" w:fill="FFFFFF"/>
            <w:noWrap/>
            <w:tcMar>
              <w:top w:w="15" w:type="dxa"/>
              <w:left w:w="15" w:type="dxa"/>
              <w:bottom w:w="0" w:type="dxa"/>
              <w:right w:w="15" w:type="dxa"/>
            </w:tcMar>
            <w:vAlign w:val="bottom"/>
          </w:tcPr>
          <w:p>
            <w:pPr>
              <w:rPr>
                <w:rFonts w:ascii="宋体" w:hAnsi="宋体" w:eastAsia="宋体" w:cs="宋体"/>
                <w:sz w:val="24"/>
                <w:szCs w:val="24"/>
              </w:rPr>
            </w:pPr>
          </w:p>
        </w:tc>
        <w:tc>
          <w:tcPr>
            <w:tcW w:w="1655" w:type="dxa"/>
            <w:tcBorders>
              <w:top w:val="nil"/>
              <w:left w:val="nil"/>
              <w:bottom w:val="nil"/>
              <w:right w:val="nil"/>
            </w:tcBorders>
            <w:shd w:val="clear" w:color="000000" w:fill="FFFFFF"/>
            <w:noWrap/>
            <w:tcMar>
              <w:top w:w="15" w:type="dxa"/>
              <w:left w:w="15" w:type="dxa"/>
              <w:bottom w:w="0" w:type="dxa"/>
              <w:right w:w="15" w:type="dxa"/>
            </w:tcMar>
            <w:vAlign w:val="bottom"/>
          </w:tcPr>
          <w:p>
            <w:pPr>
              <w:rPr>
                <w:rFonts w:ascii="宋体" w:hAnsi="宋体" w:eastAsia="宋体" w:cs="宋体"/>
                <w:sz w:val="24"/>
                <w:szCs w:val="24"/>
              </w:rPr>
            </w:pPr>
          </w:p>
        </w:tc>
        <w:tc>
          <w:tcPr>
            <w:tcW w:w="1655" w:type="dxa"/>
            <w:tcBorders>
              <w:top w:val="nil"/>
              <w:left w:val="nil"/>
              <w:bottom w:val="nil"/>
              <w:right w:val="nil"/>
            </w:tcBorders>
            <w:shd w:val="clear" w:color="000000" w:fill="FFFFFF"/>
            <w:noWrap/>
            <w:tcMar>
              <w:top w:w="15" w:type="dxa"/>
              <w:left w:w="15" w:type="dxa"/>
              <w:bottom w:w="0" w:type="dxa"/>
              <w:right w:w="15" w:type="dxa"/>
            </w:tcMar>
            <w:vAlign w:val="bottom"/>
          </w:tcPr>
          <w:p/>
        </w:tc>
        <w:tc>
          <w:tcPr>
            <w:tcW w:w="1655" w:type="dxa"/>
            <w:tcBorders>
              <w:top w:val="nil"/>
              <w:left w:val="nil"/>
              <w:bottom w:val="nil"/>
              <w:right w:val="nil"/>
            </w:tcBorders>
            <w:shd w:val="clear" w:color="000000" w:fill="FFFFFF"/>
            <w:noWrap/>
            <w:tcMar>
              <w:top w:w="15" w:type="dxa"/>
              <w:left w:w="15" w:type="dxa"/>
              <w:bottom w:w="0" w:type="dxa"/>
              <w:right w:w="15" w:type="dxa"/>
            </w:tcMar>
            <w:vAlign w:val="bottom"/>
          </w:tcPr>
          <w:p>
            <w:pPr>
              <w:rPr>
                <w:rFonts w:ascii="宋体" w:hAnsi="宋体" w:eastAsia="宋体" w:cs="宋体"/>
                <w:sz w:val="24"/>
                <w:szCs w:val="24"/>
              </w:rPr>
            </w:pPr>
          </w:p>
        </w:tc>
        <w:tc>
          <w:tcPr>
            <w:tcW w:w="1655" w:type="dxa"/>
            <w:tcBorders>
              <w:top w:val="nil"/>
              <w:left w:val="nil"/>
              <w:bottom w:val="nil"/>
              <w:right w:val="nil"/>
            </w:tcBorders>
            <w:shd w:val="clear" w:color="000000" w:fill="FFFFFF"/>
            <w:noWrap/>
            <w:tcMar>
              <w:top w:w="15" w:type="dxa"/>
              <w:left w:w="15" w:type="dxa"/>
              <w:bottom w:w="0" w:type="dxa"/>
              <w:right w:w="15" w:type="dxa"/>
            </w:tcMar>
            <w:vAlign w:val="bottom"/>
          </w:tcPr>
          <w:p/>
        </w:tc>
        <w:tc>
          <w:tcPr>
            <w:tcW w:w="1851" w:type="dxa"/>
            <w:tcBorders>
              <w:top w:val="nil"/>
              <w:left w:val="nil"/>
              <w:bottom w:val="nil"/>
              <w:right w:val="nil"/>
            </w:tcBorders>
            <w:shd w:val="clear" w:color="000000" w:fill="FFFFFF"/>
            <w:noWrap/>
            <w:tcMar>
              <w:top w:w="15" w:type="dxa"/>
              <w:left w:w="15" w:type="dxa"/>
              <w:bottom w:w="0" w:type="dxa"/>
              <w:right w:w="15" w:type="dxa"/>
            </w:tcMar>
            <w:vAlign w:val="bottom"/>
          </w:tcPr>
          <w:p>
            <w:pPr>
              <w:rPr>
                <w:rFonts w:ascii="宋体" w:hAnsi="宋体" w:eastAsia="宋体" w:cs="宋体"/>
                <w:sz w:val="24"/>
                <w:szCs w:val="24"/>
              </w:rPr>
            </w:pPr>
          </w:p>
        </w:tc>
        <w:tc>
          <w:tcPr>
            <w:tcW w:w="2605" w:type="dxa"/>
            <w:tcBorders>
              <w:top w:val="nil"/>
              <w:left w:val="nil"/>
              <w:bottom w:val="nil"/>
              <w:right w:val="nil"/>
            </w:tcBorders>
            <w:shd w:val="clear" w:color="000000" w:fill="FFFFFF"/>
            <w:noWrap/>
            <w:tcMar>
              <w:top w:w="15" w:type="dxa"/>
              <w:left w:w="15" w:type="dxa"/>
              <w:bottom w:w="0" w:type="dxa"/>
              <w:right w:w="15" w:type="dxa"/>
            </w:tcMar>
            <w:vAlign w:val="bottom"/>
          </w:tcPr>
          <w:p>
            <w:pPr>
              <w:keepNext w:val="0"/>
              <w:keepLines w:val="0"/>
              <w:widowControl/>
              <w:suppressLineNumbers w:val="0"/>
              <w:jc w:val="right"/>
              <w:textAlignment w:val="bottom"/>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公开02表</w:t>
            </w:r>
          </w:p>
        </w:tc>
      </w:tr>
      <w:tr>
        <w:tblPrEx>
          <w:tblCellMar>
            <w:top w:w="0" w:type="dxa"/>
            <w:left w:w="0" w:type="dxa"/>
            <w:bottom w:w="0" w:type="dxa"/>
            <w:right w:w="0" w:type="dxa"/>
          </w:tblCellMar>
        </w:tblPrEx>
        <w:trPr>
          <w:trHeight w:val="285" w:hRule="atLeast"/>
        </w:trPr>
        <w:tc>
          <w:tcPr>
            <w:tcW w:w="2465" w:type="dxa"/>
            <w:gridSpan w:val="4"/>
            <w:tcBorders>
              <w:top w:val="nil"/>
              <w:left w:val="nil"/>
              <w:bottom w:val="nil"/>
              <w:right w:val="nil"/>
            </w:tcBorders>
            <w:shd w:val="clear" w:color="000000" w:fill="FFFFFF"/>
            <w:noWrap/>
            <w:tcMar>
              <w:top w:w="15" w:type="dxa"/>
              <w:left w:w="15" w:type="dxa"/>
              <w:bottom w:w="0" w:type="dxa"/>
              <w:right w:w="15" w:type="dxa"/>
            </w:tcMar>
            <w:vAlign w:val="bottom"/>
          </w:tcPr>
          <w:p>
            <w:r>
              <w:rPr>
                <w:rFonts w:hint="eastAsia" w:ascii="宋体" w:hAnsi="宋体" w:eastAsia="宋体" w:cs="宋体"/>
                <w:i w:val="0"/>
                <w:iCs w:val="0"/>
                <w:color w:val="000000"/>
                <w:kern w:val="0"/>
                <w:sz w:val="20"/>
                <w:szCs w:val="20"/>
                <w:u w:val="none"/>
                <w:lang w:val="en-US" w:eastAsia="zh-CN" w:bidi="ar"/>
              </w:rPr>
              <w:t>部门：溆浦县农业农村局</w:t>
            </w:r>
          </w:p>
        </w:tc>
        <w:tc>
          <w:tcPr>
            <w:tcW w:w="1655" w:type="dxa"/>
            <w:tcBorders>
              <w:top w:val="nil"/>
              <w:left w:val="nil"/>
              <w:bottom w:val="nil"/>
              <w:right w:val="nil"/>
            </w:tcBorders>
            <w:shd w:val="clear" w:color="000000" w:fill="FFFFFF"/>
            <w:noWrap/>
            <w:tcMar>
              <w:top w:w="15" w:type="dxa"/>
              <w:left w:w="15" w:type="dxa"/>
              <w:bottom w:w="0" w:type="dxa"/>
              <w:right w:w="15" w:type="dxa"/>
            </w:tcMar>
            <w:vAlign w:val="bottom"/>
          </w:tcPr>
          <w:p>
            <w:pPr>
              <w:rPr>
                <w:rFonts w:ascii="宋体" w:hAnsi="宋体" w:eastAsia="宋体" w:cs="宋体"/>
                <w:sz w:val="24"/>
                <w:szCs w:val="24"/>
              </w:rPr>
            </w:pPr>
          </w:p>
        </w:tc>
        <w:tc>
          <w:tcPr>
            <w:tcW w:w="1655" w:type="dxa"/>
            <w:tcBorders>
              <w:top w:val="nil"/>
              <w:left w:val="nil"/>
              <w:bottom w:val="nil"/>
              <w:right w:val="nil"/>
            </w:tcBorders>
            <w:shd w:val="clear" w:color="000000" w:fill="FFFFFF"/>
            <w:noWrap/>
            <w:tcMar>
              <w:top w:w="15" w:type="dxa"/>
              <w:left w:w="15" w:type="dxa"/>
              <w:bottom w:w="0" w:type="dxa"/>
              <w:right w:w="15" w:type="dxa"/>
            </w:tcMar>
            <w:vAlign w:val="bottom"/>
          </w:tcPr>
          <w:p>
            <w:pPr>
              <w:rPr>
                <w:rFonts w:ascii="宋体" w:hAnsi="宋体" w:eastAsia="宋体" w:cs="宋体"/>
                <w:sz w:val="24"/>
                <w:szCs w:val="24"/>
              </w:rPr>
            </w:pPr>
          </w:p>
        </w:tc>
        <w:tc>
          <w:tcPr>
            <w:tcW w:w="1655" w:type="dxa"/>
            <w:tcBorders>
              <w:top w:val="nil"/>
              <w:left w:val="nil"/>
              <w:bottom w:val="nil"/>
              <w:right w:val="nil"/>
            </w:tcBorders>
            <w:shd w:val="clear" w:color="000000" w:fill="FFFFFF"/>
            <w:noWrap/>
            <w:tcMar>
              <w:top w:w="15" w:type="dxa"/>
              <w:left w:w="15" w:type="dxa"/>
              <w:bottom w:w="0" w:type="dxa"/>
              <w:right w:w="15" w:type="dxa"/>
            </w:tcMar>
            <w:vAlign w:val="bottom"/>
          </w:tcPr>
          <w:p/>
        </w:tc>
        <w:tc>
          <w:tcPr>
            <w:tcW w:w="1655" w:type="dxa"/>
            <w:tcBorders>
              <w:top w:val="nil"/>
              <w:left w:val="nil"/>
              <w:bottom w:val="nil"/>
              <w:right w:val="nil"/>
            </w:tcBorders>
            <w:shd w:val="clear" w:color="000000" w:fill="FFFFFF"/>
            <w:noWrap/>
            <w:tcMar>
              <w:top w:w="15" w:type="dxa"/>
              <w:left w:w="15" w:type="dxa"/>
              <w:bottom w:w="0" w:type="dxa"/>
              <w:right w:w="15" w:type="dxa"/>
            </w:tcMar>
            <w:vAlign w:val="bottom"/>
          </w:tcPr>
          <w:p>
            <w:pPr>
              <w:rPr>
                <w:rFonts w:ascii="宋体" w:hAnsi="宋体" w:eastAsia="宋体" w:cs="宋体"/>
                <w:sz w:val="24"/>
                <w:szCs w:val="24"/>
              </w:rPr>
            </w:pPr>
          </w:p>
        </w:tc>
        <w:tc>
          <w:tcPr>
            <w:tcW w:w="1655" w:type="dxa"/>
            <w:tcBorders>
              <w:top w:val="nil"/>
              <w:left w:val="nil"/>
              <w:bottom w:val="nil"/>
              <w:right w:val="nil"/>
            </w:tcBorders>
            <w:shd w:val="clear" w:color="000000" w:fill="FFFFFF"/>
            <w:noWrap/>
            <w:tcMar>
              <w:top w:w="15" w:type="dxa"/>
              <w:left w:w="15" w:type="dxa"/>
              <w:bottom w:w="0" w:type="dxa"/>
              <w:right w:w="15" w:type="dxa"/>
            </w:tcMar>
            <w:vAlign w:val="bottom"/>
          </w:tcPr>
          <w:p/>
        </w:tc>
        <w:tc>
          <w:tcPr>
            <w:tcW w:w="1851" w:type="dxa"/>
            <w:tcBorders>
              <w:top w:val="nil"/>
              <w:left w:val="nil"/>
              <w:bottom w:val="nil"/>
              <w:right w:val="nil"/>
            </w:tcBorders>
            <w:shd w:val="clear" w:color="000000" w:fill="FFFFFF"/>
            <w:noWrap/>
            <w:tcMar>
              <w:top w:w="15" w:type="dxa"/>
              <w:left w:w="15" w:type="dxa"/>
              <w:bottom w:w="0" w:type="dxa"/>
              <w:right w:w="15" w:type="dxa"/>
            </w:tcMar>
            <w:vAlign w:val="bottom"/>
          </w:tcPr>
          <w:p>
            <w:pPr>
              <w:rPr>
                <w:rFonts w:ascii="宋体" w:hAnsi="宋体" w:eastAsia="宋体" w:cs="宋体"/>
                <w:color w:val="000000"/>
                <w:sz w:val="20"/>
                <w:szCs w:val="20"/>
              </w:rPr>
            </w:pPr>
          </w:p>
        </w:tc>
        <w:tc>
          <w:tcPr>
            <w:tcW w:w="2605" w:type="dxa"/>
            <w:tcBorders>
              <w:top w:val="nil"/>
              <w:left w:val="nil"/>
              <w:bottom w:val="nil"/>
              <w:right w:val="nil"/>
            </w:tcBorders>
            <w:shd w:val="clear" w:color="000000" w:fill="FFFFFF"/>
            <w:noWrap/>
            <w:tcMar>
              <w:top w:w="15" w:type="dxa"/>
              <w:left w:w="15" w:type="dxa"/>
              <w:bottom w:w="0" w:type="dxa"/>
              <w:right w:w="15" w:type="dxa"/>
            </w:tcMar>
            <w:vAlign w:val="bottom"/>
          </w:tcPr>
          <w:p>
            <w:pPr>
              <w:keepNext w:val="0"/>
              <w:keepLines w:val="0"/>
              <w:widowControl/>
              <w:suppressLineNumbers w:val="0"/>
              <w:jc w:val="right"/>
              <w:textAlignment w:val="bottom"/>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450" w:hRule="atLeast"/>
        </w:trPr>
        <w:tc>
          <w:tcPr>
            <w:tcW w:w="2465" w:type="dxa"/>
            <w:gridSpan w:val="4"/>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项目</w:t>
            </w:r>
          </w:p>
        </w:tc>
        <w:tc>
          <w:tcPr>
            <w:tcW w:w="165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本年收入合计</w:t>
            </w:r>
          </w:p>
        </w:tc>
        <w:tc>
          <w:tcPr>
            <w:tcW w:w="165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财政拨款收入</w:t>
            </w:r>
          </w:p>
        </w:tc>
        <w:tc>
          <w:tcPr>
            <w:tcW w:w="165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上级补助收入</w:t>
            </w:r>
          </w:p>
        </w:tc>
        <w:tc>
          <w:tcPr>
            <w:tcW w:w="165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事业收入</w:t>
            </w:r>
          </w:p>
        </w:tc>
        <w:tc>
          <w:tcPr>
            <w:tcW w:w="165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经营收入</w:t>
            </w:r>
          </w:p>
        </w:tc>
        <w:tc>
          <w:tcPr>
            <w:tcW w:w="185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附属单位上缴收入</w:t>
            </w:r>
          </w:p>
        </w:tc>
        <w:tc>
          <w:tcPr>
            <w:tcW w:w="260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其他收入</w:t>
            </w:r>
          </w:p>
        </w:tc>
      </w:tr>
      <w:tr>
        <w:tblPrEx>
          <w:tblCellMar>
            <w:top w:w="0" w:type="dxa"/>
            <w:left w:w="0" w:type="dxa"/>
            <w:bottom w:w="0" w:type="dxa"/>
            <w:right w:w="0" w:type="dxa"/>
          </w:tblCellMar>
        </w:tblPrEx>
        <w:trPr>
          <w:trHeight w:val="450" w:hRule="atLeast"/>
        </w:trPr>
        <w:tc>
          <w:tcPr>
            <w:tcW w:w="800"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功能分类科目编码</w:t>
            </w:r>
          </w:p>
        </w:tc>
        <w:tc>
          <w:tcPr>
            <w:tcW w:w="1665"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科目名称</w:t>
            </w:r>
          </w:p>
        </w:tc>
        <w:tc>
          <w:tcPr>
            <w:tcW w:w="1655" w:type="dxa"/>
            <w:vMerge w:val="continue"/>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p>
        </w:tc>
        <w:tc>
          <w:tcPr>
            <w:tcW w:w="165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tc>
        <w:tc>
          <w:tcPr>
            <w:tcW w:w="1655"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165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tc>
        <w:tc>
          <w:tcPr>
            <w:tcW w:w="1655"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185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tc>
        <w:tc>
          <w:tcPr>
            <w:tcW w:w="260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2465"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栏次</w:t>
            </w:r>
          </w:p>
        </w:tc>
        <w:tc>
          <w:tcPr>
            <w:tcW w:w="165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w:t>
            </w:r>
          </w:p>
        </w:tc>
        <w:tc>
          <w:tcPr>
            <w:tcW w:w="16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w:t>
            </w:r>
          </w:p>
        </w:tc>
        <w:tc>
          <w:tcPr>
            <w:tcW w:w="16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w:t>
            </w:r>
          </w:p>
        </w:tc>
        <w:tc>
          <w:tcPr>
            <w:tcW w:w="16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4</w:t>
            </w:r>
          </w:p>
        </w:tc>
        <w:tc>
          <w:tcPr>
            <w:tcW w:w="16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5</w:t>
            </w:r>
          </w:p>
        </w:tc>
        <w:tc>
          <w:tcPr>
            <w:tcW w:w="18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6</w:t>
            </w:r>
          </w:p>
        </w:tc>
        <w:tc>
          <w:tcPr>
            <w:tcW w:w="26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7</w:t>
            </w:r>
          </w:p>
        </w:tc>
      </w:tr>
      <w:tr>
        <w:tblPrEx>
          <w:tblCellMar>
            <w:top w:w="0" w:type="dxa"/>
            <w:left w:w="0" w:type="dxa"/>
            <w:bottom w:w="0" w:type="dxa"/>
            <w:right w:w="0" w:type="dxa"/>
          </w:tblCellMar>
        </w:tblPrEx>
        <w:trPr>
          <w:trHeight w:val="450" w:hRule="atLeast"/>
        </w:trPr>
        <w:tc>
          <w:tcPr>
            <w:tcW w:w="2465" w:type="dxa"/>
            <w:gridSpan w:val="4"/>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合计</w:t>
            </w:r>
          </w:p>
        </w:tc>
        <w:tc>
          <w:tcPr>
            <w:tcW w:w="165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right"/>
              <w:textAlignment w:val="center"/>
            </w:pPr>
            <w:r>
              <w:rPr>
                <w:rFonts w:hint="eastAsia" w:ascii="宋体" w:hAnsi="宋体" w:eastAsia="宋体" w:cs="宋体"/>
                <w:b/>
                <w:bCs/>
                <w:i w:val="0"/>
                <w:iCs w:val="0"/>
                <w:color w:val="000000"/>
                <w:kern w:val="0"/>
                <w:sz w:val="22"/>
                <w:szCs w:val="22"/>
                <w:u w:val="none"/>
                <w:lang w:val="en-US" w:eastAsia="zh-CN" w:bidi="ar"/>
              </w:rPr>
              <w:t>31,855.88</w:t>
            </w:r>
          </w:p>
        </w:tc>
        <w:tc>
          <w:tcPr>
            <w:tcW w:w="16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31,855.88</w:t>
            </w:r>
          </w:p>
        </w:tc>
        <w:tc>
          <w:tcPr>
            <w:tcW w:w="16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right"/>
            </w:pPr>
          </w:p>
        </w:tc>
        <w:tc>
          <w:tcPr>
            <w:tcW w:w="16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p>
        </w:tc>
        <w:tc>
          <w:tcPr>
            <w:tcW w:w="16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right"/>
            </w:pPr>
          </w:p>
        </w:tc>
        <w:tc>
          <w:tcPr>
            <w:tcW w:w="185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p>
        </w:tc>
        <w:tc>
          <w:tcPr>
            <w:tcW w:w="260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80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w:t>
            </w:r>
          </w:p>
        </w:tc>
        <w:tc>
          <w:tcPr>
            <w:tcW w:w="16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一般公共服务支出</w:t>
            </w:r>
          </w:p>
        </w:tc>
        <w:tc>
          <w:tcPr>
            <w:tcW w:w="165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2.40</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2.40</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8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2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r>
      <w:tr>
        <w:tblPrEx>
          <w:tblCellMar>
            <w:top w:w="0" w:type="dxa"/>
            <w:left w:w="0" w:type="dxa"/>
            <w:bottom w:w="0" w:type="dxa"/>
            <w:right w:w="0" w:type="dxa"/>
          </w:tblCellMar>
        </w:tblPrEx>
        <w:trPr>
          <w:trHeight w:val="452" w:hRule="atLeast"/>
        </w:trPr>
        <w:tc>
          <w:tcPr>
            <w:tcW w:w="80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20111</w:t>
            </w:r>
          </w:p>
        </w:tc>
        <w:tc>
          <w:tcPr>
            <w:tcW w:w="16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纪检监察事务</w:t>
            </w:r>
          </w:p>
        </w:tc>
        <w:tc>
          <w:tcPr>
            <w:tcW w:w="16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2.40</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2.40</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8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2" w:hRule="atLeast"/>
        </w:trPr>
        <w:tc>
          <w:tcPr>
            <w:tcW w:w="80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2011101</w:t>
            </w:r>
          </w:p>
        </w:tc>
        <w:tc>
          <w:tcPr>
            <w:tcW w:w="16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6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2.40</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2.40</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8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2" w:hRule="atLeast"/>
        </w:trPr>
        <w:tc>
          <w:tcPr>
            <w:tcW w:w="80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205</w:t>
            </w:r>
          </w:p>
        </w:tc>
        <w:tc>
          <w:tcPr>
            <w:tcW w:w="16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教育支出</w:t>
            </w:r>
          </w:p>
        </w:tc>
        <w:tc>
          <w:tcPr>
            <w:tcW w:w="16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17.60</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17.60</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8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rPr>
          <w:trHeight w:val="452" w:hRule="atLeast"/>
        </w:trPr>
        <w:tc>
          <w:tcPr>
            <w:tcW w:w="80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20505</w:t>
            </w:r>
          </w:p>
        </w:tc>
        <w:tc>
          <w:tcPr>
            <w:tcW w:w="16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广播电视教育</w:t>
            </w:r>
          </w:p>
        </w:tc>
        <w:tc>
          <w:tcPr>
            <w:tcW w:w="16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17.60</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17.60</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8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2" w:hRule="atLeast"/>
        </w:trPr>
        <w:tc>
          <w:tcPr>
            <w:tcW w:w="80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2050501</w:t>
            </w:r>
          </w:p>
        </w:tc>
        <w:tc>
          <w:tcPr>
            <w:tcW w:w="16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广播电视学校</w:t>
            </w:r>
          </w:p>
        </w:tc>
        <w:tc>
          <w:tcPr>
            <w:tcW w:w="16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17.60</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17.60</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8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2" w:hRule="atLeast"/>
        </w:trPr>
        <w:tc>
          <w:tcPr>
            <w:tcW w:w="80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206</w:t>
            </w:r>
          </w:p>
        </w:tc>
        <w:tc>
          <w:tcPr>
            <w:tcW w:w="16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科学技术支出</w:t>
            </w:r>
          </w:p>
        </w:tc>
        <w:tc>
          <w:tcPr>
            <w:tcW w:w="16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20.00</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20.00</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8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rPr>
          <w:trHeight w:val="452" w:hRule="atLeast"/>
        </w:trPr>
        <w:tc>
          <w:tcPr>
            <w:tcW w:w="80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20604</w:t>
            </w:r>
          </w:p>
        </w:tc>
        <w:tc>
          <w:tcPr>
            <w:tcW w:w="16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技术研究与开发</w:t>
            </w:r>
          </w:p>
        </w:tc>
        <w:tc>
          <w:tcPr>
            <w:tcW w:w="16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20.00</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20.00</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8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2" w:hRule="atLeast"/>
        </w:trPr>
        <w:tc>
          <w:tcPr>
            <w:tcW w:w="80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2060404</w:t>
            </w:r>
          </w:p>
        </w:tc>
        <w:tc>
          <w:tcPr>
            <w:tcW w:w="16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科技成果转化与扩散</w:t>
            </w:r>
          </w:p>
        </w:tc>
        <w:tc>
          <w:tcPr>
            <w:tcW w:w="16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20.00</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20.00</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8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2" w:hRule="atLeast"/>
        </w:trPr>
        <w:tc>
          <w:tcPr>
            <w:tcW w:w="80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w:t>
            </w:r>
          </w:p>
        </w:tc>
        <w:tc>
          <w:tcPr>
            <w:tcW w:w="16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社会保障和就业支出</w:t>
            </w:r>
          </w:p>
        </w:tc>
        <w:tc>
          <w:tcPr>
            <w:tcW w:w="16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215.75</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215.75</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8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2" w:hRule="atLeast"/>
        </w:trPr>
        <w:tc>
          <w:tcPr>
            <w:tcW w:w="80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20801</w:t>
            </w:r>
          </w:p>
        </w:tc>
        <w:tc>
          <w:tcPr>
            <w:tcW w:w="16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16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12.11</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12.11</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8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2" w:hRule="atLeast"/>
        </w:trPr>
        <w:tc>
          <w:tcPr>
            <w:tcW w:w="80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2080116</w:t>
            </w:r>
          </w:p>
        </w:tc>
        <w:tc>
          <w:tcPr>
            <w:tcW w:w="16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引进人才费用</w:t>
            </w:r>
          </w:p>
        </w:tc>
        <w:tc>
          <w:tcPr>
            <w:tcW w:w="16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6.40</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6.40</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8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2" w:hRule="atLeast"/>
        </w:trPr>
        <w:tc>
          <w:tcPr>
            <w:tcW w:w="80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2080199</w:t>
            </w:r>
          </w:p>
        </w:tc>
        <w:tc>
          <w:tcPr>
            <w:tcW w:w="16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其他人力资源和社会保障管理事务支出</w:t>
            </w:r>
          </w:p>
        </w:tc>
        <w:tc>
          <w:tcPr>
            <w:tcW w:w="16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5.71</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5.71</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8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rPr>
          <w:trHeight w:val="452" w:hRule="atLeast"/>
        </w:trPr>
        <w:tc>
          <w:tcPr>
            <w:tcW w:w="80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20802</w:t>
            </w:r>
          </w:p>
        </w:tc>
        <w:tc>
          <w:tcPr>
            <w:tcW w:w="16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民政管理事务</w:t>
            </w:r>
          </w:p>
        </w:tc>
        <w:tc>
          <w:tcPr>
            <w:tcW w:w="16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1.00</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1.00</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8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2" w:hRule="atLeast"/>
        </w:trPr>
        <w:tc>
          <w:tcPr>
            <w:tcW w:w="80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2080299</w:t>
            </w:r>
          </w:p>
        </w:tc>
        <w:tc>
          <w:tcPr>
            <w:tcW w:w="16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其他民政管理事务支出</w:t>
            </w:r>
          </w:p>
        </w:tc>
        <w:tc>
          <w:tcPr>
            <w:tcW w:w="16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1.00</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1.00</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8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2" w:hRule="atLeast"/>
        </w:trPr>
        <w:tc>
          <w:tcPr>
            <w:tcW w:w="80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20805</w:t>
            </w:r>
          </w:p>
        </w:tc>
        <w:tc>
          <w:tcPr>
            <w:tcW w:w="16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6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101.11</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101.11</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8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2" w:hRule="atLeast"/>
        </w:trPr>
        <w:tc>
          <w:tcPr>
            <w:tcW w:w="80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2080505</w:t>
            </w:r>
          </w:p>
        </w:tc>
        <w:tc>
          <w:tcPr>
            <w:tcW w:w="16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6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101.11</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101.11</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8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2" w:hRule="atLeast"/>
        </w:trPr>
        <w:tc>
          <w:tcPr>
            <w:tcW w:w="80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20808</w:t>
            </w:r>
          </w:p>
        </w:tc>
        <w:tc>
          <w:tcPr>
            <w:tcW w:w="16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抚恤</w:t>
            </w:r>
          </w:p>
        </w:tc>
        <w:tc>
          <w:tcPr>
            <w:tcW w:w="16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98.95</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98.95</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8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2" w:hRule="atLeast"/>
        </w:trPr>
        <w:tc>
          <w:tcPr>
            <w:tcW w:w="80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2080801</w:t>
            </w:r>
          </w:p>
        </w:tc>
        <w:tc>
          <w:tcPr>
            <w:tcW w:w="16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死亡抚恤</w:t>
            </w:r>
          </w:p>
        </w:tc>
        <w:tc>
          <w:tcPr>
            <w:tcW w:w="16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98.95</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98.95</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8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2" w:hRule="atLeast"/>
        </w:trPr>
        <w:tc>
          <w:tcPr>
            <w:tcW w:w="80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20828</w:t>
            </w:r>
          </w:p>
        </w:tc>
        <w:tc>
          <w:tcPr>
            <w:tcW w:w="16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退役军人管理事务</w:t>
            </w:r>
          </w:p>
        </w:tc>
        <w:tc>
          <w:tcPr>
            <w:tcW w:w="16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2.58</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2.58</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8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2" w:hRule="atLeast"/>
        </w:trPr>
        <w:tc>
          <w:tcPr>
            <w:tcW w:w="80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2082899</w:t>
            </w:r>
          </w:p>
        </w:tc>
        <w:tc>
          <w:tcPr>
            <w:tcW w:w="16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其他退役军人事务管理支出</w:t>
            </w:r>
          </w:p>
        </w:tc>
        <w:tc>
          <w:tcPr>
            <w:tcW w:w="16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2.58</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2.58</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8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2" w:hRule="atLeast"/>
        </w:trPr>
        <w:tc>
          <w:tcPr>
            <w:tcW w:w="80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w:t>
            </w:r>
          </w:p>
        </w:tc>
        <w:tc>
          <w:tcPr>
            <w:tcW w:w="16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卫生健康支出</w:t>
            </w:r>
          </w:p>
        </w:tc>
        <w:tc>
          <w:tcPr>
            <w:tcW w:w="16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52.45</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52.45</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8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2" w:hRule="atLeast"/>
        </w:trPr>
        <w:tc>
          <w:tcPr>
            <w:tcW w:w="80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21011</w:t>
            </w:r>
          </w:p>
        </w:tc>
        <w:tc>
          <w:tcPr>
            <w:tcW w:w="16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行政事业单位医疗</w:t>
            </w:r>
          </w:p>
        </w:tc>
        <w:tc>
          <w:tcPr>
            <w:tcW w:w="16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52.45</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52.45</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8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2" w:hRule="atLeast"/>
        </w:trPr>
        <w:tc>
          <w:tcPr>
            <w:tcW w:w="80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2101101</w:t>
            </w:r>
          </w:p>
        </w:tc>
        <w:tc>
          <w:tcPr>
            <w:tcW w:w="16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6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46.77</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46.77</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8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2" w:hRule="atLeast"/>
        </w:trPr>
        <w:tc>
          <w:tcPr>
            <w:tcW w:w="80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2101102</w:t>
            </w:r>
          </w:p>
        </w:tc>
        <w:tc>
          <w:tcPr>
            <w:tcW w:w="16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16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5.68</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5.68</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8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2" w:hRule="atLeast"/>
        </w:trPr>
        <w:tc>
          <w:tcPr>
            <w:tcW w:w="80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211</w:t>
            </w:r>
          </w:p>
        </w:tc>
        <w:tc>
          <w:tcPr>
            <w:tcW w:w="16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节能环保支出</w:t>
            </w:r>
          </w:p>
        </w:tc>
        <w:tc>
          <w:tcPr>
            <w:tcW w:w="16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1,495.54</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1,495.54</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8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2" w:hRule="atLeast"/>
        </w:trPr>
        <w:tc>
          <w:tcPr>
            <w:tcW w:w="80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21104</w:t>
            </w:r>
          </w:p>
        </w:tc>
        <w:tc>
          <w:tcPr>
            <w:tcW w:w="16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自然生态保护</w:t>
            </w:r>
          </w:p>
        </w:tc>
        <w:tc>
          <w:tcPr>
            <w:tcW w:w="16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1,472.16</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1,472.16</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8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2" w:hRule="atLeast"/>
        </w:trPr>
        <w:tc>
          <w:tcPr>
            <w:tcW w:w="80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2110402</w:t>
            </w:r>
          </w:p>
        </w:tc>
        <w:tc>
          <w:tcPr>
            <w:tcW w:w="16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农村环境保护</w:t>
            </w:r>
          </w:p>
        </w:tc>
        <w:tc>
          <w:tcPr>
            <w:tcW w:w="16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1,472.16</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1,472.16</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8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2" w:hRule="atLeast"/>
        </w:trPr>
        <w:tc>
          <w:tcPr>
            <w:tcW w:w="80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21111</w:t>
            </w:r>
          </w:p>
        </w:tc>
        <w:tc>
          <w:tcPr>
            <w:tcW w:w="16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污染减排</w:t>
            </w:r>
          </w:p>
        </w:tc>
        <w:tc>
          <w:tcPr>
            <w:tcW w:w="16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23.38</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23.38</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8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2" w:hRule="atLeast"/>
        </w:trPr>
        <w:tc>
          <w:tcPr>
            <w:tcW w:w="80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2111101</w:t>
            </w:r>
          </w:p>
        </w:tc>
        <w:tc>
          <w:tcPr>
            <w:tcW w:w="16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生态环境监测与信息</w:t>
            </w:r>
          </w:p>
        </w:tc>
        <w:tc>
          <w:tcPr>
            <w:tcW w:w="16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23.38</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23.38</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8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2" w:hRule="atLeast"/>
        </w:trPr>
        <w:tc>
          <w:tcPr>
            <w:tcW w:w="80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212</w:t>
            </w:r>
          </w:p>
        </w:tc>
        <w:tc>
          <w:tcPr>
            <w:tcW w:w="16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城乡社区支出</w:t>
            </w:r>
          </w:p>
        </w:tc>
        <w:tc>
          <w:tcPr>
            <w:tcW w:w="16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10.16</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10.16</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8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2" w:hRule="atLeast"/>
        </w:trPr>
        <w:tc>
          <w:tcPr>
            <w:tcW w:w="80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21203</w:t>
            </w:r>
          </w:p>
        </w:tc>
        <w:tc>
          <w:tcPr>
            <w:tcW w:w="16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城乡社区公共设施</w:t>
            </w:r>
          </w:p>
        </w:tc>
        <w:tc>
          <w:tcPr>
            <w:tcW w:w="16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4.00</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4.00</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8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2" w:hRule="atLeast"/>
        </w:trPr>
        <w:tc>
          <w:tcPr>
            <w:tcW w:w="80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2120303</w:t>
            </w:r>
          </w:p>
        </w:tc>
        <w:tc>
          <w:tcPr>
            <w:tcW w:w="16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小城镇基础设施建设</w:t>
            </w:r>
          </w:p>
        </w:tc>
        <w:tc>
          <w:tcPr>
            <w:tcW w:w="16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4.00</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4.00</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8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2" w:hRule="atLeast"/>
        </w:trPr>
        <w:tc>
          <w:tcPr>
            <w:tcW w:w="80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21205</w:t>
            </w:r>
          </w:p>
        </w:tc>
        <w:tc>
          <w:tcPr>
            <w:tcW w:w="16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城乡社区环境卫生</w:t>
            </w:r>
          </w:p>
        </w:tc>
        <w:tc>
          <w:tcPr>
            <w:tcW w:w="16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6.16</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6.16</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8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2" w:hRule="atLeast"/>
        </w:trPr>
        <w:tc>
          <w:tcPr>
            <w:tcW w:w="80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2120501</w:t>
            </w:r>
          </w:p>
        </w:tc>
        <w:tc>
          <w:tcPr>
            <w:tcW w:w="16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城乡社区环境卫生</w:t>
            </w:r>
          </w:p>
        </w:tc>
        <w:tc>
          <w:tcPr>
            <w:tcW w:w="16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6.16</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6.16</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8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rPr>
          <w:trHeight w:val="452" w:hRule="atLeast"/>
        </w:trPr>
        <w:tc>
          <w:tcPr>
            <w:tcW w:w="80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w:t>
            </w:r>
          </w:p>
        </w:tc>
        <w:tc>
          <w:tcPr>
            <w:tcW w:w="16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农林水支出</w:t>
            </w:r>
          </w:p>
        </w:tc>
        <w:tc>
          <w:tcPr>
            <w:tcW w:w="16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29,524.03</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29,524.03</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8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2" w:hRule="atLeast"/>
        </w:trPr>
        <w:tc>
          <w:tcPr>
            <w:tcW w:w="80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21301</w:t>
            </w:r>
          </w:p>
        </w:tc>
        <w:tc>
          <w:tcPr>
            <w:tcW w:w="16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农业农村</w:t>
            </w:r>
          </w:p>
        </w:tc>
        <w:tc>
          <w:tcPr>
            <w:tcW w:w="16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12,715.34</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12,715.34</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8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2" w:hRule="atLeast"/>
        </w:trPr>
        <w:tc>
          <w:tcPr>
            <w:tcW w:w="80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2130101</w:t>
            </w:r>
          </w:p>
        </w:tc>
        <w:tc>
          <w:tcPr>
            <w:tcW w:w="16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6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977.90</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977.90</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8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2" w:hRule="atLeast"/>
        </w:trPr>
        <w:tc>
          <w:tcPr>
            <w:tcW w:w="80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2130106</w:t>
            </w:r>
          </w:p>
        </w:tc>
        <w:tc>
          <w:tcPr>
            <w:tcW w:w="16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科技转化与推广服务</w:t>
            </w:r>
          </w:p>
        </w:tc>
        <w:tc>
          <w:tcPr>
            <w:tcW w:w="16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215.16</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215.16</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8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2" w:hRule="atLeast"/>
        </w:trPr>
        <w:tc>
          <w:tcPr>
            <w:tcW w:w="80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2130108</w:t>
            </w:r>
          </w:p>
        </w:tc>
        <w:tc>
          <w:tcPr>
            <w:tcW w:w="16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病虫害控制</w:t>
            </w:r>
          </w:p>
        </w:tc>
        <w:tc>
          <w:tcPr>
            <w:tcW w:w="16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179.02</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179.02</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8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2" w:hRule="atLeast"/>
        </w:trPr>
        <w:tc>
          <w:tcPr>
            <w:tcW w:w="80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2130109</w:t>
            </w:r>
          </w:p>
        </w:tc>
        <w:tc>
          <w:tcPr>
            <w:tcW w:w="16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农产品质量安全</w:t>
            </w:r>
          </w:p>
        </w:tc>
        <w:tc>
          <w:tcPr>
            <w:tcW w:w="16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48.70</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48.70</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8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2" w:hRule="atLeast"/>
        </w:trPr>
        <w:tc>
          <w:tcPr>
            <w:tcW w:w="80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2130110</w:t>
            </w:r>
          </w:p>
        </w:tc>
        <w:tc>
          <w:tcPr>
            <w:tcW w:w="16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执法监管</w:t>
            </w:r>
          </w:p>
        </w:tc>
        <w:tc>
          <w:tcPr>
            <w:tcW w:w="16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26.50</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26.50</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8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2" w:hRule="atLeast"/>
        </w:trPr>
        <w:tc>
          <w:tcPr>
            <w:tcW w:w="80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2130122</w:t>
            </w:r>
          </w:p>
        </w:tc>
        <w:tc>
          <w:tcPr>
            <w:tcW w:w="16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农业生产发展</w:t>
            </w:r>
          </w:p>
        </w:tc>
        <w:tc>
          <w:tcPr>
            <w:tcW w:w="16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6,733.61</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6,733.61</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8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2" w:hRule="atLeast"/>
        </w:trPr>
        <w:tc>
          <w:tcPr>
            <w:tcW w:w="80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2130124</w:t>
            </w:r>
          </w:p>
        </w:tc>
        <w:tc>
          <w:tcPr>
            <w:tcW w:w="16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农村合作经济</w:t>
            </w:r>
          </w:p>
        </w:tc>
        <w:tc>
          <w:tcPr>
            <w:tcW w:w="16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60.00</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60.00</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8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2" w:hRule="atLeast"/>
        </w:trPr>
        <w:tc>
          <w:tcPr>
            <w:tcW w:w="80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2130125</w:t>
            </w:r>
          </w:p>
        </w:tc>
        <w:tc>
          <w:tcPr>
            <w:tcW w:w="16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农产品加工与促销</w:t>
            </w:r>
          </w:p>
        </w:tc>
        <w:tc>
          <w:tcPr>
            <w:tcW w:w="16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163.48</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163.48</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8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2" w:hRule="atLeast"/>
        </w:trPr>
        <w:tc>
          <w:tcPr>
            <w:tcW w:w="80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2130126</w:t>
            </w:r>
          </w:p>
        </w:tc>
        <w:tc>
          <w:tcPr>
            <w:tcW w:w="16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农村社会事业</w:t>
            </w:r>
          </w:p>
        </w:tc>
        <w:tc>
          <w:tcPr>
            <w:tcW w:w="16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15.00</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15.00</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8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2" w:hRule="atLeast"/>
        </w:trPr>
        <w:tc>
          <w:tcPr>
            <w:tcW w:w="80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2130135</w:t>
            </w:r>
          </w:p>
        </w:tc>
        <w:tc>
          <w:tcPr>
            <w:tcW w:w="16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农业资源保护修复与利用</w:t>
            </w:r>
          </w:p>
        </w:tc>
        <w:tc>
          <w:tcPr>
            <w:tcW w:w="16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655.33</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655.33</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8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2" w:hRule="atLeast"/>
        </w:trPr>
        <w:tc>
          <w:tcPr>
            <w:tcW w:w="80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2130199</w:t>
            </w:r>
          </w:p>
        </w:tc>
        <w:tc>
          <w:tcPr>
            <w:tcW w:w="16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其他农业农村支出</w:t>
            </w:r>
          </w:p>
        </w:tc>
        <w:tc>
          <w:tcPr>
            <w:tcW w:w="16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3,640.64</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3,640.64</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8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2" w:hRule="atLeast"/>
        </w:trPr>
        <w:tc>
          <w:tcPr>
            <w:tcW w:w="80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21305</w:t>
            </w:r>
          </w:p>
        </w:tc>
        <w:tc>
          <w:tcPr>
            <w:tcW w:w="16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扶贫</w:t>
            </w:r>
          </w:p>
        </w:tc>
        <w:tc>
          <w:tcPr>
            <w:tcW w:w="16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14,979.63</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14,979.63</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8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2" w:hRule="atLeast"/>
        </w:trPr>
        <w:tc>
          <w:tcPr>
            <w:tcW w:w="80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2130501</w:t>
            </w:r>
          </w:p>
        </w:tc>
        <w:tc>
          <w:tcPr>
            <w:tcW w:w="16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6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7.00</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7.00</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8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2" w:hRule="atLeast"/>
        </w:trPr>
        <w:tc>
          <w:tcPr>
            <w:tcW w:w="80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2130504</w:t>
            </w:r>
          </w:p>
        </w:tc>
        <w:tc>
          <w:tcPr>
            <w:tcW w:w="16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农村基础设施建设</w:t>
            </w:r>
          </w:p>
        </w:tc>
        <w:tc>
          <w:tcPr>
            <w:tcW w:w="16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3,202.95</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3,202.95</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8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2" w:hRule="atLeast"/>
        </w:trPr>
        <w:tc>
          <w:tcPr>
            <w:tcW w:w="80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2130505</w:t>
            </w:r>
          </w:p>
        </w:tc>
        <w:tc>
          <w:tcPr>
            <w:tcW w:w="16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生产发展</w:t>
            </w:r>
          </w:p>
        </w:tc>
        <w:tc>
          <w:tcPr>
            <w:tcW w:w="16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10,002.24</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10,002.24</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8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2" w:hRule="atLeast"/>
        </w:trPr>
        <w:tc>
          <w:tcPr>
            <w:tcW w:w="80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2130599</w:t>
            </w:r>
          </w:p>
        </w:tc>
        <w:tc>
          <w:tcPr>
            <w:tcW w:w="16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其他扶贫支出</w:t>
            </w:r>
          </w:p>
        </w:tc>
        <w:tc>
          <w:tcPr>
            <w:tcW w:w="16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1,767.44</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1,767.44</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8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2" w:hRule="atLeast"/>
        </w:trPr>
        <w:tc>
          <w:tcPr>
            <w:tcW w:w="80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21309</w:t>
            </w:r>
          </w:p>
        </w:tc>
        <w:tc>
          <w:tcPr>
            <w:tcW w:w="16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目标价格补贴</w:t>
            </w:r>
          </w:p>
        </w:tc>
        <w:tc>
          <w:tcPr>
            <w:tcW w:w="16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1,733.19</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1,733.19</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8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2" w:hRule="atLeast"/>
        </w:trPr>
        <w:tc>
          <w:tcPr>
            <w:tcW w:w="80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2130999</w:t>
            </w:r>
          </w:p>
        </w:tc>
        <w:tc>
          <w:tcPr>
            <w:tcW w:w="16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其他目标价格补贴</w:t>
            </w:r>
          </w:p>
        </w:tc>
        <w:tc>
          <w:tcPr>
            <w:tcW w:w="16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1,733.19</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1,733.19</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8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2" w:hRule="atLeast"/>
        </w:trPr>
        <w:tc>
          <w:tcPr>
            <w:tcW w:w="80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21399</w:t>
            </w:r>
          </w:p>
        </w:tc>
        <w:tc>
          <w:tcPr>
            <w:tcW w:w="16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其他农林水支出</w:t>
            </w:r>
          </w:p>
        </w:tc>
        <w:tc>
          <w:tcPr>
            <w:tcW w:w="16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95.88</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95.88</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8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2" w:hRule="atLeast"/>
        </w:trPr>
        <w:tc>
          <w:tcPr>
            <w:tcW w:w="80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2139999</w:t>
            </w:r>
          </w:p>
        </w:tc>
        <w:tc>
          <w:tcPr>
            <w:tcW w:w="16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其他农林水支出</w:t>
            </w:r>
          </w:p>
        </w:tc>
        <w:tc>
          <w:tcPr>
            <w:tcW w:w="16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95.88</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95.88</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8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2" w:hRule="atLeast"/>
        </w:trPr>
        <w:tc>
          <w:tcPr>
            <w:tcW w:w="80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216</w:t>
            </w:r>
          </w:p>
        </w:tc>
        <w:tc>
          <w:tcPr>
            <w:tcW w:w="16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商业服务业等支出</w:t>
            </w:r>
          </w:p>
        </w:tc>
        <w:tc>
          <w:tcPr>
            <w:tcW w:w="16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5.00</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5.00</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8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2" w:hRule="atLeast"/>
        </w:trPr>
        <w:tc>
          <w:tcPr>
            <w:tcW w:w="80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21602</w:t>
            </w:r>
          </w:p>
        </w:tc>
        <w:tc>
          <w:tcPr>
            <w:tcW w:w="16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商业流通事务</w:t>
            </w:r>
          </w:p>
        </w:tc>
        <w:tc>
          <w:tcPr>
            <w:tcW w:w="16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5.00</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5.00</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8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2" w:hRule="atLeast"/>
        </w:trPr>
        <w:tc>
          <w:tcPr>
            <w:tcW w:w="80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2160201</w:t>
            </w:r>
          </w:p>
        </w:tc>
        <w:tc>
          <w:tcPr>
            <w:tcW w:w="16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6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5.00</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5.00</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8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2" w:hRule="atLeast"/>
        </w:trPr>
        <w:tc>
          <w:tcPr>
            <w:tcW w:w="80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217</w:t>
            </w:r>
          </w:p>
        </w:tc>
        <w:tc>
          <w:tcPr>
            <w:tcW w:w="16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金融支出</w:t>
            </w:r>
          </w:p>
        </w:tc>
        <w:tc>
          <w:tcPr>
            <w:tcW w:w="16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60.00</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60.00</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8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2" w:hRule="atLeast"/>
        </w:trPr>
        <w:tc>
          <w:tcPr>
            <w:tcW w:w="80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21703</w:t>
            </w:r>
          </w:p>
        </w:tc>
        <w:tc>
          <w:tcPr>
            <w:tcW w:w="16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金融发展支出</w:t>
            </w:r>
          </w:p>
        </w:tc>
        <w:tc>
          <w:tcPr>
            <w:tcW w:w="16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60.00</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60.00</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8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2" w:hRule="atLeast"/>
        </w:trPr>
        <w:tc>
          <w:tcPr>
            <w:tcW w:w="80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2170399</w:t>
            </w:r>
          </w:p>
        </w:tc>
        <w:tc>
          <w:tcPr>
            <w:tcW w:w="16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其他金融发展支出</w:t>
            </w:r>
          </w:p>
        </w:tc>
        <w:tc>
          <w:tcPr>
            <w:tcW w:w="16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60.00</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60.00</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8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2" w:hRule="atLeast"/>
        </w:trPr>
        <w:tc>
          <w:tcPr>
            <w:tcW w:w="80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221</w:t>
            </w:r>
          </w:p>
        </w:tc>
        <w:tc>
          <w:tcPr>
            <w:tcW w:w="16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住房保障支出</w:t>
            </w:r>
          </w:p>
        </w:tc>
        <w:tc>
          <w:tcPr>
            <w:tcW w:w="16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43.19</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43.19</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8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2" w:hRule="atLeast"/>
        </w:trPr>
        <w:tc>
          <w:tcPr>
            <w:tcW w:w="80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22102</w:t>
            </w:r>
          </w:p>
        </w:tc>
        <w:tc>
          <w:tcPr>
            <w:tcW w:w="16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住房改革支出</w:t>
            </w:r>
          </w:p>
        </w:tc>
        <w:tc>
          <w:tcPr>
            <w:tcW w:w="16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43.19</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43.19</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8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2" w:hRule="atLeast"/>
        </w:trPr>
        <w:tc>
          <w:tcPr>
            <w:tcW w:w="80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2210201</w:t>
            </w:r>
          </w:p>
        </w:tc>
        <w:tc>
          <w:tcPr>
            <w:tcW w:w="16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6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43.19</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43.19</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8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2" w:hRule="atLeast"/>
        </w:trPr>
        <w:tc>
          <w:tcPr>
            <w:tcW w:w="80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222</w:t>
            </w:r>
          </w:p>
        </w:tc>
        <w:tc>
          <w:tcPr>
            <w:tcW w:w="16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粮油物资储备支出</w:t>
            </w:r>
          </w:p>
        </w:tc>
        <w:tc>
          <w:tcPr>
            <w:tcW w:w="16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409.75</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409.75</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8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2" w:hRule="atLeast"/>
        </w:trPr>
        <w:tc>
          <w:tcPr>
            <w:tcW w:w="80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22201</w:t>
            </w:r>
          </w:p>
        </w:tc>
        <w:tc>
          <w:tcPr>
            <w:tcW w:w="16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粮油物资事务</w:t>
            </w:r>
          </w:p>
        </w:tc>
        <w:tc>
          <w:tcPr>
            <w:tcW w:w="16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409.75</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409.75</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8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2" w:hRule="atLeast"/>
        </w:trPr>
        <w:tc>
          <w:tcPr>
            <w:tcW w:w="80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2220115</w:t>
            </w:r>
          </w:p>
        </w:tc>
        <w:tc>
          <w:tcPr>
            <w:tcW w:w="16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粮食风险基金</w:t>
            </w:r>
          </w:p>
        </w:tc>
        <w:tc>
          <w:tcPr>
            <w:tcW w:w="16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189.00</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189.00</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8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2" w:hRule="atLeast"/>
        </w:trPr>
        <w:tc>
          <w:tcPr>
            <w:tcW w:w="80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2220199</w:t>
            </w:r>
          </w:p>
        </w:tc>
        <w:tc>
          <w:tcPr>
            <w:tcW w:w="16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其他粮油物资事务支出</w:t>
            </w:r>
          </w:p>
        </w:tc>
        <w:tc>
          <w:tcPr>
            <w:tcW w:w="16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220.75</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220.75</w:t>
            </w: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8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2" w:hRule="atLeast"/>
        </w:trPr>
        <w:tc>
          <w:tcPr>
            <w:tcW w:w="15196" w:type="dxa"/>
            <w:gridSpan w:val="11"/>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tbl>
      <w:tblPr>
        <w:tblStyle w:val="11"/>
        <w:tblW w:w="157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16"/>
        <w:gridCol w:w="222"/>
        <w:gridCol w:w="222"/>
        <w:gridCol w:w="4176"/>
        <w:gridCol w:w="1772"/>
        <w:gridCol w:w="1640"/>
        <w:gridCol w:w="1772"/>
        <w:gridCol w:w="850"/>
        <w:gridCol w:w="850"/>
        <w:gridCol w:w="1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5720" w:type="dxa"/>
            <w:gridSpan w:val="10"/>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部门：溆浦县农业农村局</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8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8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8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8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8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8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8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31,855.88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3,071.47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28,784.41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纪检监察事务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广播电视教育</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2050501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广播电视学校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技术研究与开发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2060404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科技成果转化与扩散</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215.75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215.75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引进人才费用</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其他人力资源和社会保障管理事务支出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民政管理事务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其他民政管理事务支出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101.11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101.11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98.95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98.95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98.95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98.95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退役军人管理事务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其他退役军人事务管理支出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52.45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52.45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52.45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52.45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46.77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46.77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1,495.54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1,472.16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自然生态保护</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1,472.16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1,472.16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农村环境保护</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1,472.16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1,472.16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污染减排</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2111101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生态环境监测与信息</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城乡社区公共设施</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小城镇基础设施建设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城乡社区环境卫生</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2120501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城乡社区环境卫生</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29,524.03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2,621.53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26,902.51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12,715.34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2,340.15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10,375.18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977.90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977.90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科技转化与推广服务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病虫害控制</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179.02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农产品质量安全</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48.70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48.70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执法监管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农业生产发展</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6,733.61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6,733.61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农村合作经济</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农产品加工与促销</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163.48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农村社会事业</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2130135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农业资源保护修复与利用</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655.33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655.33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其他农业农村支出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3,640.64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754.40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2,886.24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扶贫</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14,979.63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14,794.13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农村基础设施建设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3,202.95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3,202.95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生产发展</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10,002.24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10,002.24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其他扶贫支出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1,767.44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1,588.94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目标价格补贴</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1,733.19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1,733.19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其他目标价格补贴</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1,733.19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1,733.19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95.88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95.88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其他农林水支出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95.88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95.88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商业服务业等支出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商业流通事务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金融支出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金融发展支出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2170399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其他金融发展支出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粮油物资储备支出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409.75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409.75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409.75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409.75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2220115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粮食风险基金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其他粮油物资事务支出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220.75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220.75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tbl>
      <w:tblPr>
        <w:tblStyle w:val="11"/>
        <w:tblW w:w="150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70"/>
        <w:gridCol w:w="570"/>
        <w:gridCol w:w="1680"/>
        <w:gridCol w:w="3516"/>
        <w:gridCol w:w="570"/>
        <w:gridCol w:w="1206"/>
        <w:gridCol w:w="1680"/>
        <w:gridCol w:w="924"/>
        <w:gridCol w:w="1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5075" w:type="dxa"/>
            <w:gridSpan w:val="9"/>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bookmarkStart w:id="0" w:name="RANGE!A1:I22"/>
            <w:bookmarkEnd w:id="0"/>
            <w:bookmarkStart w:id="1" w:name="RANGE!A1:F16"/>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部门：溆浦县农业农村局</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327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68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214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68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68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8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270" w:type="dxa"/>
            <w:vMerge w:val="continue"/>
            <w:tcBorders>
              <w:top w:val="nil"/>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000000"/>
                <w:sz w:val="22"/>
                <w:szCs w:val="22"/>
                <w:u w:val="none"/>
              </w:rPr>
            </w:pPr>
          </w:p>
        </w:tc>
        <w:tc>
          <w:tcPr>
            <w:tcW w:w="2145" w:type="dxa"/>
            <w:vMerge w:val="continue"/>
            <w:tcBorders>
              <w:top w:val="nil"/>
              <w:left w:val="nil"/>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000000"/>
                <w:sz w:val="22"/>
                <w:szCs w:val="22"/>
                <w:u w:val="none"/>
              </w:rPr>
            </w:pPr>
          </w:p>
        </w:tc>
        <w:tc>
          <w:tcPr>
            <w:tcW w:w="1800" w:type="dxa"/>
            <w:vMerge w:val="continue"/>
            <w:tcBorders>
              <w:top w:val="nil"/>
              <w:left w:val="nil"/>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31,855.88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auto"/>
            <w:noWrap/>
            <w:vAlign w:val="center"/>
          </w:tcPr>
          <w:p>
            <w:pPr>
              <w:shd w:val="clea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auto"/>
            <w:noWrap/>
            <w:vAlign w:val="center"/>
          </w:tcPr>
          <w:p>
            <w:pPr>
              <w:shd w:val="clea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17.60</w:t>
            </w: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auto"/>
            <w:noWrap/>
            <w:vAlign w:val="center"/>
          </w:tcPr>
          <w:p>
            <w:pPr>
              <w:shd w:val="clea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auto"/>
            <w:noWrap/>
            <w:vAlign w:val="center"/>
          </w:tcPr>
          <w:p>
            <w:pPr>
              <w:shd w:val="clea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auto"/>
            <w:noWrap/>
            <w:vAlign w:val="center"/>
          </w:tcPr>
          <w:p>
            <w:pPr>
              <w:shd w:val="clea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215.75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215.75</w:t>
            </w: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auto"/>
            <w:noWrap/>
            <w:vAlign w:val="center"/>
          </w:tcPr>
          <w:p>
            <w:pPr>
              <w:shd w:val="clea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52.45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52.45</w:t>
            </w: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auto"/>
            <w:noWrap/>
            <w:vAlign w:val="center"/>
          </w:tcPr>
          <w:p>
            <w:pPr>
              <w:shd w:val="clea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1,495.54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1,495.54</w:t>
            </w: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auto"/>
            <w:noWrap/>
            <w:vAlign w:val="center"/>
          </w:tcPr>
          <w:p>
            <w:pPr>
              <w:shd w:val="clea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10.16</w:t>
            </w: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auto"/>
            <w:noWrap/>
            <w:vAlign w:val="center"/>
          </w:tcPr>
          <w:p>
            <w:pPr>
              <w:shd w:val="clea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29,524.03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29,524.03</w:t>
            </w: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auto"/>
            <w:noWrap/>
            <w:vAlign w:val="center"/>
          </w:tcPr>
          <w:p>
            <w:pPr>
              <w:shd w:val="clea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auto"/>
            <w:noWrap/>
            <w:vAlign w:val="center"/>
          </w:tcPr>
          <w:p>
            <w:pPr>
              <w:shd w:val="clea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auto"/>
            <w:noWrap/>
            <w:vAlign w:val="center"/>
          </w:tcPr>
          <w:p>
            <w:pPr>
              <w:shd w:val="clea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auto"/>
            <w:noWrap/>
            <w:vAlign w:val="center"/>
          </w:tcPr>
          <w:p>
            <w:pPr>
              <w:shd w:val="clea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auto"/>
            <w:noWrap/>
            <w:vAlign w:val="center"/>
          </w:tcPr>
          <w:p>
            <w:pPr>
              <w:shd w:val="clea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auto"/>
            <w:noWrap/>
            <w:vAlign w:val="center"/>
          </w:tcPr>
          <w:p>
            <w:pPr>
              <w:shd w:val="clea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auto"/>
            <w:noWrap/>
            <w:vAlign w:val="center"/>
          </w:tcPr>
          <w:p>
            <w:pPr>
              <w:shd w:val="clea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43.19</w:t>
            </w: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auto"/>
            <w:noWrap/>
            <w:vAlign w:val="center"/>
          </w:tcPr>
          <w:p>
            <w:pPr>
              <w:shd w:val="clea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409.75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409.75</w:t>
            </w: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auto"/>
            <w:noWrap/>
            <w:vAlign w:val="center"/>
          </w:tcPr>
          <w:p>
            <w:pPr>
              <w:shd w:val="clea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auto"/>
            <w:noWrap/>
            <w:vAlign w:val="center"/>
          </w:tcPr>
          <w:p>
            <w:pPr>
              <w:shd w:val="clea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auto"/>
            <w:noWrap/>
            <w:vAlign w:val="center"/>
          </w:tcPr>
          <w:p>
            <w:pPr>
              <w:shd w:val="clea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auto"/>
            <w:noWrap/>
            <w:vAlign w:val="center"/>
          </w:tcPr>
          <w:p>
            <w:pPr>
              <w:shd w:val="clea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auto"/>
            <w:noWrap/>
            <w:vAlign w:val="center"/>
          </w:tcPr>
          <w:p>
            <w:pPr>
              <w:shd w:val="clea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auto"/>
            <w:noWrap/>
            <w:vAlign w:val="center"/>
          </w:tcPr>
          <w:p>
            <w:pPr>
              <w:shd w:val="clea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31,855.88</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31,855.88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31,855.88</w:t>
            </w: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9.81</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9.81</w:t>
            </w: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9.81</w:t>
            </w:r>
          </w:p>
        </w:tc>
        <w:tc>
          <w:tcPr>
            <w:tcW w:w="0" w:type="auto"/>
            <w:tcBorders>
              <w:top w:val="nil"/>
              <w:left w:val="nil"/>
              <w:bottom w:val="single" w:color="000000" w:sz="4" w:space="0"/>
              <w:right w:val="single" w:color="000000" w:sz="4" w:space="0"/>
            </w:tcBorders>
            <w:shd w:val="clear" w:color="FFFFFF" w:fill="auto"/>
            <w:noWrap/>
            <w:vAlign w:val="center"/>
          </w:tcPr>
          <w:p>
            <w:pPr>
              <w:shd w:val="clea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auto"/>
            <w:noWrap/>
            <w:vAlign w:val="center"/>
          </w:tcPr>
          <w:p>
            <w:pPr>
              <w:shd w:val="clea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auto"/>
            <w:noWrap/>
            <w:vAlign w:val="center"/>
          </w:tcPr>
          <w:p>
            <w:pPr>
              <w:shd w:val="clea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31,865.69</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31,865.69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31,865.69</w:t>
            </w: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8"/>
            <w:tcBorders>
              <w:top w:val="nil"/>
              <w:left w:val="nil"/>
              <w:bottom w:val="nil"/>
              <w:right w:val="nil"/>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0" w:type="auto"/>
            <w:tcBorders>
              <w:top w:val="nil"/>
              <w:left w:val="nil"/>
              <w:bottom w:val="nil"/>
              <w:right w:val="nil"/>
            </w:tcBorders>
            <w:shd w:val="clear" w:color="auto" w:fill="auto"/>
            <w:noWrap/>
            <w:vAlign w:val="center"/>
          </w:tcPr>
          <w:p>
            <w:pPr>
              <w:shd w:val="clear"/>
              <w:jc w:val="left"/>
              <w:rPr>
                <w:rFonts w:hint="eastAsia" w:ascii="宋体" w:hAnsi="宋体" w:eastAsia="宋体" w:cs="宋体"/>
                <w:i w:val="0"/>
                <w:iCs w:val="0"/>
                <w:color w:val="000000"/>
                <w:sz w:val="20"/>
                <w:szCs w:val="20"/>
                <w:u w:val="none"/>
              </w:rPr>
            </w:pPr>
          </w:p>
        </w:tc>
      </w:tr>
    </w:tbl>
    <w:p>
      <w:pPr>
        <w:widowControl/>
        <w:shd w:val="clear"/>
        <w:jc w:val="center"/>
        <w:rPr>
          <w:rFonts w:ascii="Times New Roman" w:hAnsi="Times New Roman" w:eastAsia="方正小标宋_GBK" w:cs="Times New Roman"/>
          <w:kern w:val="0"/>
          <w:sz w:val="36"/>
          <w:szCs w:val="36"/>
        </w:rPr>
      </w:pPr>
    </w:p>
    <w:p>
      <w:pPr>
        <w:widowControl/>
        <w:shd w:val="clear"/>
        <w:jc w:val="center"/>
        <w:rPr>
          <w:rFonts w:ascii="Times New Roman" w:hAnsi="Times New Roman" w:eastAsia="方正小标宋_GBK" w:cs="Times New Roman"/>
          <w:kern w:val="0"/>
          <w:sz w:val="36"/>
          <w:szCs w:val="36"/>
        </w:rPr>
      </w:pPr>
    </w:p>
    <w:p>
      <w:pPr>
        <w:widowControl/>
        <w:shd w:val="clear"/>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tbl>
      <w:tblPr>
        <w:tblStyle w:val="11"/>
        <w:tblW w:w="14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416"/>
        <w:gridCol w:w="222"/>
        <w:gridCol w:w="222"/>
        <w:gridCol w:w="4176"/>
        <w:gridCol w:w="2097"/>
        <w:gridCol w:w="1800"/>
        <w:gridCol w:w="36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570" w:type="dxa"/>
            <w:gridSpan w:val="7"/>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Times New Roman" w:hAnsi="Times New Roman" w:eastAsia="方正小标宋_GBK" w:cs="Times New Roman"/>
                <w:kern w:val="0"/>
                <w:sz w:val="36"/>
                <w:szCs w:val="36"/>
                <w:lang w:val="en-US" w:eastAsia="zh-CN"/>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16" w:type="dxa"/>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17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097"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80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637"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1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部门：溆浦县农业农村局</w:t>
            </w:r>
          </w:p>
        </w:tc>
        <w:tc>
          <w:tcPr>
            <w:tcW w:w="22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17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097"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80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637"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3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5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60"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4176" w:type="dxa"/>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09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8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36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286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76" w:type="dxa"/>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9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6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76" w:type="dxa"/>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9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036"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0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6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036"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0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31,855.88</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3,071.47</w:t>
            </w:r>
          </w:p>
        </w:tc>
        <w:tc>
          <w:tcPr>
            <w:tcW w:w="36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28,784.41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20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363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w:t>
            </w:r>
          </w:p>
        </w:tc>
        <w:tc>
          <w:tcPr>
            <w:tcW w:w="4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纪检监察事务</w:t>
            </w:r>
          </w:p>
        </w:tc>
        <w:tc>
          <w:tcPr>
            <w:tcW w:w="20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363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2011101</w:t>
            </w:r>
          </w:p>
        </w:tc>
        <w:tc>
          <w:tcPr>
            <w:tcW w:w="4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20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363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4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20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17.60</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17.60</w:t>
            </w:r>
          </w:p>
        </w:tc>
        <w:tc>
          <w:tcPr>
            <w:tcW w:w="363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20505</w:t>
            </w:r>
          </w:p>
        </w:tc>
        <w:tc>
          <w:tcPr>
            <w:tcW w:w="4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广播电视教育</w:t>
            </w:r>
          </w:p>
        </w:tc>
        <w:tc>
          <w:tcPr>
            <w:tcW w:w="20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17.60</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17.60</w:t>
            </w:r>
          </w:p>
        </w:tc>
        <w:tc>
          <w:tcPr>
            <w:tcW w:w="363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2050501</w:t>
            </w:r>
          </w:p>
        </w:tc>
        <w:tc>
          <w:tcPr>
            <w:tcW w:w="4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广播电视学校</w:t>
            </w:r>
          </w:p>
        </w:tc>
        <w:tc>
          <w:tcPr>
            <w:tcW w:w="20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17.60</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17.60</w:t>
            </w:r>
          </w:p>
        </w:tc>
        <w:tc>
          <w:tcPr>
            <w:tcW w:w="363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4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科学技术支出</w:t>
            </w:r>
          </w:p>
        </w:tc>
        <w:tc>
          <w:tcPr>
            <w:tcW w:w="20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363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20604</w:t>
            </w:r>
          </w:p>
        </w:tc>
        <w:tc>
          <w:tcPr>
            <w:tcW w:w="4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技术研究与开发</w:t>
            </w:r>
          </w:p>
        </w:tc>
        <w:tc>
          <w:tcPr>
            <w:tcW w:w="20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363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2060404</w:t>
            </w:r>
          </w:p>
        </w:tc>
        <w:tc>
          <w:tcPr>
            <w:tcW w:w="4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科技成果转化与扩散</w:t>
            </w:r>
          </w:p>
        </w:tc>
        <w:tc>
          <w:tcPr>
            <w:tcW w:w="20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363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0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215.75</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215.75</w:t>
            </w:r>
          </w:p>
        </w:tc>
        <w:tc>
          <w:tcPr>
            <w:tcW w:w="363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w:t>
            </w:r>
          </w:p>
        </w:tc>
        <w:tc>
          <w:tcPr>
            <w:tcW w:w="4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20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12.11</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12.11</w:t>
            </w:r>
          </w:p>
        </w:tc>
        <w:tc>
          <w:tcPr>
            <w:tcW w:w="363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28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2080116</w:t>
            </w:r>
          </w:p>
        </w:tc>
        <w:tc>
          <w:tcPr>
            <w:tcW w:w="4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引进人才费用</w:t>
            </w:r>
          </w:p>
        </w:tc>
        <w:tc>
          <w:tcPr>
            <w:tcW w:w="20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w:t>
            </w:r>
          </w:p>
        </w:tc>
        <w:tc>
          <w:tcPr>
            <w:tcW w:w="363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2080199</w:t>
            </w:r>
          </w:p>
        </w:tc>
        <w:tc>
          <w:tcPr>
            <w:tcW w:w="4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其他人力资源和社会保障管理事务支出</w:t>
            </w:r>
          </w:p>
        </w:tc>
        <w:tc>
          <w:tcPr>
            <w:tcW w:w="20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5.71</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5.71</w:t>
            </w:r>
          </w:p>
        </w:tc>
        <w:tc>
          <w:tcPr>
            <w:tcW w:w="363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w:t>
            </w:r>
          </w:p>
        </w:tc>
        <w:tc>
          <w:tcPr>
            <w:tcW w:w="4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民政管理事务</w:t>
            </w:r>
          </w:p>
        </w:tc>
        <w:tc>
          <w:tcPr>
            <w:tcW w:w="20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3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2080299</w:t>
            </w:r>
          </w:p>
        </w:tc>
        <w:tc>
          <w:tcPr>
            <w:tcW w:w="4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其他民政管理事务支出</w:t>
            </w:r>
          </w:p>
        </w:tc>
        <w:tc>
          <w:tcPr>
            <w:tcW w:w="20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3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20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101.11</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101.11</w:t>
            </w:r>
          </w:p>
        </w:tc>
        <w:tc>
          <w:tcPr>
            <w:tcW w:w="363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20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101.11</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101.11</w:t>
            </w:r>
          </w:p>
        </w:tc>
        <w:tc>
          <w:tcPr>
            <w:tcW w:w="363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4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20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98.95</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98.95</w:t>
            </w:r>
          </w:p>
        </w:tc>
        <w:tc>
          <w:tcPr>
            <w:tcW w:w="363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4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20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98.95</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98.95</w:t>
            </w:r>
          </w:p>
        </w:tc>
        <w:tc>
          <w:tcPr>
            <w:tcW w:w="363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w:t>
            </w:r>
          </w:p>
        </w:tc>
        <w:tc>
          <w:tcPr>
            <w:tcW w:w="4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退役军人管理事务</w:t>
            </w:r>
          </w:p>
        </w:tc>
        <w:tc>
          <w:tcPr>
            <w:tcW w:w="20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w:t>
            </w:r>
          </w:p>
        </w:tc>
        <w:tc>
          <w:tcPr>
            <w:tcW w:w="363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2082899</w:t>
            </w:r>
          </w:p>
        </w:tc>
        <w:tc>
          <w:tcPr>
            <w:tcW w:w="4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其他退役军人事务管理支出</w:t>
            </w:r>
          </w:p>
        </w:tc>
        <w:tc>
          <w:tcPr>
            <w:tcW w:w="20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w:t>
            </w:r>
          </w:p>
        </w:tc>
        <w:tc>
          <w:tcPr>
            <w:tcW w:w="363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20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52.45</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52.45</w:t>
            </w:r>
          </w:p>
        </w:tc>
        <w:tc>
          <w:tcPr>
            <w:tcW w:w="363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4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20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52.45</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52.45</w:t>
            </w:r>
          </w:p>
        </w:tc>
        <w:tc>
          <w:tcPr>
            <w:tcW w:w="363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4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20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46.77</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46.77</w:t>
            </w:r>
          </w:p>
        </w:tc>
        <w:tc>
          <w:tcPr>
            <w:tcW w:w="363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4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20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w:t>
            </w:r>
          </w:p>
        </w:tc>
        <w:tc>
          <w:tcPr>
            <w:tcW w:w="363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4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20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1,495.54</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23.38</w:t>
            </w:r>
          </w:p>
        </w:tc>
        <w:tc>
          <w:tcPr>
            <w:tcW w:w="36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w:t>
            </w:r>
          </w:p>
        </w:tc>
        <w:tc>
          <w:tcPr>
            <w:tcW w:w="4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自然生态保护</w:t>
            </w:r>
          </w:p>
        </w:tc>
        <w:tc>
          <w:tcPr>
            <w:tcW w:w="20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1,472.16</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6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2110402</w:t>
            </w:r>
          </w:p>
        </w:tc>
        <w:tc>
          <w:tcPr>
            <w:tcW w:w="4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农村环境保护</w:t>
            </w:r>
          </w:p>
        </w:tc>
        <w:tc>
          <w:tcPr>
            <w:tcW w:w="20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1,472.16</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6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21111</w:t>
            </w:r>
          </w:p>
        </w:tc>
        <w:tc>
          <w:tcPr>
            <w:tcW w:w="4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污染减排</w:t>
            </w:r>
          </w:p>
        </w:tc>
        <w:tc>
          <w:tcPr>
            <w:tcW w:w="20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23.38</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23.38</w:t>
            </w:r>
          </w:p>
        </w:tc>
        <w:tc>
          <w:tcPr>
            <w:tcW w:w="363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2111101</w:t>
            </w:r>
          </w:p>
        </w:tc>
        <w:tc>
          <w:tcPr>
            <w:tcW w:w="4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生态环境监测与信息</w:t>
            </w:r>
          </w:p>
        </w:tc>
        <w:tc>
          <w:tcPr>
            <w:tcW w:w="20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23.38</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23.38</w:t>
            </w:r>
          </w:p>
        </w:tc>
        <w:tc>
          <w:tcPr>
            <w:tcW w:w="363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4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20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10.16</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10.16</w:t>
            </w:r>
          </w:p>
        </w:tc>
        <w:tc>
          <w:tcPr>
            <w:tcW w:w="363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w:t>
            </w:r>
          </w:p>
        </w:tc>
        <w:tc>
          <w:tcPr>
            <w:tcW w:w="4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城乡社区公共设施</w:t>
            </w:r>
          </w:p>
        </w:tc>
        <w:tc>
          <w:tcPr>
            <w:tcW w:w="20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363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2120303</w:t>
            </w:r>
          </w:p>
        </w:tc>
        <w:tc>
          <w:tcPr>
            <w:tcW w:w="4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小城镇基础设施建设</w:t>
            </w:r>
          </w:p>
        </w:tc>
        <w:tc>
          <w:tcPr>
            <w:tcW w:w="20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363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21205</w:t>
            </w:r>
          </w:p>
        </w:tc>
        <w:tc>
          <w:tcPr>
            <w:tcW w:w="4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城乡社区环境卫生</w:t>
            </w:r>
          </w:p>
        </w:tc>
        <w:tc>
          <w:tcPr>
            <w:tcW w:w="20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6.16</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6.16</w:t>
            </w:r>
          </w:p>
        </w:tc>
        <w:tc>
          <w:tcPr>
            <w:tcW w:w="363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2120501</w:t>
            </w:r>
          </w:p>
        </w:tc>
        <w:tc>
          <w:tcPr>
            <w:tcW w:w="4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城乡社区环境卫生</w:t>
            </w:r>
          </w:p>
        </w:tc>
        <w:tc>
          <w:tcPr>
            <w:tcW w:w="20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6.16</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6.16</w:t>
            </w:r>
          </w:p>
        </w:tc>
        <w:tc>
          <w:tcPr>
            <w:tcW w:w="363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4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20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29,524.03</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2,621.53</w:t>
            </w:r>
          </w:p>
        </w:tc>
        <w:tc>
          <w:tcPr>
            <w:tcW w:w="36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26,902.51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4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20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12,715.34</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2,340.15</w:t>
            </w:r>
          </w:p>
        </w:tc>
        <w:tc>
          <w:tcPr>
            <w:tcW w:w="36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10,375.18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2130101</w:t>
            </w:r>
          </w:p>
        </w:tc>
        <w:tc>
          <w:tcPr>
            <w:tcW w:w="4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20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977.90</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977.90</w:t>
            </w:r>
          </w:p>
        </w:tc>
        <w:tc>
          <w:tcPr>
            <w:tcW w:w="363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2130106</w:t>
            </w:r>
          </w:p>
        </w:tc>
        <w:tc>
          <w:tcPr>
            <w:tcW w:w="4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科技转化与推广服务</w:t>
            </w:r>
          </w:p>
        </w:tc>
        <w:tc>
          <w:tcPr>
            <w:tcW w:w="20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215.16</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115.16</w:t>
            </w:r>
          </w:p>
        </w:tc>
        <w:tc>
          <w:tcPr>
            <w:tcW w:w="36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2130108</w:t>
            </w:r>
          </w:p>
        </w:tc>
        <w:tc>
          <w:tcPr>
            <w:tcW w:w="4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病虫害控制</w:t>
            </w:r>
          </w:p>
        </w:tc>
        <w:tc>
          <w:tcPr>
            <w:tcW w:w="20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179.02</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179.02</w:t>
            </w:r>
          </w:p>
        </w:tc>
        <w:tc>
          <w:tcPr>
            <w:tcW w:w="363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2130109</w:t>
            </w:r>
          </w:p>
        </w:tc>
        <w:tc>
          <w:tcPr>
            <w:tcW w:w="4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农产品质量安全</w:t>
            </w:r>
          </w:p>
        </w:tc>
        <w:tc>
          <w:tcPr>
            <w:tcW w:w="20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48.70</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48.70</w:t>
            </w:r>
          </w:p>
        </w:tc>
        <w:tc>
          <w:tcPr>
            <w:tcW w:w="363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2130110</w:t>
            </w:r>
          </w:p>
        </w:tc>
        <w:tc>
          <w:tcPr>
            <w:tcW w:w="4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执法监管</w:t>
            </w:r>
          </w:p>
        </w:tc>
        <w:tc>
          <w:tcPr>
            <w:tcW w:w="20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26.50</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26.50</w:t>
            </w:r>
          </w:p>
        </w:tc>
        <w:tc>
          <w:tcPr>
            <w:tcW w:w="363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2130122</w:t>
            </w:r>
          </w:p>
        </w:tc>
        <w:tc>
          <w:tcPr>
            <w:tcW w:w="4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农业生产发展</w:t>
            </w:r>
          </w:p>
        </w:tc>
        <w:tc>
          <w:tcPr>
            <w:tcW w:w="20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6,733.61</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6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6,733.61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2130124</w:t>
            </w:r>
          </w:p>
        </w:tc>
        <w:tc>
          <w:tcPr>
            <w:tcW w:w="4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农村合作经济</w:t>
            </w:r>
          </w:p>
        </w:tc>
        <w:tc>
          <w:tcPr>
            <w:tcW w:w="20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363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2130125</w:t>
            </w:r>
          </w:p>
        </w:tc>
        <w:tc>
          <w:tcPr>
            <w:tcW w:w="4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农产品加工与促销</w:t>
            </w:r>
          </w:p>
        </w:tc>
        <w:tc>
          <w:tcPr>
            <w:tcW w:w="20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163.48</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163.48</w:t>
            </w:r>
          </w:p>
        </w:tc>
        <w:tc>
          <w:tcPr>
            <w:tcW w:w="363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2130126</w:t>
            </w:r>
          </w:p>
        </w:tc>
        <w:tc>
          <w:tcPr>
            <w:tcW w:w="4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农村社会事业</w:t>
            </w:r>
          </w:p>
        </w:tc>
        <w:tc>
          <w:tcPr>
            <w:tcW w:w="20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363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2130135</w:t>
            </w:r>
          </w:p>
        </w:tc>
        <w:tc>
          <w:tcPr>
            <w:tcW w:w="4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农业资源保护修复与利用</w:t>
            </w:r>
          </w:p>
        </w:tc>
        <w:tc>
          <w:tcPr>
            <w:tcW w:w="20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655.33</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6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655.33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4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其他农业农村支出</w:t>
            </w:r>
          </w:p>
        </w:tc>
        <w:tc>
          <w:tcPr>
            <w:tcW w:w="20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3,640.64</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754.40</w:t>
            </w:r>
          </w:p>
        </w:tc>
        <w:tc>
          <w:tcPr>
            <w:tcW w:w="36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2,886.24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4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扶贫</w:t>
            </w:r>
          </w:p>
        </w:tc>
        <w:tc>
          <w:tcPr>
            <w:tcW w:w="20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14,979.63</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185.50</w:t>
            </w:r>
          </w:p>
        </w:tc>
        <w:tc>
          <w:tcPr>
            <w:tcW w:w="36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14,794.13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2130501</w:t>
            </w:r>
          </w:p>
        </w:tc>
        <w:tc>
          <w:tcPr>
            <w:tcW w:w="4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20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363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2130504</w:t>
            </w:r>
          </w:p>
        </w:tc>
        <w:tc>
          <w:tcPr>
            <w:tcW w:w="4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农村基础设施建设</w:t>
            </w:r>
          </w:p>
        </w:tc>
        <w:tc>
          <w:tcPr>
            <w:tcW w:w="20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3,202.95</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6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3,202.95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2130505</w:t>
            </w:r>
          </w:p>
        </w:tc>
        <w:tc>
          <w:tcPr>
            <w:tcW w:w="4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生产发展</w:t>
            </w:r>
          </w:p>
        </w:tc>
        <w:tc>
          <w:tcPr>
            <w:tcW w:w="20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10,002.24</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6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10,002.24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4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其他扶贫支出</w:t>
            </w:r>
          </w:p>
        </w:tc>
        <w:tc>
          <w:tcPr>
            <w:tcW w:w="20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1,767.44</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178.50</w:t>
            </w:r>
          </w:p>
        </w:tc>
        <w:tc>
          <w:tcPr>
            <w:tcW w:w="36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1,588.94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21309</w:t>
            </w:r>
          </w:p>
        </w:tc>
        <w:tc>
          <w:tcPr>
            <w:tcW w:w="4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目标价格补贴</w:t>
            </w:r>
          </w:p>
        </w:tc>
        <w:tc>
          <w:tcPr>
            <w:tcW w:w="20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1,733.19</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6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1,733.19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2130999</w:t>
            </w:r>
          </w:p>
        </w:tc>
        <w:tc>
          <w:tcPr>
            <w:tcW w:w="4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其他目标价格补贴</w:t>
            </w:r>
          </w:p>
        </w:tc>
        <w:tc>
          <w:tcPr>
            <w:tcW w:w="20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1,733.19</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6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1,733.19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w:t>
            </w:r>
          </w:p>
        </w:tc>
        <w:tc>
          <w:tcPr>
            <w:tcW w:w="4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20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95.88</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95.88</w:t>
            </w:r>
          </w:p>
        </w:tc>
        <w:tc>
          <w:tcPr>
            <w:tcW w:w="363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2139999</w:t>
            </w:r>
          </w:p>
        </w:tc>
        <w:tc>
          <w:tcPr>
            <w:tcW w:w="4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其他农林水支出</w:t>
            </w:r>
          </w:p>
        </w:tc>
        <w:tc>
          <w:tcPr>
            <w:tcW w:w="20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95.88</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95.88</w:t>
            </w:r>
          </w:p>
        </w:tc>
        <w:tc>
          <w:tcPr>
            <w:tcW w:w="363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4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商业服务业等支出</w:t>
            </w:r>
          </w:p>
        </w:tc>
        <w:tc>
          <w:tcPr>
            <w:tcW w:w="20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363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w:t>
            </w:r>
          </w:p>
        </w:tc>
        <w:tc>
          <w:tcPr>
            <w:tcW w:w="4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商业流通事务</w:t>
            </w:r>
          </w:p>
        </w:tc>
        <w:tc>
          <w:tcPr>
            <w:tcW w:w="20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363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2160201</w:t>
            </w:r>
          </w:p>
        </w:tc>
        <w:tc>
          <w:tcPr>
            <w:tcW w:w="4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20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363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4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金融支出</w:t>
            </w:r>
          </w:p>
        </w:tc>
        <w:tc>
          <w:tcPr>
            <w:tcW w:w="20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363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21703</w:t>
            </w:r>
          </w:p>
        </w:tc>
        <w:tc>
          <w:tcPr>
            <w:tcW w:w="4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金融发展支出</w:t>
            </w:r>
          </w:p>
        </w:tc>
        <w:tc>
          <w:tcPr>
            <w:tcW w:w="20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363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2170399</w:t>
            </w:r>
          </w:p>
        </w:tc>
        <w:tc>
          <w:tcPr>
            <w:tcW w:w="4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其他金融发展支出</w:t>
            </w:r>
          </w:p>
        </w:tc>
        <w:tc>
          <w:tcPr>
            <w:tcW w:w="20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363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4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20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43.19</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43.19</w:t>
            </w:r>
          </w:p>
        </w:tc>
        <w:tc>
          <w:tcPr>
            <w:tcW w:w="363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4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20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43.19</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43.19</w:t>
            </w:r>
          </w:p>
        </w:tc>
        <w:tc>
          <w:tcPr>
            <w:tcW w:w="363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4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0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43.19</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43.19</w:t>
            </w:r>
          </w:p>
        </w:tc>
        <w:tc>
          <w:tcPr>
            <w:tcW w:w="363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4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粮油物资储备支出</w:t>
            </w:r>
          </w:p>
        </w:tc>
        <w:tc>
          <w:tcPr>
            <w:tcW w:w="20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409.75</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6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w:t>
            </w:r>
          </w:p>
        </w:tc>
        <w:tc>
          <w:tcPr>
            <w:tcW w:w="4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粮油物资事务</w:t>
            </w:r>
          </w:p>
        </w:tc>
        <w:tc>
          <w:tcPr>
            <w:tcW w:w="20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409.75</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6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2220115</w:t>
            </w:r>
          </w:p>
        </w:tc>
        <w:tc>
          <w:tcPr>
            <w:tcW w:w="4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粮食风险基金</w:t>
            </w:r>
          </w:p>
        </w:tc>
        <w:tc>
          <w:tcPr>
            <w:tcW w:w="20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189.00</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6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2220199</w:t>
            </w:r>
          </w:p>
        </w:tc>
        <w:tc>
          <w:tcPr>
            <w:tcW w:w="4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其他粮油物资事务支出</w:t>
            </w:r>
          </w:p>
        </w:tc>
        <w:tc>
          <w:tcPr>
            <w:tcW w:w="20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220.75</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6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70" w:type="dxa"/>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tbl>
      <w:tblPr>
        <w:tblStyle w:val="11"/>
        <w:tblW w:w="1552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68"/>
        <w:gridCol w:w="2875"/>
        <w:gridCol w:w="1291"/>
        <w:gridCol w:w="872"/>
        <w:gridCol w:w="2312"/>
        <w:gridCol w:w="1360"/>
        <w:gridCol w:w="1215"/>
        <w:gridCol w:w="2417"/>
        <w:gridCol w:w="20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15523" w:type="dxa"/>
            <w:gridSpan w:val="9"/>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68" w:type="dxa"/>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2875"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291"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7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31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36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215"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417"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013"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043" w:type="dxa"/>
            <w:gridSpan w:val="2"/>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部门：溆浦县农业农村局</w:t>
            </w:r>
          </w:p>
        </w:tc>
        <w:tc>
          <w:tcPr>
            <w:tcW w:w="1291"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7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31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36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215"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417"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013"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334" w:type="dxa"/>
            <w:gridSpan w:val="3"/>
            <w:tcBorders>
              <w:top w:val="single" w:color="000000" w:sz="4" w:space="0"/>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10189" w:type="dxa"/>
            <w:gridSpan w:val="6"/>
            <w:tcBorders>
              <w:top w:val="single" w:color="000000" w:sz="4" w:space="0"/>
              <w:left w:val="nil"/>
              <w:bottom w:val="single" w:color="000000" w:sz="4" w:space="0"/>
              <w:right w:val="single" w:color="000000" w:sz="4" w:space="0"/>
            </w:tcBorders>
            <w:shd w:val="clear" w:color="FFFFFF"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68" w:type="dxa"/>
            <w:vMerge w:val="restart"/>
            <w:tcBorders>
              <w:top w:val="nil"/>
              <w:left w:val="single" w:color="000000" w:sz="4" w:space="0"/>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875" w:type="dxa"/>
            <w:vMerge w:val="restart"/>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291" w:type="dxa"/>
            <w:vMerge w:val="restart"/>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872" w:type="dxa"/>
            <w:vMerge w:val="restart"/>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312" w:type="dxa"/>
            <w:vMerge w:val="restart"/>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60" w:type="dxa"/>
            <w:vMerge w:val="restart"/>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1215" w:type="dxa"/>
            <w:vMerge w:val="restart"/>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417" w:type="dxa"/>
            <w:vMerge w:val="restart"/>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013" w:type="dxa"/>
            <w:vMerge w:val="restart"/>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68" w:type="dxa"/>
            <w:vMerge w:val="continue"/>
            <w:tcBorders>
              <w:top w:val="nil"/>
              <w:left w:val="single" w:color="000000" w:sz="4" w:space="0"/>
              <w:bottom w:val="single" w:color="000000" w:sz="4" w:space="0"/>
              <w:right w:val="single" w:color="000000" w:sz="4" w:space="0"/>
            </w:tcBorders>
            <w:shd w:val="clear" w:color="FFFFFF" w:fill="auto"/>
            <w:vAlign w:val="center"/>
          </w:tcPr>
          <w:p>
            <w:pPr>
              <w:jc w:val="center"/>
              <w:rPr>
                <w:rFonts w:hint="eastAsia" w:ascii="宋体" w:hAnsi="宋体" w:eastAsia="宋体" w:cs="宋体"/>
                <w:i w:val="0"/>
                <w:iCs w:val="0"/>
                <w:color w:val="000000"/>
                <w:sz w:val="22"/>
                <w:szCs w:val="22"/>
                <w:u w:val="none"/>
              </w:rPr>
            </w:pPr>
          </w:p>
        </w:tc>
        <w:tc>
          <w:tcPr>
            <w:tcW w:w="2875" w:type="dxa"/>
            <w:vMerge w:val="continue"/>
            <w:tcBorders>
              <w:top w:val="nil"/>
              <w:left w:val="nil"/>
              <w:bottom w:val="single" w:color="000000" w:sz="4" w:space="0"/>
              <w:right w:val="single" w:color="000000" w:sz="4" w:space="0"/>
            </w:tcBorders>
            <w:shd w:val="clear" w:color="FFFFFF" w:fill="auto"/>
            <w:vAlign w:val="center"/>
          </w:tcPr>
          <w:p>
            <w:pPr>
              <w:jc w:val="center"/>
              <w:rPr>
                <w:rFonts w:hint="eastAsia" w:ascii="宋体" w:hAnsi="宋体" w:eastAsia="宋体" w:cs="宋体"/>
                <w:i w:val="0"/>
                <w:iCs w:val="0"/>
                <w:color w:val="000000"/>
                <w:sz w:val="22"/>
                <w:szCs w:val="22"/>
                <w:u w:val="none"/>
              </w:rPr>
            </w:pPr>
          </w:p>
        </w:tc>
        <w:tc>
          <w:tcPr>
            <w:tcW w:w="1291" w:type="dxa"/>
            <w:vMerge w:val="continue"/>
            <w:tcBorders>
              <w:top w:val="nil"/>
              <w:left w:val="nil"/>
              <w:bottom w:val="single" w:color="000000" w:sz="4" w:space="0"/>
              <w:right w:val="single" w:color="000000" w:sz="4" w:space="0"/>
            </w:tcBorders>
            <w:shd w:val="clear" w:color="FFFFFF" w:fill="auto"/>
            <w:vAlign w:val="center"/>
          </w:tcPr>
          <w:p>
            <w:pPr>
              <w:jc w:val="center"/>
              <w:rPr>
                <w:rFonts w:hint="eastAsia" w:ascii="宋体" w:hAnsi="宋体" w:eastAsia="宋体" w:cs="宋体"/>
                <w:i w:val="0"/>
                <w:iCs w:val="0"/>
                <w:color w:val="000000"/>
                <w:sz w:val="22"/>
                <w:szCs w:val="22"/>
                <w:u w:val="none"/>
              </w:rPr>
            </w:pPr>
          </w:p>
        </w:tc>
        <w:tc>
          <w:tcPr>
            <w:tcW w:w="872" w:type="dxa"/>
            <w:vMerge w:val="continue"/>
            <w:tcBorders>
              <w:top w:val="nil"/>
              <w:left w:val="nil"/>
              <w:bottom w:val="single" w:color="000000" w:sz="4" w:space="0"/>
              <w:right w:val="single" w:color="000000" w:sz="4" w:space="0"/>
            </w:tcBorders>
            <w:shd w:val="clear" w:color="FFFFFF" w:fill="auto"/>
            <w:vAlign w:val="center"/>
          </w:tcPr>
          <w:p>
            <w:pPr>
              <w:jc w:val="center"/>
              <w:rPr>
                <w:rFonts w:hint="eastAsia" w:ascii="宋体" w:hAnsi="宋体" w:eastAsia="宋体" w:cs="宋体"/>
                <w:i w:val="0"/>
                <w:iCs w:val="0"/>
                <w:color w:val="000000"/>
                <w:sz w:val="22"/>
                <w:szCs w:val="22"/>
                <w:u w:val="none"/>
              </w:rPr>
            </w:pPr>
          </w:p>
        </w:tc>
        <w:tc>
          <w:tcPr>
            <w:tcW w:w="2312" w:type="dxa"/>
            <w:vMerge w:val="continue"/>
            <w:tcBorders>
              <w:top w:val="nil"/>
              <w:left w:val="nil"/>
              <w:bottom w:val="single" w:color="000000" w:sz="4" w:space="0"/>
              <w:right w:val="single" w:color="000000" w:sz="4" w:space="0"/>
            </w:tcBorders>
            <w:shd w:val="clear" w:color="FFFFFF" w:fill="auto"/>
            <w:vAlign w:val="center"/>
          </w:tcPr>
          <w:p>
            <w:pPr>
              <w:jc w:val="center"/>
              <w:rPr>
                <w:rFonts w:hint="eastAsia" w:ascii="宋体" w:hAnsi="宋体" w:eastAsia="宋体" w:cs="宋体"/>
                <w:i w:val="0"/>
                <w:iCs w:val="0"/>
                <w:color w:val="000000"/>
                <w:sz w:val="22"/>
                <w:szCs w:val="22"/>
                <w:u w:val="none"/>
              </w:rPr>
            </w:pPr>
          </w:p>
        </w:tc>
        <w:tc>
          <w:tcPr>
            <w:tcW w:w="1360" w:type="dxa"/>
            <w:vMerge w:val="continue"/>
            <w:tcBorders>
              <w:top w:val="nil"/>
              <w:left w:val="nil"/>
              <w:bottom w:val="single" w:color="000000" w:sz="4" w:space="0"/>
              <w:right w:val="single" w:color="000000" w:sz="4" w:space="0"/>
            </w:tcBorders>
            <w:shd w:val="clear" w:color="FFFFFF" w:fill="auto"/>
            <w:vAlign w:val="center"/>
          </w:tcPr>
          <w:p>
            <w:pPr>
              <w:jc w:val="center"/>
              <w:rPr>
                <w:rFonts w:hint="eastAsia" w:ascii="宋体" w:hAnsi="宋体" w:eastAsia="宋体" w:cs="宋体"/>
                <w:i w:val="0"/>
                <w:iCs w:val="0"/>
                <w:color w:val="000000"/>
                <w:sz w:val="22"/>
                <w:szCs w:val="22"/>
                <w:u w:val="none"/>
              </w:rPr>
            </w:pPr>
          </w:p>
        </w:tc>
        <w:tc>
          <w:tcPr>
            <w:tcW w:w="1215" w:type="dxa"/>
            <w:vMerge w:val="continue"/>
            <w:tcBorders>
              <w:top w:val="nil"/>
              <w:left w:val="nil"/>
              <w:bottom w:val="single" w:color="000000" w:sz="4" w:space="0"/>
              <w:right w:val="single" w:color="000000" w:sz="4" w:space="0"/>
            </w:tcBorders>
            <w:shd w:val="clear" w:color="FFFFFF" w:fill="auto"/>
            <w:vAlign w:val="center"/>
          </w:tcPr>
          <w:p>
            <w:pPr>
              <w:jc w:val="center"/>
              <w:rPr>
                <w:rFonts w:hint="eastAsia" w:ascii="宋体" w:hAnsi="宋体" w:eastAsia="宋体" w:cs="宋体"/>
                <w:i w:val="0"/>
                <w:iCs w:val="0"/>
                <w:color w:val="000000"/>
                <w:sz w:val="22"/>
                <w:szCs w:val="22"/>
                <w:u w:val="none"/>
              </w:rPr>
            </w:pPr>
          </w:p>
        </w:tc>
        <w:tc>
          <w:tcPr>
            <w:tcW w:w="2417" w:type="dxa"/>
            <w:vMerge w:val="continue"/>
            <w:tcBorders>
              <w:top w:val="nil"/>
              <w:left w:val="nil"/>
              <w:bottom w:val="single" w:color="000000" w:sz="4" w:space="0"/>
              <w:right w:val="single" w:color="000000" w:sz="4" w:space="0"/>
            </w:tcBorders>
            <w:shd w:val="clear" w:color="FFFFFF" w:fill="auto"/>
            <w:vAlign w:val="center"/>
          </w:tcPr>
          <w:p>
            <w:pPr>
              <w:jc w:val="center"/>
              <w:rPr>
                <w:rFonts w:hint="eastAsia" w:ascii="宋体" w:hAnsi="宋体" w:eastAsia="宋体" w:cs="宋体"/>
                <w:i w:val="0"/>
                <w:iCs w:val="0"/>
                <w:color w:val="000000"/>
                <w:sz w:val="22"/>
                <w:szCs w:val="22"/>
                <w:u w:val="none"/>
              </w:rPr>
            </w:pPr>
          </w:p>
        </w:tc>
        <w:tc>
          <w:tcPr>
            <w:tcW w:w="2013" w:type="dxa"/>
            <w:vMerge w:val="continue"/>
            <w:tcBorders>
              <w:top w:val="nil"/>
              <w:left w:val="nil"/>
              <w:bottom w:val="single" w:color="000000" w:sz="4" w:space="0"/>
              <w:right w:val="single" w:color="000000" w:sz="4" w:space="0"/>
            </w:tcBorders>
            <w:shd w:val="clear" w:color="FFFFFF"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68"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2875" w:type="dxa"/>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12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943.63</w:t>
            </w:r>
          </w:p>
        </w:tc>
        <w:tc>
          <w:tcPr>
            <w:tcW w:w="8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23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13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1,311.90</w:t>
            </w:r>
          </w:p>
        </w:tc>
        <w:tc>
          <w:tcPr>
            <w:tcW w:w="12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24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201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68"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2875" w:type="dxa"/>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2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354.13</w:t>
            </w:r>
          </w:p>
        </w:tc>
        <w:tc>
          <w:tcPr>
            <w:tcW w:w="8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3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13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16.40</w:t>
            </w:r>
          </w:p>
        </w:tc>
        <w:tc>
          <w:tcPr>
            <w:tcW w:w="12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24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01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68"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2875" w:type="dxa"/>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2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189.68</w:t>
            </w:r>
          </w:p>
        </w:tc>
        <w:tc>
          <w:tcPr>
            <w:tcW w:w="8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3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13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42.93</w:t>
            </w:r>
          </w:p>
        </w:tc>
        <w:tc>
          <w:tcPr>
            <w:tcW w:w="12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24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01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68"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2875" w:type="dxa"/>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2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160.55</w:t>
            </w:r>
          </w:p>
        </w:tc>
        <w:tc>
          <w:tcPr>
            <w:tcW w:w="8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3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13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5.45</w:t>
            </w:r>
          </w:p>
        </w:tc>
        <w:tc>
          <w:tcPr>
            <w:tcW w:w="12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24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201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68"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2875" w:type="dxa"/>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2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19.01</w:t>
            </w:r>
          </w:p>
        </w:tc>
        <w:tc>
          <w:tcPr>
            <w:tcW w:w="8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3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136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24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01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68"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2875" w:type="dxa"/>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29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3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13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0.36</w:t>
            </w:r>
          </w:p>
        </w:tc>
        <w:tc>
          <w:tcPr>
            <w:tcW w:w="12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24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01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68"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2875" w:type="dxa"/>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2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98.11</w:t>
            </w:r>
          </w:p>
        </w:tc>
        <w:tc>
          <w:tcPr>
            <w:tcW w:w="8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3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13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6.39</w:t>
            </w:r>
          </w:p>
        </w:tc>
        <w:tc>
          <w:tcPr>
            <w:tcW w:w="12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24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01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68"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2875" w:type="dxa"/>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29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3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13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12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24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01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68"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2875" w:type="dxa"/>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2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52.45</w:t>
            </w:r>
          </w:p>
        </w:tc>
        <w:tc>
          <w:tcPr>
            <w:tcW w:w="8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3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136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24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01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68"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2875" w:type="dxa"/>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29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3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136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24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01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68"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2875" w:type="dxa"/>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2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23.94</w:t>
            </w:r>
          </w:p>
        </w:tc>
        <w:tc>
          <w:tcPr>
            <w:tcW w:w="8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3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13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16.51</w:t>
            </w:r>
          </w:p>
        </w:tc>
        <w:tc>
          <w:tcPr>
            <w:tcW w:w="12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24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01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68"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2875" w:type="dxa"/>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2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43.19</w:t>
            </w:r>
          </w:p>
        </w:tc>
        <w:tc>
          <w:tcPr>
            <w:tcW w:w="8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3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136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24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01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68"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2875" w:type="dxa"/>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29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3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13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12.67</w:t>
            </w:r>
          </w:p>
        </w:tc>
        <w:tc>
          <w:tcPr>
            <w:tcW w:w="12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24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01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68"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2875" w:type="dxa"/>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2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w:t>
            </w:r>
          </w:p>
        </w:tc>
        <w:tc>
          <w:tcPr>
            <w:tcW w:w="8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3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13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w:t>
            </w:r>
          </w:p>
        </w:tc>
        <w:tc>
          <w:tcPr>
            <w:tcW w:w="12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24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01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68"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2875" w:type="dxa"/>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2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815.95</w:t>
            </w:r>
          </w:p>
        </w:tc>
        <w:tc>
          <w:tcPr>
            <w:tcW w:w="8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3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13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12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24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01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68"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2875" w:type="dxa"/>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29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3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136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24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01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68"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2875" w:type="dxa"/>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29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3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13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w:t>
            </w:r>
          </w:p>
        </w:tc>
        <w:tc>
          <w:tcPr>
            <w:tcW w:w="12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24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01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68"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2875" w:type="dxa"/>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29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3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13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174.29</w:t>
            </w:r>
          </w:p>
        </w:tc>
        <w:tc>
          <w:tcPr>
            <w:tcW w:w="12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24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01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68"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2875" w:type="dxa"/>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2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8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3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136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24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01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68"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2875" w:type="dxa"/>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29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3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136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24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01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68"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2875" w:type="dxa"/>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29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3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13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58.63</w:t>
            </w:r>
          </w:p>
        </w:tc>
        <w:tc>
          <w:tcPr>
            <w:tcW w:w="12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24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201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68"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2875" w:type="dxa"/>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29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3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136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24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赠与</w:t>
            </w:r>
          </w:p>
        </w:tc>
        <w:tc>
          <w:tcPr>
            <w:tcW w:w="201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68"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2875" w:type="dxa"/>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29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3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13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61.62</w:t>
            </w:r>
          </w:p>
        </w:tc>
        <w:tc>
          <w:tcPr>
            <w:tcW w:w="12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24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01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68"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2875" w:type="dxa"/>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29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3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13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12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24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01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68"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2875" w:type="dxa"/>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2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67.73</w:t>
            </w:r>
          </w:p>
        </w:tc>
        <w:tc>
          <w:tcPr>
            <w:tcW w:w="8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3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13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w:t>
            </w:r>
          </w:p>
        </w:tc>
        <w:tc>
          <w:tcPr>
            <w:tcW w:w="12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24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01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68"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2875" w:type="dxa"/>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29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3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13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58.43</w:t>
            </w:r>
          </w:p>
        </w:tc>
        <w:tc>
          <w:tcPr>
            <w:tcW w:w="1215"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17"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01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68"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2875" w:type="dxa"/>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2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728.21</w:t>
            </w:r>
          </w:p>
        </w:tc>
        <w:tc>
          <w:tcPr>
            <w:tcW w:w="8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3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136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17"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01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68" w:type="dxa"/>
            <w:tcBorders>
              <w:top w:val="nil"/>
              <w:left w:val="single" w:color="000000" w:sz="4" w:space="0"/>
              <w:bottom w:val="single" w:color="000000" w:sz="4" w:space="0"/>
              <w:right w:val="single" w:color="000000" w:sz="4" w:space="0"/>
            </w:tcBorders>
            <w:shd w:val="clear" w:color="FFFFFF" w:fill="auto"/>
            <w:noWrap/>
            <w:vAlign w:val="center"/>
          </w:tcPr>
          <w:p>
            <w:pPr>
              <w:jc w:val="left"/>
              <w:rPr>
                <w:rFonts w:hint="eastAsia" w:ascii="宋体" w:hAnsi="宋体" w:eastAsia="宋体" w:cs="宋体"/>
                <w:i w:val="0"/>
                <w:iCs w:val="0"/>
                <w:color w:val="000000"/>
                <w:sz w:val="22"/>
                <w:szCs w:val="22"/>
                <w:u w:val="none"/>
              </w:rPr>
            </w:pPr>
          </w:p>
        </w:tc>
        <w:tc>
          <w:tcPr>
            <w:tcW w:w="2875" w:type="dxa"/>
            <w:tcBorders>
              <w:top w:val="nil"/>
              <w:left w:val="nil"/>
              <w:bottom w:val="single" w:color="000000" w:sz="4" w:space="0"/>
              <w:right w:val="single" w:color="000000" w:sz="4" w:space="0"/>
            </w:tcBorders>
            <w:shd w:val="clear" w:color="FFFFFF" w:fill="auto"/>
            <w:noWrap/>
            <w:vAlign w:val="center"/>
          </w:tcPr>
          <w:p>
            <w:pPr>
              <w:jc w:val="left"/>
              <w:rPr>
                <w:rFonts w:hint="eastAsia" w:ascii="宋体" w:hAnsi="宋体" w:eastAsia="宋体" w:cs="宋体"/>
                <w:i w:val="0"/>
                <w:iCs w:val="0"/>
                <w:color w:val="000000"/>
                <w:sz w:val="22"/>
                <w:szCs w:val="22"/>
                <w:u w:val="none"/>
              </w:rPr>
            </w:pPr>
          </w:p>
        </w:tc>
        <w:tc>
          <w:tcPr>
            <w:tcW w:w="129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3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13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836.74</w:t>
            </w:r>
          </w:p>
        </w:tc>
        <w:tc>
          <w:tcPr>
            <w:tcW w:w="1215"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17"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01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43" w:type="dxa"/>
            <w:gridSpan w:val="2"/>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12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1,759.57</w:t>
            </w:r>
          </w:p>
        </w:tc>
        <w:tc>
          <w:tcPr>
            <w:tcW w:w="8176"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201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1,311.90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523" w:type="dxa"/>
            <w:gridSpan w:val="9"/>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tbl>
      <w:tblPr>
        <w:tblStyle w:val="11"/>
        <w:tblW w:w="1552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30"/>
        <w:gridCol w:w="2164"/>
        <w:gridCol w:w="1212"/>
        <w:gridCol w:w="889"/>
        <w:gridCol w:w="1212"/>
        <w:gridCol w:w="1536"/>
        <w:gridCol w:w="970"/>
        <w:gridCol w:w="1294"/>
        <w:gridCol w:w="1212"/>
        <w:gridCol w:w="876"/>
        <w:gridCol w:w="1212"/>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15523" w:type="dxa"/>
            <w:gridSpan w:val="12"/>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30"/>
                <w:szCs w:val="30"/>
                <w:u w:val="none"/>
                <w:lang w:val="en-US" w:eastAsia="zh-CN" w:bidi="ar"/>
              </w:rPr>
            </w:pPr>
          </w:p>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330" w:type="dxa"/>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2164"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21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89"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21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53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7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294"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21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7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21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616"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494" w:type="dxa"/>
            <w:gridSpan w:val="2"/>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部门：溆浦县农业农村局</w:t>
            </w:r>
          </w:p>
        </w:tc>
        <w:tc>
          <w:tcPr>
            <w:tcW w:w="121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89"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21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53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7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294"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21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7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21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616"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343" w:type="dxa"/>
            <w:gridSpan w:val="6"/>
            <w:tcBorders>
              <w:top w:val="single" w:color="000000" w:sz="4" w:space="0"/>
              <w:left w:val="single" w:color="000000" w:sz="4" w:space="0"/>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7180" w:type="dxa"/>
            <w:gridSpan w:val="6"/>
            <w:tcBorders>
              <w:top w:val="single" w:color="000000" w:sz="4" w:space="0"/>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30" w:type="dxa"/>
            <w:vMerge w:val="restart"/>
            <w:tcBorders>
              <w:top w:val="nil"/>
              <w:left w:val="single" w:color="000000" w:sz="4" w:space="0"/>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164" w:type="dxa"/>
            <w:vMerge w:val="restart"/>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313" w:type="dxa"/>
            <w:gridSpan w:val="3"/>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536" w:type="dxa"/>
            <w:vMerge w:val="restart"/>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970" w:type="dxa"/>
            <w:vMerge w:val="restart"/>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94" w:type="dxa"/>
            <w:vMerge w:val="restart"/>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300" w:type="dxa"/>
            <w:gridSpan w:val="3"/>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616" w:type="dxa"/>
            <w:vMerge w:val="restart"/>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330" w:type="dxa"/>
            <w:vMerge w:val="continue"/>
            <w:tcBorders>
              <w:top w:val="nil"/>
              <w:left w:val="single" w:color="000000" w:sz="4" w:space="0"/>
              <w:bottom w:val="single" w:color="000000" w:sz="4" w:space="0"/>
              <w:right w:val="single" w:color="000000" w:sz="4" w:space="0"/>
            </w:tcBorders>
            <w:shd w:val="clear" w:color="FFFFFF" w:fill="auto"/>
            <w:vAlign w:val="center"/>
          </w:tcPr>
          <w:p>
            <w:pPr>
              <w:jc w:val="center"/>
              <w:rPr>
                <w:rFonts w:hint="eastAsia" w:ascii="宋体" w:hAnsi="宋体" w:eastAsia="宋体" w:cs="宋体"/>
                <w:i w:val="0"/>
                <w:iCs w:val="0"/>
                <w:color w:val="000000"/>
                <w:sz w:val="22"/>
                <w:szCs w:val="22"/>
                <w:u w:val="none"/>
              </w:rPr>
            </w:pPr>
          </w:p>
        </w:tc>
        <w:tc>
          <w:tcPr>
            <w:tcW w:w="2164" w:type="dxa"/>
            <w:vMerge w:val="continue"/>
            <w:tcBorders>
              <w:top w:val="nil"/>
              <w:left w:val="nil"/>
              <w:bottom w:val="single" w:color="000000" w:sz="4" w:space="0"/>
              <w:right w:val="single" w:color="000000" w:sz="4" w:space="0"/>
            </w:tcBorders>
            <w:shd w:val="clear" w:color="FFFFFF" w:fill="auto"/>
            <w:vAlign w:val="center"/>
          </w:tcPr>
          <w:p>
            <w:pPr>
              <w:jc w:val="center"/>
              <w:rPr>
                <w:rFonts w:hint="eastAsia" w:ascii="宋体" w:hAnsi="宋体" w:eastAsia="宋体" w:cs="宋体"/>
                <w:i w:val="0"/>
                <w:iCs w:val="0"/>
                <w:color w:val="000000"/>
                <w:sz w:val="22"/>
                <w:szCs w:val="22"/>
                <w:u w:val="none"/>
              </w:rPr>
            </w:pPr>
          </w:p>
        </w:tc>
        <w:tc>
          <w:tcPr>
            <w:tcW w:w="1212" w:type="dxa"/>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889" w:type="dxa"/>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212" w:type="dxa"/>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536" w:type="dxa"/>
            <w:vMerge w:val="continue"/>
            <w:tcBorders>
              <w:top w:val="nil"/>
              <w:left w:val="nil"/>
              <w:bottom w:val="single" w:color="000000" w:sz="4" w:space="0"/>
              <w:right w:val="single" w:color="000000" w:sz="4" w:space="0"/>
            </w:tcBorders>
            <w:shd w:val="clear" w:color="FFFFFF" w:fill="auto"/>
            <w:vAlign w:val="center"/>
          </w:tcPr>
          <w:p>
            <w:pPr>
              <w:jc w:val="center"/>
              <w:rPr>
                <w:rFonts w:hint="eastAsia" w:ascii="宋体" w:hAnsi="宋体" w:eastAsia="宋体" w:cs="宋体"/>
                <w:i w:val="0"/>
                <w:iCs w:val="0"/>
                <w:color w:val="000000"/>
                <w:sz w:val="22"/>
                <w:szCs w:val="22"/>
                <w:u w:val="none"/>
              </w:rPr>
            </w:pPr>
          </w:p>
        </w:tc>
        <w:tc>
          <w:tcPr>
            <w:tcW w:w="970" w:type="dxa"/>
            <w:vMerge w:val="continue"/>
            <w:tcBorders>
              <w:top w:val="nil"/>
              <w:left w:val="nil"/>
              <w:bottom w:val="single" w:color="000000" w:sz="4" w:space="0"/>
              <w:right w:val="single" w:color="000000" w:sz="4" w:space="0"/>
            </w:tcBorders>
            <w:shd w:val="clear" w:color="FFFFFF" w:fill="auto"/>
            <w:vAlign w:val="center"/>
          </w:tcPr>
          <w:p>
            <w:pPr>
              <w:jc w:val="center"/>
              <w:rPr>
                <w:rFonts w:hint="eastAsia" w:ascii="宋体" w:hAnsi="宋体" w:eastAsia="宋体" w:cs="宋体"/>
                <w:i w:val="0"/>
                <w:iCs w:val="0"/>
                <w:color w:val="000000"/>
                <w:sz w:val="22"/>
                <w:szCs w:val="22"/>
                <w:u w:val="none"/>
              </w:rPr>
            </w:pPr>
          </w:p>
        </w:tc>
        <w:tc>
          <w:tcPr>
            <w:tcW w:w="1294" w:type="dxa"/>
            <w:vMerge w:val="continue"/>
            <w:tcBorders>
              <w:top w:val="nil"/>
              <w:left w:val="nil"/>
              <w:bottom w:val="single" w:color="000000" w:sz="4" w:space="0"/>
              <w:right w:val="single" w:color="000000" w:sz="4" w:space="0"/>
            </w:tcBorders>
            <w:shd w:val="clear" w:color="FFFFFF" w:fill="auto"/>
            <w:vAlign w:val="center"/>
          </w:tcPr>
          <w:p>
            <w:pPr>
              <w:jc w:val="center"/>
              <w:rPr>
                <w:rFonts w:hint="eastAsia" w:ascii="宋体" w:hAnsi="宋体" w:eastAsia="宋体" w:cs="宋体"/>
                <w:i w:val="0"/>
                <w:iCs w:val="0"/>
                <w:color w:val="000000"/>
                <w:sz w:val="22"/>
                <w:szCs w:val="22"/>
                <w:u w:val="none"/>
              </w:rPr>
            </w:pPr>
          </w:p>
        </w:tc>
        <w:tc>
          <w:tcPr>
            <w:tcW w:w="1212" w:type="dxa"/>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876" w:type="dxa"/>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212" w:type="dxa"/>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616" w:type="dxa"/>
            <w:vMerge w:val="continue"/>
            <w:tcBorders>
              <w:top w:val="nil"/>
              <w:left w:val="nil"/>
              <w:bottom w:val="single" w:color="000000" w:sz="4" w:space="0"/>
              <w:right w:val="single" w:color="000000" w:sz="4" w:space="0"/>
            </w:tcBorders>
            <w:shd w:val="clear" w:color="FFFFFF"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164" w:type="dxa"/>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12" w:type="dxa"/>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89" w:type="dxa"/>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12" w:type="dxa"/>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36" w:type="dxa"/>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70" w:type="dxa"/>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94" w:type="dxa"/>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12" w:type="dxa"/>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76" w:type="dxa"/>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12" w:type="dxa"/>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616" w:type="dxa"/>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12.22</w:t>
            </w:r>
          </w:p>
        </w:tc>
        <w:tc>
          <w:tcPr>
            <w:tcW w:w="2164" w:type="dxa"/>
            <w:tcBorders>
              <w:top w:val="nil"/>
              <w:left w:val="nil"/>
              <w:bottom w:val="single" w:color="000000" w:sz="4" w:space="0"/>
              <w:right w:val="single" w:color="000000" w:sz="4" w:space="0"/>
            </w:tcBorders>
            <w:shd w:val="clear" w:color="FFFFFF" w:fill="auto"/>
            <w:noWrap/>
            <w:vAlign w:val="center"/>
          </w:tcPr>
          <w:p>
            <w:pPr>
              <w:jc w:val="right"/>
              <w:rPr>
                <w:rFonts w:hint="eastAsia" w:ascii="宋体" w:hAnsi="宋体" w:eastAsia="宋体" w:cs="宋体"/>
                <w:i w:val="0"/>
                <w:iCs w:val="0"/>
                <w:color w:val="000000"/>
                <w:sz w:val="22"/>
                <w:szCs w:val="22"/>
                <w:u w:val="none"/>
              </w:rPr>
            </w:pPr>
          </w:p>
        </w:tc>
        <w:tc>
          <w:tcPr>
            <w:tcW w:w="1212" w:type="dxa"/>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w:t>
            </w:r>
          </w:p>
        </w:tc>
        <w:tc>
          <w:tcPr>
            <w:tcW w:w="889" w:type="dxa"/>
            <w:tcBorders>
              <w:top w:val="nil"/>
              <w:left w:val="nil"/>
              <w:bottom w:val="single" w:color="000000" w:sz="4" w:space="0"/>
              <w:right w:val="single" w:color="000000" w:sz="4" w:space="0"/>
            </w:tcBorders>
            <w:shd w:val="clear" w:color="FFFFFF" w:fill="auto"/>
            <w:noWrap/>
            <w:vAlign w:val="center"/>
          </w:tcPr>
          <w:p>
            <w:pPr>
              <w:jc w:val="right"/>
              <w:rPr>
                <w:rFonts w:hint="eastAsia" w:ascii="宋体" w:hAnsi="宋体" w:eastAsia="宋体" w:cs="宋体"/>
                <w:i w:val="0"/>
                <w:iCs w:val="0"/>
                <w:color w:val="000000"/>
                <w:sz w:val="22"/>
                <w:szCs w:val="22"/>
                <w:u w:val="none"/>
              </w:rPr>
            </w:pPr>
          </w:p>
        </w:tc>
        <w:tc>
          <w:tcPr>
            <w:tcW w:w="1212" w:type="dxa"/>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w:t>
            </w:r>
          </w:p>
        </w:tc>
        <w:tc>
          <w:tcPr>
            <w:tcW w:w="1536" w:type="dxa"/>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w:t>
            </w:r>
          </w:p>
        </w:tc>
        <w:tc>
          <w:tcPr>
            <w:tcW w:w="970" w:type="dxa"/>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12.22</w:t>
            </w:r>
          </w:p>
        </w:tc>
        <w:tc>
          <w:tcPr>
            <w:tcW w:w="1294" w:type="dxa"/>
            <w:tcBorders>
              <w:top w:val="nil"/>
              <w:left w:val="nil"/>
              <w:bottom w:val="single" w:color="000000" w:sz="4" w:space="0"/>
              <w:right w:val="single" w:color="000000" w:sz="4" w:space="0"/>
            </w:tcBorders>
            <w:shd w:val="clear" w:color="FFFFFF" w:fill="auto"/>
            <w:noWrap/>
            <w:vAlign w:val="center"/>
          </w:tcPr>
          <w:p>
            <w:pPr>
              <w:jc w:val="right"/>
              <w:rPr>
                <w:rFonts w:hint="eastAsia" w:ascii="宋体" w:hAnsi="宋体" w:eastAsia="宋体" w:cs="宋体"/>
                <w:i w:val="0"/>
                <w:iCs w:val="0"/>
                <w:color w:val="000000"/>
                <w:sz w:val="22"/>
                <w:szCs w:val="22"/>
                <w:u w:val="none"/>
              </w:rPr>
            </w:pPr>
          </w:p>
        </w:tc>
        <w:tc>
          <w:tcPr>
            <w:tcW w:w="1212" w:type="dxa"/>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w:t>
            </w:r>
          </w:p>
        </w:tc>
        <w:tc>
          <w:tcPr>
            <w:tcW w:w="876" w:type="dxa"/>
            <w:tcBorders>
              <w:top w:val="nil"/>
              <w:left w:val="nil"/>
              <w:bottom w:val="single" w:color="000000" w:sz="4" w:space="0"/>
              <w:right w:val="single" w:color="000000" w:sz="4" w:space="0"/>
            </w:tcBorders>
            <w:shd w:val="clear" w:color="FFFFFF" w:fill="auto"/>
            <w:noWrap/>
            <w:vAlign w:val="center"/>
          </w:tcPr>
          <w:p>
            <w:pPr>
              <w:jc w:val="right"/>
              <w:rPr>
                <w:rFonts w:hint="eastAsia" w:ascii="宋体" w:hAnsi="宋体" w:eastAsia="宋体" w:cs="宋体"/>
                <w:i w:val="0"/>
                <w:iCs w:val="0"/>
                <w:color w:val="000000"/>
                <w:sz w:val="22"/>
                <w:szCs w:val="22"/>
                <w:u w:val="none"/>
              </w:rPr>
            </w:pPr>
          </w:p>
        </w:tc>
        <w:tc>
          <w:tcPr>
            <w:tcW w:w="1212" w:type="dxa"/>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w:t>
            </w:r>
          </w:p>
        </w:tc>
        <w:tc>
          <w:tcPr>
            <w:tcW w:w="1616" w:type="dxa"/>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5523" w:type="dxa"/>
            <w:gridSpan w:val="12"/>
            <w:tcBorders>
              <w:top w:val="nil"/>
              <w:left w:val="nil"/>
              <w:bottom w:val="nil"/>
              <w:right w:val="nil"/>
            </w:tcBorders>
            <w:shd w:val="clear" w:color="FFFFFF"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w:t>
            </w:r>
          </w:p>
        </w:tc>
      </w:tr>
    </w:tbl>
    <w:p>
      <w:pPr>
        <w:widowControl/>
        <w:jc w:val="center"/>
        <w:rPr>
          <w:rFonts w:ascii="Times New Roman" w:hAnsi="Times New Roman" w:eastAsia="方正小标宋_GBK" w:cs="Times New Roman"/>
          <w:kern w:val="0"/>
          <w:sz w:val="36"/>
          <w:szCs w:val="36"/>
        </w:rPr>
      </w:pPr>
    </w:p>
    <w:bookmarkEnd w:id="1"/>
    <w:p>
      <w:pPr>
        <w:widowControl/>
        <w:jc w:val="left"/>
        <w:rPr>
          <w:rFonts w:ascii="黑体" w:hAnsi="黑体" w:eastAsia="黑体"/>
          <w:szCs w:val="21"/>
        </w:rPr>
      </w:pPr>
    </w:p>
    <w:p>
      <w:pPr>
        <w:widowControl/>
        <w:jc w:val="left"/>
        <w:rPr>
          <w:rFonts w:ascii="黑体" w:hAnsi="黑体" w:eastAsia="黑体"/>
          <w:szCs w:val="21"/>
        </w:rPr>
      </w:pPr>
    </w:p>
    <w:p>
      <w:pPr>
        <w:widowControl/>
        <w:jc w:val="left"/>
        <w:rPr>
          <w:rFonts w:ascii="黑体" w:hAnsi="黑体" w:eastAsia="黑体"/>
          <w:szCs w:val="21"/>
        </w:rPr>
      </w:pPr>
    </w:p>
    <w:p>
      <w:pPr>
        <w:widowControl/>
        <w:jc w:val="left"/>
        <w:rPr>
          <w:rFonts w:ascii="黑体" w:hAnsi="黑体" w:eastAsia="黑体"/>
          <w:szCs w:val="21"/>
        </w:rPr>
      </w:pPr>
    </w:p>
    <w:p>
      <w:pPr>
        <w:widowControl/>
        <w:jc w:val="left"/>
        <w:rPr>
          <w:rFonts w:ascii="黑体" w:hAnsi="黑体" w:eastAsia="黑体"/>
          <w:szCs w:val="21"/>
        </w:rPr>
      </w:pPr>
    </w:p>
    <w:p>
      <w:pPr>
        <w:widowControl/>
        <w:jc w:val="left"/>
        <w:rPr>
          <w:rFonts w:ascii="黑体" w:hAnsi="黑体" w:eastAsia="黑体"/>
          <w:szCs w:val="21"/>
        </w:rPr>
      </w:pPr>
    </w:p>
    <w:p>
      <w:pPr>
        <w:widowControl/>
        <w:jc w:val="left"/>
        <w:rPr>
          <w:rFonts w:ascii="黑体" w:hAnsi="黑体" w:eastAsia="黑体"/>
          <w:szCs w:val="21"/>
        </w:rPr>
      </w:pPr>
    </w:p>
    <w:p>
      <w:pPr>
        <w:widowControl/>
        <w:jc w:val="left"/>
        <w:rPr>
          <w:rFonts w:ascii="黑体" w:hAnsi="黑体" w:eastAsia="黑体"/>
          <w:szCs w:val="21"/>
        </w:rPr>
      </w:pPr>
    </w:p>
    <w:p>
      <w:pPr>
        <w:widowControl/>
        <w:jc w:val="left"/>
        <w:rPr>
          <w:rFonts w:ascii="黑体" w:hAnsi="黑体" w:eastAsia="黑体"/>
          <w:szCs w:val="21"/>
        </w:rPr>
      </w:pPr>
    </w:p>
    <w:p>
      <w:pPr>
        <w:widowControl/>
        <w:jc w:val="left"/>
        <w:rPr>
          <w:rFonts w:ascii="黑体" w:hAnsi="黑体" w:eastAsia="黑体"/>
          <w:szCs w:val="21"/>
        </w:rPr>
      </w:pPr>
    </w:p>
    <w:p>
      <w:pPr>
        <w:widowControl/>
        <w:jc w:val="left"/>
        <w:rPr>
          <w:rFonts w:ascii="黑体" w:hAnsi="黑体" w:eastAsia="黑体"/>
          <w:szCs w:val="21"/>
        </w:rPr>
      </w:pPr>
    </w:p>
    <w:p>
      <w:pPr>
        <w:widowControl/>
        <w:jc w:val="left"/>
        <w:rPr>
          <w:rFonts w:ascii="黑体" w:hAnsi="黑体" w:eastAsia="黑体"/>
          <w:szCs w:val="21"/>
        </w:rPr>
      </w:pPr>
    </w:p>
    <w:p>
      <w:pPr>
        <w:widowControl/>
        <w:jc w:val="left"/>
        <w:rPr>
          <w:rFonts w:ascii="黑体" w:hAnsi="黑体" w:eastAsia="黑体"/>
          <w:szCs w:val="21"/>
        </w:rPr>
      </w:pPr>
    </w:p>
    <w:p>
      <w:pPr>
        <w:widowControl/>
        <w:jc w:val="left"/>
        <w:rPr>
          <w:rFonts w:ascii="黑体" w:hAnsi="黑体" w:eastAsia="黑体"/>
          <w:szCs w:val="21"/>
        </w:rPr>
      </w:pPr>
    </w:p>
    <w:p>
      <w:pPr>
        <w:widowControl/>
        <w:jc w:val="left"/>
        <w:rPr>
          <w:rFonts w:ascii="黑体" w:hAnsi="黑体" w:eastAsia="黑体"/>
          <w:szCs w:val="21"/>
        </w:rPr>
      </w:pPr>
    </w:p>
    <w:p>
      <w:pPr>
        <w:widowControl/>
        <w:jc w:val="left"/>
        <w:rPr>
          <w:rFonts w:ascii="黑体" w:hAnsi="黑体" w:eastAsia="黑体"/>
          <w:szCs w:val="21"/>
        </w:rPr>
      </w:pPr>
    </w:p>
    <w:p>
      <w:pPr>
        <w:widowControl/>
        <w:jc w:val="left"/>
        <w:rPr>
          <w:rFonts w:ascii="黑体" w:hAnsi="黑体" w:eastAsia="黑体"/>
          <w:szCs w:val="21"/>
        </w:rPr>
      </w:pPr>
    </w:p>
    <w:p>
      <w:pPr>
        <w:widowControl/>
        <w:jc w:val="left"/>
        <w:rPr>
          <w:rFonts w:ascii="黑体" w:hAnsi="黑体" w:eastAsia="黑体"/>
          <w:szCs w:val="21"/>
        </w:rPr>
      </w:pPr>
    </w:p>
    <w:p>
      <w:pPr>
        <w:widowControl/>
        <w:jc w:val="left"/>
        <w:rPr>
          <w:rFonts w:ascii="黑体" w:hAnsi="黑体" w:eastAsia="黑体"/>
          <w:szCs w:val="21"/>
        </w:rPr>
      </w:pPr>
      <w:r>
        <w:rPr>
          <w:rFonts w:ascii="黑体" w:hAnsi="黑体" w:eastAsia="黑体"/>
          <w:szCs w:val="21"/>
        </w:rPr>
        <w:br w:type="page"/>
      </w:r>
    </w:p>
    <w:tbl>
      <w:tblPr>
        <w:tblStyle w:val="11"/>
        <w:tblW w:w="150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27"/>
        <w:gridCol w:w="306"/>
        <w:gridCol w:w="306"/>
        <w:gridCol w:w="1509"/>
        <w:gridCol w:w="1457"/>
        <w:gridCol w:w="1457"/>
        <w:gridCol w:w="1457"/>
        <w:gridCol w:w="1457"/>
        <w:gridCol w:w="1457"/>
        <w:gridCol w:w="22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5000" w:type="dxa"/>
            <w:gridSpan w:val="10"/>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部门：溆浦县农业农村局</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6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504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6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8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68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68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6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lang w:val="en-US" w:eastAsia="zh-CN"/>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lang w:val="en-US" w:eastAsia="zh-CN"/>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lang w:val="en-US" w:eastAsia="zh-CN"/>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lang w:val="en-US" w:eastAsia="zh-CN"/>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lang w:val="en-US" w:eastAsia="zh-CN"/>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lang w:val="en-US" w:eastAsia="zh-CN"/>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bl>
    <w:p>
      <w:pPr>
        <w:widowControl/>
        <w:jc w:val="left"/>
        <w:rPr>
          <w:rFonts w:ascii="黑体" w:hAnsi="黑体" w:eastAsia="黑体"/>
          <w:szCs w:val="21"/>
        </w:rPr>
      </w:pPr>
    </w:p>
    <w:p>
      <w:pPr>
        <w:widowControl/>
        <w:jc w:val="left"/>
        <w:rPr>
          <w:rFonts w:ascii="黑体" w:hAnsi="黑体" w:eastAsia="黑体"/>
          <w:szCs w:val="21"/>
        </w:rPr>
      </w:pPr>
    </w:p>
    <w:p>
      <w:pPr>
        <w:widowControl/>
        <w:jc w:val="left"/>
        <w:rPr>
          <w:rFonts w:ascii="黑体" w:hAnsi="黑体" w:eastAsia="黑体"/>
          <w:szCs w:val="21"/>
        </w:rPr>
      </w:pPr>
    </w:p>
    <w:p>
      <w:pPr>
        <w:widowControl/>
        <w:jc w:val="left"/>
        <w:rPr>
          <w:rFonts w:ascii="黑体" w:hAnsi="黑体" w:eastAsia="黑体"/>
          <w:szCs w:val="21"/>
        </w:rPr>
      </w:pPr>
    </w:p>
    <w:p>
      <w:pPr>
        <w:widowControl/>
        <w:jc w:val="left"/>
        <w:rPr>
          <w:rFonts w:ascii="黑体" w:hAnsi="黑体" w:eastAsia="黑体"/>
          <w:szCs w:val="21"/>
        </w:rPr>
      </w:pPr>
    </w:p>
    <w:p>
      <w:pPr>
        <w:widowControl/>
        <w:jc w:val="left"/>
        <w:rPr>
          <w:rFonts w:ascii="黑体" w:hAnsi="黑体" w:eastAsia="黑体"/>
          <w:szCs w:val="21"/>
        </w:rPr>
      </w:pPr>
    </w:p>
    <w:p>
      <w:pPr>
        <w:widowControl/>
        <w:jc w:val="left"/>
        <w:rPr>
          <w:rFonts w:ascii="黑体" w:hAnsi="黑体" w:eastAsia="黑体"/>
          <w:szCs w:val="21"/>
        </w:rPr>
      </w:pPr>
    </w:p>
    <w:p>
      <w:pPr>
        <w:widowControl/>
        <w:jc w:val="left"/>
        <w:rPr>
          <w:rFonts w:ascii="黑体" w:hAnsi="黑体" w:eastAsia="黑体"/>
          <w:szCs w:val="21"/>
        </w:rPr>
      </w:pPr>
    </w:p>
    <w:p>
      <w:pPr>
        <w:widowControl/>
        <w:jc w:val="left"/>
        <w:rPr>
          <w:rFonts w:ascii="黑体" w:hAnsi="黑体" w:eastAsia="黑体"/>
          <w:szCs w:val="21"/>
        </w:rPr>
      </w:pPr>
    </w:p>
    <w:p>
      <w:pPr>
        <w:widowControl/>
        <w:jc w:val="left"/>
        <w:rPr>
          <w:rFonts w:ascii="黑体" w:hAnsi="黑体" w:eastAsia="黑体"/>
          <w:szCs w:val="21"/>
        </w:rPr>
      </w:pPr>
    </w:p>
    <w:p>
      <w:pPr>
        <w:widowControl/>
        <w:jc w:val="left"/>
        <w:rPr>
          <w:rFonts w:ascii="黑体" w:hAnsi="黑体" w:eastAsia="黑体"/>
          <w:szCs w:val="21"/>
        </w:rPr>
      </w:pPr>
    </w:p>
    <w:p>
      <w:pPr>
        <w:widowControl/>
        <w:jc w:val="left"/>
        <w:rPr>
          <w:rFonts w:ascii="黑体" w:hAnsi="黑体" w:eastAsia="黑体"/>
          <w:szCs w:val="21"/>
        </w:rPr>
      </w:pPr>
    </w:p>
    <w:p>
      <w:pPr>
        <w:widowControl/>
        <w:jc w:val="left"/>
        <w:rPr>
          <w:rFonts w:ascii="黑体" w:hAnsi="黑体" w:eastAsia="黑体"/>
          <w:szCs w:val="21"/>
        </w:rPr>
      </w:pPr>
    </w:p>
    <w:p>
      <w:pPr>
        <w:widowControl/>
        <w:jc w:val="left"/>
        <w:rPr>
          <w:rFonts w:ascii="黑体" w:hAnsi="黑体" w:eastAsia="黑体"/>
          <w:szCs w:val="21"/>
        </w:rPr>
      </w:pPr>
    </w:p>
    <w:p>
      <w:pPr>
        <w:widowControl/>
        <w:jc w:val="left"/>
        <w:rPr>
          <w:rFonts w:ascii="黑体" w:hAnsi="黑体" w:eastAsia="黑体"/>
          <w:szCs w:val="21"/>
        </w:rPr>
      </w:pPr>
    </w:p>
    <w:tbl>
      <w:tblPr>
        <w:tblStyle w:val="11"/>
        <w:tblW w:w="99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117"/>
        <w:gridCol w:w="286"/>
        <w:gridCol w:w="286"/>
        <w:gridCol w:w="1414"/>
        <w:gridCol w:w="1365"/>
        <w:gridCol w:w="1365"/>
        <w:gridCol w:w="21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960" w:type="dxa"/>
            <w:gridSpan w:val="7"/>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部门：溆浦县农业农村局</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04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8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68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68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lang w:val="en-US" w:eastAsia="zh-CN"/>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lang w:val="en-US" w:eastAsia="zh-CN"/>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lang w:val="en-US" w:eastAsia="zh-CN"/>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lang w:val="en-US" w:eastAsia="zh-CN"/>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w:t>
            </w:r>
          </w:p>
        </w:tc>
      </w:tr>
    </w:tbl>
    <w:p>
      <w:pPr>
        <w:pStyle w:val="15"/>
        <w:rPr>
          <w:sz w:val="72"/>
          <w:szCs w:val="72"/>
        </w:rPr>
        <w:sectPr>
          <w:pgSz w:w="16838" w:h="11906" w:orient="landscape"/>
          <w:pgMar w:top="720" w:right="720" w:bottom="720" w:left="720" w:header="851" w:footer="992" w:gutter="0"/>
          <w:cols w:space="425" w:num="1"/>
          <w:docGrid w:type="lines" w:linePitch="312" w:charSpace="0"/>
        </w:sectPr>
      </w:pPr>
    </w:p>
    <w:p>
      <w:pPr>
        <w:pStyle w:val="15"/>
        <w:rPr>
          <w:sz w:val="72"/>
          <w:szCs w:val="72"/>
        </w:rPr>
      </w:pPr>
    </w:p>
    <w:p>
      <w:pPr>
        <w:pStyle w:val="15"/>
        <w:rPr>
          <w:sz w:val="72"/>
          <w:szCs w:val="72"/>
        </w:rPr>
      </w:pPr>
    </w:p>
    <w:p>
      <w:pPr>
        <w:pStyle w:val="15"/>
        <w:rPr>
          <w:sz w:val="72"/>
          <w:szCs w:val="72"/>
        </w:rPr>
      </w:pPr>
    </w:p>
    <w:p>
      <w:pPr>
        <w:pStyle w:val="15"/>
        <w:rPr>
          <w:sz w:val="72"/>
          <w:szCs w:val="72"/>
        </w:rPr>
      </w:pPr>
    </w:p>
    <w:p>
      <w:pPr>
        <w:pStyle w:val="15"/>
        <w:jc w:val="center"/>
        <w:rPr>
          <w:sz w:val="72"/>
          <w:szCs w:val="72"/>
        </w:rPr>
      </w:pPr>
    </w:p>
    <w:p>
      <w:pPr>
        <w:pStyle w:val="15"/>
        <w:jc w:val="center"/>
        <w:rPr>
          <w:sz w:val="72"/>
          <w:szCs w:val="72"/>
        </w:rPr>
      </w:pPr>
    </w:p>
    <w:p>
      <w:pPr>
        <w:pStyle w:val="15"/>
        <w:jc w:val="center"/>
        <w:rPr>
          <w:sz w:val="72"/>
          <w:szCs w:val="72"/>
        </w:rPr>
      </w:pPr>
      <w:r>
        <w:rPr>
          <w:rFonts w:hint="eastAsia"/>
          <w:sz w:val="72"/>
          <w:szCs w:val="72"/>
        </w:rPr>
        <w:t>第三部分</w:t>
      </w:r>
    </w:p>
    <w:p>
      <w:pPr>
        <w:pStyle w:val="15"/>
        <w:jc w:val="center"/>
        <w:rPr>
          <w:sz w:val="70"/>
          <w:szCs w:val="70"/>
        </w:rPr>
      </w:pPr>
    </w:p>
    <w:p>
      <w:pPr>
        <w:pStyle w:val="15"/>
        <w:jc w:val="center"/>
        <w:rPr>
          <w:sz w:val="70"/>
          <w:szCs w:val="70"/>
        </w:rPr>
      </w:pPr>
      <w:r>
        <w:rPr>
          <w:rFonts w:hint="eastAsia"/>
          <w:sz w:val="70"/>
          <w:szCs w:val="70"/>
          <w:lang w:eastAsia="zh-CN"/>
        </w:rPr>
        <w:t>202</w:t>
      </w:r>
      <w:r>
        <w:rPr>
          <w:rFonts w:hint="eastAsia"/>
          <w:sz w:val="70"/>
          <w:szCs w:val="70"/>
          <w:lang w:val="en-US" w:eastAsia="zh-CN"/>
        </w:rPr>
        <w:t>1</w:t>
      </w:r>
      <w:r>
        <w:rPr>
          <w:rFonts w:hint="eastAsia"/>
          <w:sz w:val="70"/>
          <w:szCs w:val="70"/>
        </w:rPr>
        <w:t>年度部门决算情况说明</w:t>
      </w:r>
    </w:p>
    <w:p>
      <w:pPr>
        <w:widowControl/>
        <w:jc w:val="left"/>
        <w:rPr>
          <w:rFonts w:asciiTheme="minorEastAsia" w:hAnsiTheme="minorEastAsia" w:eastAsiaTheme="minorEastAsia"/>
          <w:sz w:val="32"/>
          <w:szCs w:val="32"/>
        </w:rPr>
      </w:pPr>
      <w:r>
        <w:rPr>
          <w:sz w:val="70"/>
          <w:szCs w:val="70"/>
        </w:rPr>
        <w:br w:type="page"/>
      </w:r>
    </w:p>
    <w:p>
      <w:pPr>
        <w:pStyle w:val="15"/>
        <w:rPr>
          <w:rFonts w:hAnsi="黑体"/>
          <w:b/>
          <w:sz w:val="32"/>
          <w:szCs w:val="32"/>
        </w:rPr>
      </w:pPr>
      <w:r>
        <w:rPr>
          <w:rFonts w:hint="eastAsia" w:hAnsi="黑体"/>
          <w:b/>
          <w:sz w:val="32"/>
          <w:szCs w:val="32"/>
        </w:rPr>
        <w:t>一、收入支出决算总体情况说明</w:t>
      </w:r>
    </w:p>
    <w:p>
      <w:pPr>
        <w:pStyle w:val="15"/>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eastAsia="zh-CN"/>
        </w:rPr>
        <w:t>202</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年度收、支总计31975.77万元。与上年相比，增加</w:t>
      </w:r>
      <w:r>
        <w:rPr>
          <w:rFonts w:hint="eastAsia" w:asciiTheme="minorEastAsia" w:hAnsiTheme="minorEastAsia" w:eastAsiaTheme="minorEastAsia"/>
          <w:sz w:val="32"/>
          <w:szCs w:val="32"/>
          <w:lang w:val="en-US" w:eastAsia="zh-CN"/>
        </w:rPr>
        <w:t>14557.41</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83.58</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主要是因为本年度收入开支增加。</w:t>
      </w:r>
    </w:p>
    <w:p>
      <w:pPr>
        <w:pStyle w:val="15"/>
        <w:rPr>
          <w:rFonts w:hAnsi="黑体"/>
          <w:b/>
          <w:sz w:val="32"/>
          <w:szCs w:val="32"/>
        </w:rPr>
      </w:pPr>
      <w:r>
        <w:rPr>
          <w:rFonts w:hint="eastAsia" w:hAnsi="黑体"/>
          <w:b/>
          <w:sz w:val="32"/>
          <w:szCs w:val="32"/>
        </w:rPr>
        <w:t>二、收入决算情况说明</w:t>
      </w:r>
    </w:p>
    <w:p>
      <w:pPr>
        <w:pStyle w:val="15"/>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eastAsia="zh-CN"/>
        </w:rPr>
        <w:t>202</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年度收入合计31855.88万元，其中：财政拨款收入31855.88万元，占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%；上级补助收入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%；事业收入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%；附属单位上缴收入</w:t>
      </w:r>
      <w:r>
        <w:rPr>
          <w:rFonts w:hint="eastAsia" w:asciiTheme="minorEastAsia" w:hAnsiTheme="minorEastAsia" w:eastAsiaTheme="minorEastAsia"/>
          <w:sz w:val="32"/>
          <w:szCs w:val="32"/>
          <w:lang w:val="en-US" w:eastAsia="zh-CN"/>
        </w:rPr>
        <w:t>0万</w:t>
      </w:r>
      <w:r>
        <w:rPr>
          <w:rFonts w:hint="eastAsia" w:asciiTheme="minorEastAsia" w:hAnsiTheme="minorEastAsia" w:eastAsiaTheme="minorEastAsia"/>
          <w:sz w:val="32"/>
          <w:szCs w:val="32"/>
        </w:rPr>
        <w:t>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%；其他收入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5"/>
        <w:rPr>
          <w:rFonts w:hAnsi="黑体"/>
          <w:b/>
          <w:sz w:val="32"/>
          <w:szCs w:val="32"/>
        </w:rPr>
      </w:pPr>
      <w:r>
        <w:rPr>
          <w:rFonts w:hint="eastAsia" w:hAnsi="黑体"/>
          <w:b/>
          <w:sz w:val="32"/>
          <w:szCs w:val="32"/>
        </w:rPr>
        <w:t>三、支出决算情况说明</w:t>
      </w:r>
    </w:p>
    <w:p>
      <w:pPr>
        <w:pStyle w:val="15"/>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eastAsia="zh-CN"/>
        </w:rPr>
        <w:t>202</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年度支出合计31855.88万元，其中：基本支出3071.47万元，占</w:t>
      </w:r>
      <w:r>
        <w:rPr>
          <w:rFonts w:hint="eastAsia" w:asciiTheme="minorEastAsia" w:hAnsiTheme="minorEastAsia" w:eastAsiaTheme="minorEastAsia"/>
          <w:sz w:val="32"/>
          <w:szCs w:val="32"/>
          <w:lang w:val="en-US" w:eastAsia="zh-CN"/>
        </w:rPr>
        <w:t>9.64</w:t>
      </w:r>
      <w:r>
        <w:rPr>
          <w:rFonts w:hint="eastAsia" w:asciiTheme="minorEastAsia" w:hAnsiTheme="minorEastAsia" w:eastAsiaTheme="minorEastAsia"/>
          <w:sz w:val="32"/>
          <w:szCs w:val="32"/>
        </w:rPr>
        <w:t>%；项目支出28784.41万元，占</w:t>
      </w:r>
      <w:r>
        <w:rPr>
          <w:rFonts w:hint="eastAsia" w:asciiTheme="minorEastAsia" w:hAnsiTheme="minorEastAsia" w:eastAsiaTheme="minorEastAsia"/>
          <w:sz w:val="32"/>
          <w:szCs w:val="32"/>
          <w:lang w:val="en-US" w:eastAsia="zh-CN"/>
        </w:rPr>
        <w:t>90.36</w:t>
      </w:r>
      <w:r>
        <w:rPr>
          <w:rFonts w:hint="eastAsia" w:asciiTheme="minorEastAsia" w:hAnsiTheme="minorEastAsia" w:eastAsiaTheme="minorEastAsia"/>
          <w:sz w:val="32"/>
          <w:szCs w:val="32"/>
        </w:rPr>
        <w:t>%；上缴上级支出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%；对附属单位补助支出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5"/>
        <w:rPr>
          <w:rFonts w:hAnsi="黑体"/>
          <w:b/>
          <w:sz w:val="32"/>
          <w:szCs w:val="32"/>
        </w:rPr>
      </w:pPr>
      <w:r>
        <w:rPr>
          <w:rFonts w:hint="eastAsia" w:hAnsi="黑体"/>
          <w:b/>
          <w:sz w:val="32"/>
          <w:szCs w:val="32"/>
        </w:rPr>
        <w:t>四、财政拨款收入支出决算总体情况说明</w:t>
      </w:r>
    </w:p>
    <w:p>
      <w:pPr>
        <w:pStyle w:val="15"/>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eastAsia="zh-CN"/>
        </w:rPr>
        <w:t>202</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年度财政拨款收、支总计31865.69万元，与上年相比，增加</w:t>
      </w:r>
      <w:r>
        <w:rPr>
          <w:rFonts w:hint="eastAsia" w:asciiTheme="minorEastAsia" w:hAnsiTheme="minorEastAsia" w:eastAsiaTheme="minorEastAsia"/>
          <w:sz w:val="32"/>
          <w:szCs w:val="32"/>
          <w:lang w:val="en-US" w:eastAsia="zh-CN"/>
        </w:rPr>
        <w:t>14557.41</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84.11</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主要是因为本年度收入开支增加。</w:t>
      </w:r>
    </w:p>
    <w:p>
      <w:pPr>
        <w:pStyle w:val="15"/>
        <w:rPr>
          <w:rFonts w:hAnsi="黑体"/>
          <w:b/>
          <w:sz w:val="32"/>
          <w:szCs w:val="32"/>
        </w:rPr>
      </w:pPr>
      <w:r>
        <w:rPr>
          <w:rFonts w:hint="eastAsia" w:hAnsi="黑体"/>
          <w:b/>
          <w:sz w:val="32"/>
          <w:szCs w:val="32"/>
        </w:rPr>
        <w:t>五、一般公共预算财政拨款支出决算情况说明</w:t>
      </w:r>
    </w:p>
    <w:p>
      <w:pPr>
        <w:pStyle w:val="15"/>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5"/>
        <w:ind w:firstLine="640" w:firstLineChars="200"/>
        <w:rPr>
          <w:rFonts w:asciiTheme="minorEastAsia" w:hAnsiTheme="minorEastAsia" w:eastAsiaTheme="minorEastAsia"/>
          <w:color w:val="FF0000"/>
          <w:sz w:val="32"/>
          <w:szCs w:val="32"/>
        </w:rPr>
      </w:pPr>
      <w:r>
        <w:rPr>
          <w:rFonts w:hint="eastAsia" w:asciiTheme="minorEastAsia" w:hAnsiTheme="minorEastAsia" w:eastAsiaTheme="minorEastAsia"/>
          <w:sz w:val="32"/>
          <w:szCs w:val="32"/>
          <w:lang w:eastAsia="zh-CN"/>
        </w:rPr>
        <w:t>202</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年度财政拨款支出31855.88万元，占本年支出合计的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%，与上年相比，财政拨款支出增加</w:t>
      </w:r>
      <w:r>
        <w:rPr>
          <w:rFonts w:hint="eastAsia" w:asciiTheme="minorEastAsia" w:hAnsiTheme="minorEastAsia" w:eastAsiaTheme="minorEastAsia"/>
          <w:sz w:val="32"/>
          <w:szCs w:val="32"/>
          <w:lang w:val="en-US" w:eastAsia="zh-CN"/>
        </w:rPr>
        <w:t>14583.41</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84.43</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主要是因为本年度收入开支增加。</w:t>
      </w:r>
    </w:p>
    <w:p>
      <w:pPr>
        <w:pStyle w:val="15"/>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15"/>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eastAsia="zh-CN"/>
        </w:rPr>
        <w:t>202</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年度财政拨款支出31855.88万元，主要用于以下方面：一般公共服务（类）支出</w:t>
      </w:r>
      <w:r>
        <w:rPr>
          <w:rFonts w:hint="eastAsia" w:asciiTheme="minorEastAsia" w:hAnsiTheme="minorEastAsia" w:eastAsiaTheme="minorEastAsia"/>
          <w:sz w:val="32"/>
          <w:szCs w:val="32"/>
          <w:lang w:val="en-US" w:eastAsia="zh-CN"/>
        </w:rPr>
        <w:t>2.4</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0.0075</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教育（类）支出17.6万元，占0.0552%；科学技术（类）支出20万元，占0.0628%；社会保障和就业支出</w:t>
      </w:r>
      <w:r>
        <w:rPr>
          <w:rFonts w:hint="eastAsia" w:asciiTheme="minorEastAsia" w:hAnsiTheme="minorEastAsia" w:eastAsiaTheme="minorEastAsia"/>
          <w:sz w:val="32"/>
          <w:szCs w:val="32"/>
        </w:rPr>
        <w:t>（类）支出</w:t>
      </w:r>
      <w:r>
        <w:rPr>
          <w:rFonts w:hint="eastAsia" w:asciiTheme="minorEastAsia" w:hAnsiTheme="minorEastAsia" w:eastAsiaTheme="minorEastAsia"/>
          <w:sz w:val="32"/>
          <w:szCs w:val="32"/>
          <w:lang w:val="en-US" w:eastAsia="zh-CN"/>
        </w:rPr>
        <w:t>215.75</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0.6773</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卫生健康（类）支出52.45万元，</w:t>
      </w:r>
      <w:r>
        <w:rPr>
          <w:rFonts w:hint="eastAsia" w:asciiTheme="minorEastAsia" w:hAnsiTheme="minorEastAsia" w:eastAsiaTheme="minorEastAsia"/>
          <w:sz w:val="32"/>
          <w:szCs w:val="32"/>
        </w:rPr>
        <w:t>占</w:t>
      </w:r>
      <w:r>
        <w:rPr>
          <w:rFonts w:hint="eastAsia" w:asciiTheme="minorEastAsia" w:hAnsiTheme="minorEastAsia" w:eastAsiaTheme="minorEastAsia"/>
          <w:sz w:val="32"/>
          <w:szCs w:val="32"/>
          <w:lang w:val="en-US" w:eastAsia="zh-CN"/>
        </w:rPr>
        <w:t>0.1646</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节能环保（类）支出1495.54万元，</w:t>
      </w:r>
      <w:r>
        <w:rPr>
          <w:rFonts w:hint="eastAsia" w:asciiTheme="minorEastAsia" w:hAnsiTheme="minorEastAsia" w:eastAsiaTheme="minorEastAsia"/>
          <w:sz w:val="32"/>
          <w:szCs w:val="32"/>
        </w:rPr>
        <w:t>占</w:t>
      </w:r>
      <w:r>
        <w:rPr>
          <w:rFonts w:hint="eastAsia" w:asciiTheme="minorEastAsia" w:hAnsiTheme="minorEastAsia" w:eastAsiaTheme="minorEastAsia"/>
          <w:sz w:val="32"/>
          <w:szCs w:val="32"/>
          <w:lang w:val="en-US" w:eastAsia="zh-CN"/>
        </w:rPr>
        <w:t>4.6947</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城乡社区支出（类）10.16万元，占0.0319%；农林水支出（类）29524.03万元，占92.68%；商业服务业等支出（类）5万元，占0.0157%；金融支出（类）60万元，占0.1883%；住房保障支出（类）43.19万元，占0.1356%；粮油物资储备支出409.75万元，占1.2863%。</w:t>
      </w:r>
    </w:p>
    <w:p>
      <w:pPr>
        <w:pStyle w:val="15"/>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15"/>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eastAsia="zh-CN"/>
        </w:rPr>
        <w:t>202</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年度财政拨款支出年初预算数为31855.88万元，支出决算数为31855.88万元，完成年初预算的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%，其中：</w:t>
      </w:r>
    </w:p>
    <w:p>
      <w:pPr>
        <w:pStyle w:val="15"/>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1、一般公共服务（类）</w:t>
      </w:r>
      <w:r>
        <w:rPr>
          <w:rFonts w:hint="eastAsia" w:asciiTheme="minorEastAsia" w:hAnsiTheme="minorEastAsia" w:eastAsiaTheme="minorEastAsia"/>
          <w:sz w:val="32"/>
          <w:szCs w:val="32"/>
          <w:lang w:val="en-US" w:eastAsia="zh-CN"/>
        </w:rPr>
        <w:t>纪检监察事务</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val="en-US" w:eastAsia="zh-CN"/>
        </w:rPr>
        <w:t>行政运行</w:t>
      </w:r>
      <w:r>
        <w:rPr>
          <w:rFonts w:hint="eastAsia" w:asciiTheme="minorEastAsia" w:hAnsiTheme="minorEastAsia" w:eastAsiaTheme="minorEastAsia"/>
          <w:sz w:val="32"/>
          <w:szCs w:val="32"/>
        </w:rPr>
        <w:t>（项）。</w:t>
      </w:r>
    </w:p>
    <w:p>
      <w:pPr>
        <w:pStyle w:val="15"/>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2.4</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val="en-US" w:eastAsia="zh-CN"/>
        </w:rPr>
        <w:t>预算调整。</w:t>
      </w:r>
    </w:p>
    <w:p>
      <w:pPr>
        <w:pStyle w:val="15"/>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2、教育支出（类）</w:t>
      </w:r>
      <w:r>
        <w:rPr>
          <w:rFonts w:hint="eastAsia" w:asciiTheme="minorEastAsia" w:hAnsiTheme="minorEastAsia" w:eastAsiaTheme="minorEastAsia"/>
          <w:sz w:val="32"/>
          <w:szCs w:val="32"/>
          <w:lang w:val="en-US" w:eastAsia="zh-CN"/>
        </w:rPr>
        <w:t>广播电视教育</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val="en-US" w:eastAsia="zh-CN"/>
        </w:rPr>
        <w:t>广播电视学校</w:t>
      </w:r>
      <w:r>
        <w:rPr>
          <w:rFonts w:hint="eastAsia" w:asciiTheme="minorEastAsia" w:hAnsiTheme="minorEastAsia" w:eastAsiaTheme="minorEastAsia"/>
          <w:sz w:val="32"/>
          <w:szCs w:val="32"/>
        </w:rPr>
        <w:t>（项）。</w:t>
      </w:r>
    </w:p>
    <w:p>
      <w:pPr>
        <w:pStyle w:val="15"/>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17.6</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val="en-US" w:eastAsia="zh-CN"/>
        </w:rPr>
        <w:t>预算调整。</w:t>
      </w:r>
    </w:p>
    <w:p>
      <w:pPr>
        <w:pStyle w:val="15"/>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科学技术支出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val="en-US" w:eastAsia="zh-CN"/>
        </w:rPr>
        <w:t>技术研究与开发</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val="en-US" w:eastAsia="zh-CN"/>
        </w:rPr>
        <w:t>科技成果转化与扩散</w:t>
      </w:r>
      <w:r>
        <w:rPr>
          <w:rFonts w:hint="eastAsia" w:asciiTheme="minorEastAsia" w:hAnsiTheme="minorEastAsia" w:eastAsiaTheme="minorEastAsia"/>
          <w:sz w:val="32"/>
          <w:szCs w:val="32"/>
        </w:rPr>
        <w:t>（项）。</w:t>
      </w:r>
    </w:p>
    <w:p>
      <w:pPr>
        <w:pStyle w:val="15"/>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20</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val="en-US" w:eastAsia="zh-CN"/>
        </w:rPr>
        <w:t>预算调整。</w:t>
      </w:r>
    </w:p>
    <w:p>
      <w:pPr>
        <w:pStyle w:val="15"/>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社会保障和就业支出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val="en-US" w:eastAsia="zh-CN"/>
        </w:rPr>
        <w:t>人力资源和社会保障管理事务</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val="en-US" w:eastAsia="zh-CN"/>
        </w:rPr>
        <w:t>引进人才费用</w:t>
      </w:r>
      <w:r>
        <w:rPr>
          <w:rFonts w:hint="eastAsia" w:asciiTheme="minorEastAsia" w:hAnsiTheme="minorEastAsia" w:eastAsiaTheme="minorEastAsia"/>
          <w:sz w:val="32"/>
          <w:szCs w:val="32"/>
        </w:rPr>
        <w:t>（项）。</w:t>
      </w:r>
    </w:p>
    <w:p>
      <w:pPr>
        <w:pStyle w:val="15"/>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6.4</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val="en-US" w:eastAsia="zh-CN"/>
        </w:rPr>
        <w:t>预算调整。</w:t>
      </w:r>
    </w:p>
    <w:p>
      <w:pPr>
        <w:pStyle w:val="15"/>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5</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社会保障和就业支出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val="en-US" w:eastAsia="zh-CN"/>
        </w:rPr>
        <w:t>人力资源和社会保障管理事务</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val="en-US" w:eastAsia="zh-CN"/>
        </w:rPr>
        <w:t>其他人力资源和社会保障管理事务支出</w:t>
      </w:r>
      <w:r>
        <w:rPr>
          <w:rFonts w:hint="eastAsia" w:asciiTheme="minorEastAsia" w:hAnsiTheme="minorEastAsia" w:eastAsiaTheme="minorEastAsia"/>
          <w:sz w:val="32"/>
          <w:szCs w:val="32"/>
        </w:rPr>
        <w:t>（项）。</w:t>
      </w:r>
    </w:p>
    <w:p>
      <w:pPr>
        <w:pStyle w:val="15"/>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5.71</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val="en-US" w:eastAsia="zh-CN"/>
        </w:rPr>
        <w:t>预算调整。</w:t>
      </w:r>
    </w:p>
    <w:p>
      <w:pPr>
        <w:pStyle w:val="15"/>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6、社会保障和就业支出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val="en-US" w:eastAsia="zh-CN"/>
        </w:rPr>
        <w:t>民政管理事务</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val="en-US" w:eastAsia="zh-CN"/>
        </w:rPr>
        <w:t>其他民政管理事务支出</w:t>
      </w:r>
      <w:r>
        <w:rPr>
          <w:rFonts w:hint="eastAsia" w:asciiTheme="minorEastAsia" w:hAnsiTheme="minorEastAsia" w:eastAsiaTheme="minorEastAsia"/>
          <w:sz w:val="32"/>
          <w:szCs w:val="32"/>
        </w:rPr>
        <w:t>（项）。</w:t>
      </w:r>
    </w:p>
    <w:p>
      <w:pPr>
        <w:pStyle w:val="15"/>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val="en-US" w:eastAsia="zh-CN"/>
        </w:rPr>
        <w:t>预算调整。</w:t>
      </w:r>
    </w:p>
    <w:p>
      <w:pPr>
        <w:pStyle w:val="15"/>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7、社会保障和就业支出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val="en-US" w:eastAsia="zh-CN"/>
        </w:rPr>
        <w:t>行政事业单位养老支出</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val="en-US" w:eastAsia="zh-CN"/>
        </w:rPr>
        <w:t>机关事业单位基本养老保险缴费支出</w:t>
      </w:r>
      <w:r>
        <w:rPr>
          <w:rFonts w:hint="eastAsia" w:asciiTheme="minorEastAsia" w:hAnsiTheme="minorEastAsia" w:eastAsiaTheme="minorEastAsia"/>
          <w:sz w:val="32"/>
          <w:szCs w:val="32"/>
        </w:rPr>
        <w:t>（项）。</w:t>
      </w:r>
    </w:p>
    <w:p>
      <w:pPr>
        <w:pStyle w:val="15"/>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101.11</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101.11</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val="en-US" w:eastAsia="zh-CN"/>
        </w:rPr>
        <w:t>预算调整。</w:t>
      </w:r>
    </w:p>
    <w:p>
      <w:pPr>
        <w:pStyle w:val="15"/>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8、社会保障和就业支出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val="en-US" w:eastAsia="zh-CN"/>
        </w:rPr>
        <w:t>抚恤</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val="en-US" w:eastAsia="zh-CN"/>
        </w:rPr>
        <w:t>死亡抚恤</w:t>
      </w:r>
      <w:r>
        <w:rPr>
          <w:rFonts w:hint="eastAsia" w:asciiTheme="minorEastAsia" w:hAnsiTheme="minorEastAsia" w:eastAsiaTheme="minorEastAsia"/>
          <w:sz w:val="32"/>
          <w:szCs w:val="32"/>
        </w:rPr>
        <w:t>（项）。</w:t>
      </w:r>
    </w:p>
    <w:p>
      <w:pPr>
        <w:pStyle w:val="15"/>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98</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98.95</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100.90</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val="en-US" w:eastAsia="zh-CN"/>
        </w:rPr>
        <w:t>预算调整。</w:t>
      </w:r>
    </w:p>
    <w:p>
      <w:pPr>
        <w:pStyle w:val="15"/>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9、社会保障和就业支出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val="en-US" w:eastAsia="zh-CN"/>
        </w:rPr>
        <w:t>退役军人管理事务</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val="en-US" w:eastAsia="zh-CN"/>
        </w:rPr>
        <w:t>其他退役军人事务管理支出</w:t>
      </w:r>
      <w:r>
        <w:rPr>
          <w:rFonts w:hint="eastAsia" w:asciiTheme="minorEastAsia" w:hAnsiTheme="minorEastAsia" w:eastAsiaTheme="minorEastAsia"/>
          <w:sz w:val="32"/>
          <w:szCs w:val="32"/>
        </w:rPr>
        <w:t>（项）。</w:t>
      </w:r>
    </w:p>
    <w:p>
      <w:pPr>
        <w:pStyle w:val="15"/>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2.58</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1290</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val="en-US" w:eastAsia="zh-CN"/>
        </w:rPr>
        <w:t>预算调整。</w:t>
      </w:r>
    </w:p>
    <w:p>
      <w:pPr>
        <w:pStyle w:val="15"/>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10、卫生健康支出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val="en-US" w:eastAsia="zh-CN"/>
        </w:rPr>
        <w:t>行政事业单位医疗</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val="en-US" w:eastAsia="zh-CN"/>
        </w:rPr>
        <w:t>行政单位医疗</w:t>
      </w:r>
      <w:r>
        <w:rPr>
          <w:rFonts w:hint="eastAsia" w:asciiTheme="minorEastAsia" w:hAnsiTheme="minorEastAsia" w:eastAsiaTheme="minorEastAsia"/>
          <w:sz w:val="32"/>
          <w:szCs w:val="32"/>
        </w:rPr>
        <w:t>（项）。</w:t>
      </w:r>
    </w:p>
    <w:p>
      <w:pPr>
        <w:pStyle w:val="15"/>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46.77万</w:t>
      </w:r>
      <w:r>
        <w:rPr>
          <w:rFonts w:hint="eastAsia" w:asciiTheme="minorEastAsia" w:hAnsiTheme="minorEastAsia" w:eastAsiaTheme="minorEastAsia"/>
          <w:sz w:val="32"/>
          <w:szCs w:val="32"/>
        </w:rPr>
        <w:t>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val="en-US" w:eastAsia="zh-CN"/>
        </w:rPr>
        <w:t>预算调整。</w:t>
      </w:r>
    </w:p>
    <w:p>
      <w:pPr>
        <w:pStyle w:val="15"/>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11、卫生健康支出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val="en-US" w:eastAsia="zh-CN"/>
        </w:rPr>
        <w:t>行政事业单位医疗</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val="en-US" w:eastAsia="zh-CN"/>
        </w:rPr>
        <w:t>事业单位医疗</w:t>
      </w:r>
      <w:r>
        <w:rPr>
          <w:rFonts w:hint="eastAsia" w:asciiTheme="minorEastAsia" w:hAnsiTheme="minorEastAsia" w:eastAsiaTheme="minorEastAsia"/>
          <w:sz w:val="32"/>
          <w:szCs w:val="32"/>
        </w:rPr>
        <w:t>（项）。</w:t>
      </w:r>
    </w:p>
    <w:p>
      <w:pPr>
        <w:pStyle w:val="15"/>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5.68万</w:t>
      </w:r>
      <w:r>
        <w:rPr>
          <w:rFonts w:hint="eastAsia" w:asciiTheme="minorEastAsia" w:hAnsiTheme="minorEastAsia" w:eastAsiaTheme="minorEastAsia"/>
          <w:sz w:val="32"/>
          <w:szCs w:val="32"/>
        </w:rPr>
        <w:t>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val="en-US" w:eastAsia="zh-CN"/>
        </w:rPr>
        <w:t>预算调整。</w:t>
      </w:r>
    </w:p>
    <w:p>
      <w:pPr>
        <w:pStyle w:val="15"/>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12、节能环保支出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val="en-US" w:eastAsia="zh-CN"/>
        </w:rPr>
        <w:t>自然生态保护</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val="en-US" w:eastAsia="zh-CN"/>
        </w:rPr>
        <w:t>农村环境保护</w:t>
      </w:r>
      <w:r>
        <w:rPr>
          <w:rFonts w:hint="eastAsia" w:asciiTheme="minorEastAsia" w:hAnsiTheme="minorEastAsia" w:eastAsiaTheme="minorEastAsia"/>
          <w:sz w:val="32"/>
          <w:szCs w:val="32"/>
        </w:rPr>
        <w:t>（项）。</w:t>
      </w:r>
    </w:p>
    <w:p>
      <w:pPr>
        <w:pStyle w:val="15"/>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1400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1472.16万</w:t>
      </w:r>
      <w:r>
        <w:rPr>
          <w:rFonts w:hint="eastAsia" w:asciiTheme="minorEastAsia" w:hAnsiTheme="minorEastAsia" w:eastAsiaTheme="minorEastAsia"/>
          <w:sz w:val="32"/>
          <w:szCs w:val="32"/>
        </w:rPr>
        <w:t>元，完成年初预算的</w:t>
      </w:r>
      <w:r>
        <w:rPr>
          <w:rFonts w:hint="eastAsia" w:asciiTheme="minorEastAsia" w:hAnsiTheme="minorEastAsia" w:eastAsiaTheme="minorEastAsia"/>
          <w:sz w:val="32"/>
          <w:szCs w:val="32"/>
          <w:lang w:val="en-US" w:eastAsia="zh-CN"/>
        </w:rPr>
        <w:t>105.15</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val="en-US" w:eastAsia="zh-CN"/>
        </w:rPr>
        <w:t>预算调整。</w:t>
      </w:r>
    </w:p>
    <w:p>
      <w:pPr>
        <w:pStyle w:val="15"/>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13、节能环保支出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val="en-US" w:eastAsia="zh-CN"/>
        </w:rPr>
        <w:t>污染减排</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val="en-US" w:eastAsia="zh-CN"/>
        </w:rPr>
        <w:t>生态环境监测与信息</w:t>
      </w:r>
      <w:r>
        <w:rPr>
          <w:rFonts w:hint="eastAsia" w:asciiTheme="minorEastAsia" w:hAnsiTheme="minorEastAsia" w:eastAsiaTheme="minorEastAsia"/>
          <w:sz w:val="32"/>
          <w:szCs w:val="32"/>
        </w:rPr>
        <w:t>（项）。</w:t>
      </w:r>
    </w:p>
    <w:p>
      <w:pPr>
        <w:pStyle w:val="15"/>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23.38万</w:t>
      </w:r>
      <w:r>
        <w:rPr>
          <w:rFonts w:hint="eastAsia" w:asciiTheme="minorEastAsia" w:hAnsiTheme="minorEastAsia" w:eastAsiaTheme="minorEastAsia"/>
          <w:sz w:val="32"/>
          <w:szCs w:val="32"/>
        </w:rPr>
        <w:t>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%，决决算数大于年初预算数的主要原因是：</w:t>
      </w:r>
      <w:r>
        <w:rPr>
          <w:rFonts w:hint="eastAsia" w:asciiTheme="minorEastAsia" w:hAnsiTheme="minorEastAsia" w:eastAsiaTheme="minorEastAsia"/>
          <w:sz w:val="32"/>
          <w:szCs w:val="32"/>
          <w:lang w:val="en-US" w:eastAsia="zh-CN"/>
        </w:rPr>
        <w:t>预算调整。</w:t>
      </w:r>
    </w:p>
    <w:p>
      <w:pPr>
        <w:pStyle w:val="15"/>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14、城乡社区支出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val="en-US" w:eastAsia="zh-CN"/>
        </w:rPr>
        <w:t>城乡社区公共设施</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val="en-US" w:eastAsia="zh-CN"/>
        </w:rPr>
        <w:t>小城镇基础设施建设</w:t>
      </w:r>
      <w:r>
        <w:rPr>
          <w:rFonts w:hint="eastAsia" w:asciiTheme="minorEastAsia" w:hAnsiTheme="minorEastAsia" w:eastAsiaTheme="minorEastAsia"/>
          <w:sz w:val="32"/>
          <w:szCs w:val="32"/>
        </w:rPr>
        <w:t>（项）。</w:t>
      </w:r>
    </w:p>
    <w:p>
      <w:pPr>
        <w:pStyle w:val="15"/>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val="en-US" w:eastAsia="zh-CN"/>
        </w:rPr>
        <w:t>预算调整。</w:t>
      </w:r>
    </w:p>
    <w:p>
      <w:pPr>
        <w:pStyle w:val="15"/>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15、城乡社区支出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val="en-US" w:eastAsia="zh-CN"/>
        </w:rPr>
        <w:t>城乡社区环境卫生</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val="en-US" w:eastAsia="zh-CN"/>
        </w:rPr>
        <w:t>城乡社区环境卫生</w:t>
      </w:r>
      <w:r>
        <w:rPr>
          <w:rFonts w:hint="eastAsia" w:asciiTheme="minorEastAsia" w:hAnsiTheme="minorEastAsia" w:eastAsiaTheme="minorEastAsia"/>
          <w:sz w:val="32"/>
          <w:szCs w:val="32"/>
        </w:rPr>
        <w:t>（项）。</w:t>
      </w:r>
    </w:p>
    <w:p>
      <w:pPr>
        <w:pStyle w:val="15"/>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6.16</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val="en-US" w:eastAsia="zh-CN"/>
        </w:rPr>
        <w:t>预算调整。</w:t>
      </w:r>
    </w:p>
    <w:p>
      <w:pPr>
        <w:pStyle w:val="15"/>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16、农林水支出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val="en-US" w:eastAsia="zh-CN"/>
        </w:rPr>
        <w:t>农业农村</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val="en-US" w:eastAsia="zh-CN"/>
        </w:rPr>
        <w:t>行政运行</w:t>
      </w:r>
      <w:r>
        <w:rPr>
          <w:rFonts w:hint="eastAsia" w:asciiTheme="minorEastAsia" w:hAnsiTheme="minorEastAsia" w:eastAsiaTheme="minorEastAsia"/>
          <w:sz w:val="32"/>
          <w:szCs w:val="32"/>
        </w:rPr>
        <w:t>（项）。</w:t>
      </w:r>
    </w:p>
    <w:p>
      <w:pPr>
        <w:pStyle w:val="15"/>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900</w:t>
      </w:r>
      <w:r>
        <w:rPr>
          <w:rFonts w:hint="eastAsia" w:asciiTheme="minorEastAsia" w:hAnsiTheme="minorEastAsia" w:eastAsiaTheme="minorEastAsia"/>
          <w:sz w:val="32"/>
          <w:szCs w:val="32"/>
        </w:rPr>
        <w:t>元，支出决算为</w:t>
      </w:r>
      <w:r>
        <w:rPr>
          <w:rFonts w:hint="eastAsia" w:asciiTheme="minorEastAsia" w:hAnsiTheme="minorEastAsia" w:eastAsiaTheme="minorEastAsia"/>
          <w:sz w:val="32"/>
          <w:szCs w:val="32"/>
          <w:lang w:val="en-US" w:eastAsia="zh-CN"/>
        </w:rPr>
        <w:t>977.9</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108.6</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val="en-US" w:eastAsia="zh-CN"/>
        </w:rPr>
        <w:t>预算调整。</w:t>
      </w:r>
    </w:p>
    <w:p>
      <w:pPr>
        <w:pStyle w:val="15"/>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17、农林水支出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val="en-US" w:eastAsia="zh-CN"/>
        </w:rPr>
        <w:t>农业农村</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val="en-US" w:eastAsia="zh-CN"/>
        </w:rPr>
        <w:t>科技转化与推广服务</w:t>
      </w:r>
      <w:r>
        <w:rPr>
          <w:rFonts w:hint="eastAsia" w:asciiTheme="minorEastAsia" w:hAnsiTheme="minorEastAsia" w:eastAsiaTheme="minorEastAsia"/>
          <w:sz w:val="32"/>
          <w:szCs w:val="32"/>
        </w:rPr>
        <w:t>（项）。</w:t>
      </w:r>
    </w:p>
    <w:p>
      <w:pPr>
        <w:pStyle w:val="15"/>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200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215.16</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107.58</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val="en-US" w:eastAsia="zh-CN"/>
        </w:rPr>
        <w:t>预算调整。</w:t>
      </w:r>
    </w:p>
    <w:p>
      <w:pPr>
        <w:pStyle w:val="15"/>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18、农林水支出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val="en-US" w:eastAsia="zh-CN"/>
        </w:rPr>
        <w:t>农业农村</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val="en-US" w:eastAsia="zh-CN"/>
        </w:rPr>
        <w:t>病虫害控制</w:t>
      </w:r>
      <w:r>
        <w:rPr>
          <w:rFonts w:hint="eastAsia" w:asciiTheme="minorEastAsia" w:hAnsiTheme="minorEastAsia" w:eastAsiaTheme="minorEastAsia"/>
          <w:sz w:val="32"/>
          <w:szCs w:val="32"/>
        </w:rPr>
        <w:t>（项）。</w:t>
      </w:r>
    </w:p>
    <w:p>
      <w:pPr>
        <w:pStyle w:val="15"/>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179.02</w:t>
      </w:r>
      <w:r>
        <w:rPr>
          <w:rFonts w:hint="eastAsia" w:asciiTheme="minorEastAsia" w:hAnsiTheme="minorEastAsia" w:eastAsiaTheme="minorEastAsia"/>
          <w:sz w:val="32"/>
          <w:szCs w:val="32"/>
        </w:rPr>
        <w:t>元，完成年初预算的</w:t>
      </w:r>
      <w:r>
        <w:rPr>
          <w:rFonts w:hint="eastAsia" w:asciiTheme="minorEastAsia" w:hAnsiTheme="minorEastAsia" w:eastAsiaTheme="minorEastAsia"/>
          <w:sz w:val="32"/>
          <w:szCs w:val="32"/>
          <w:lang w:val="en-US" w:eastAsia="zh-CN"/>
        </w:rPr>
        <w:t>179.02</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val="en-US" w:eastAsia="zh-CN"/>
        </w:rPr>
        <w:t>预算调整。</w:t>
      </w:r>
    </w:p>
    <w:p>
      <w:pPr>
        <w:pStyle w:val="15"/>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 xml:space="preserve"> 19、农林水支出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val="en-US" w:eastAsia="zh-CN"/>
        </w:rPr>
        <w:t>农业农村</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val="en-US" w:eastAsia="zh-CN"/>
        </w:rPr>
        <w:t>农产品质量安全</w:t>
      </w:r>
      <w:r>
        <w:rPr>
          <w:rFonts w:hint="eastAsia" w:asciiTheme="minorEastAsia" w:hAnsiTheme="minorEastAsia" w:eastAsiaTheme="minorEastAsia"/>
          <w:sz w:val="32"/>
          <w:szCs w:val="32"/>
        </w:rPr>
        <w:t>（项）。</w:t>
      </w:r>
    </w:p>
    <w:p>
      <w:pPr>
        <w:pStyle w:val="15"/>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48.7</w:t>
      </w:r>
      <w:r>
        <w:rPr>
          <w:rFonts w:hint="eastAsia" w:asciiTheme="minorEastAsia" w:hAnsiTheme="minorEastAsia" w:eastAsiaTheme="minorEastAsia"/>
          <w:sz w:val="32"/>
          <w:szCs w:val="32"/>
        </w:rPr>
        <w:t>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val="en-US" w:eastAsia="zh-CN"/>
        </w:rPr>
        <w:t>预算调整。</w:t>
      </w:r>
    </w:p>
    <w:p>
      <w:pPr>
        <w:pStyle w:val="15"/>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20、农林水支出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val="en-US" w:eastAsia="zh-CN"/>
        </w:rPr>
        <w:t>农业农村</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val="en-US" w:eastAsia="zh-CN"/>
        </w:rPr>
        <w:t>执法监管</w:t>
      </w:r>
      <w:r>
        <w:rPr>
          <w:rFonts w:hint="eastAsia" w:asciiTheme="minorEastAsia" w:hAnsiTheme="minorEastAsia" w:eastAsiaTheme="minorEastAsia"/>
          <w:sz w:val="32"/>
          <w:szCs w:val="32"/>
        </w:rPr>
        <w:t>（项）。</w:t>
      </w:r>
    </w:p>
    <w:p>
      <w:pPr>
        <w:pStyle w:val="15"/>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26.5万</w:t>
      </w:r>
      <w:r>
        <w:rPr>
          <w:rFonts w:hint="eastAsia" w:asciiTheme="minorEastAsia" w:hAnsiTheme="minorEastAsia" w:eastAsiaTheme="minorEastAsia"/>
          <w:sz w:val="32"/>
          <w:szCs w:val="32"/>
        </w:rPr>
        <w:t>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val="en-US" w:eastAsia="zh-CN"/>
        </w:rPr>
        <w:t>预算调整。</w:t>
      </w:r>
    </w:p>
    <w:p>
      <w:pPr>
        <w:pStyle w:val="15"/>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21、农林水支出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val="en-US" w:eastAsia="zh-CN"/>
        </w:rPr>
        <w:t>农业农村</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val="en-US" w:eastAsia="zh-CN"/>
        </w:rPr>
        <w:t>农业生产发展</w:t>
      </w:r>
      <w:r>
        <w:rPr>
          <w:rFonts w:hint="eastAsia" w:asciiTheme="minorEastAsia" w:hAnsiTheme="minorEastAsia" w:eastAsiaTheme="minorEastAsia"/>
          <w:sz w:val="32"/>
          <w:szCs w:val="32"/>
        </w:rPr>
        <w:t>（项）。</w:t>
      </w:r>
    </w:p>
    <w:p>
      <w:pPr>
        <w:pStyle w:val="15"/>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6500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6733.61</w:t>
      </w:r>
      <w:r>
        <w:rPr>
          <w:rFonts w:hint="eastAsia" w:asciiTheme="minorEastAsia" w:hAnsiTheme="minorEastAsia" w:eastAsiaTheme="minorEastAsia"/>
          <w:sz w:val="32"/>
          <w:szCs w:val="32"/>
        </w:rPr>
        <w:t>元，完成年初预算的</w:t>
      </w:r>
      <w:r>
        <w:rPr>
          <w:rFonts w:hint="eastAsia" w:asciiTheme="minorEastAsia" w:hAnsiTheme="minorEastAsia" w:eastAsiaTheme="minorEastAsia"/>
          <w:sz w:val="32"/>
          <w:szCs w:val="32"/>
          <w:lang w:val="en-US" w:eastAsia="zh-CN"/>
        </w:rPr>
        <w:t>103.59</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val="en-US" w:eastAsia="zh-CN"/>
        </w:rPr>
        <w:t>预算调整。</w:t>
      </w:r>
    </w:p>
    <w:p>
      <w:pPr>
        <w:pStyle w:val="15"/>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22、农林水支出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val="en-US" w:eastAsia="zh-CN"/>
        </w:rPr>
        <w:t>农业农村</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val="en-US" w:eastAsia="zh-CN"/>
        </w:rPr>
        <w:t>农村合作经济</w:t>
      </w:r>
      <w:r>
        <w:rPr>
          <w:rFonts w:hint="eastAsia" w:asciiTheme="minorEastAsia" w:hAnsiTheme="minorEastAsia" w:eastAsiaTheme="minorEastAsia"/>
          <w:sz w:val="32"/>
          <w:szCs w:val="32"/>
        </w:rPr>
        <w:t>（项）。</w:t>
      </w:r>
    </w:p>
    <w:p>
      <w:pPr>
        <w:pStyle w:val="15"/>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60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60万元</w:t>
      </w:r>
      <w:r>
        <w:rPr>
          <w:rFonts w:hint="eastAsia" w:asciiTheme="minorEastAsia" w:hAnsiTheme="minorEastAsia" w:eastAsiaTheme="minorEastAsia"/>
          <w:sz w:val="32"/>
          <w:szCs w:val="32"/>
        </w:rPr>
        <w:t>，完成年初预算的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等于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eastAsia="zh-CN"/>
        </w:rPr>
        <w:t>。</w:t>
      </w:r>
    </w:p>
    <w:p>
      <w:pPr>
        <w:pStyle w:val="15"/>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23、农林水支出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val="en-US" w:eastAsia="zh-CN"/>
        </w:rPr>
        <w:t>农业农村</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val="en-US" w:eastAsia="zh-CN"/>
        </w:rPr>
        <w:t>农产品加工与促销</w:t>
      </w:r>
      <w:r>
        <w:rPr>
          <w:rFonts w:hint="eastAsia" w:asciiTheme="minorEastAsia" w:hAnsiTheme="minorEastAsia" w:eastAsiaTheme="minorEastAsia"/>
          <w:sz w:val="32"/>
          <w:szCs w:val="32"/>
        </w:rPr>
        <w:t>（项）。</w:t>
      </w:r>
    </w:p>
    <w:p>
      <w:pPr>
        <w:pStyle w:val="15"/>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163.48</w:t>
      </w:r>
      <w:r>
        <w:rPr>
          <w:rFonts w:hint="eastAsia" w:asciiTheme="minorEastAsia" w:hAnsiTheme="minorEastAsia" w:eastAsiaTheme="minorEastAsia"/>
          <w:sz w:val="32"/>
          <w:szCs w:val="32"/>
        </w:rPr>
        <w:t>元，完成年初预算的</w:t>
      </w:r>
      <w:r>
        <w:rPr>
          <w:rFonts w:hint="eastAsia" w:asciiTheme="minorEastAsia" w:hAnsiTheme="minorEastAsia" w:eastAsiaTheme="minorEastAsia"/>
          <w:sz w:val="32"/>
          <w:szCs w:val="32"/>
          <w:lang w:val="en-US" w:eastAsia="zh-CN"/>
        </w:rPr>
        <w:t>163.48</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val="en-US" w:eastAsia="zh-CN"/>
        </w:rPr>
        <w:t>预算调整。</w:t>
      </w:r>
    </w:p>
    <w:p>
      <w:pPr>
        <w:pStyle w:val="15"/>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24、农林水支出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val="en-US" w:eastAsia="zh-CN"/>
        </w:rPr>
        <w:t>农业农村</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val="en-US" w:eastAsia="zh-CN"/>
        </w:rPr>
        <w:t>农村社会事业</w:t>
      </w:r>
      <w:r>
        <w:rPr>
          <w:rFonts w:hint="eastAsia" w:asciiTheme="minorEastAsia" w:hAnsiTheme="minorEastAsia" w:eastAsiaTheme="minorEastAsia"/>
          <w:sz w:val="32"/>
          <w:szCs w:val="32"/>
        </w:rPr>
        <w:t>（项）。</w:t>
      </w:r>
    </w:p>
    <w:p>
      <w:pPr>
        <w:pStyle w:val="15"/>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15</w:t>
      </w:r>
      <w:r>
        <w:rPr>
          <w:rFonts w:hint="eastAsia" w:asciiTheme="minorEastAsia" w:hAnsiTheme="minorEastAsia" w:eastAsiaTheme="minorEastAsia"/>
          <w:sz w:val="32"/>
          <w:szCs w:val="32"/>
        </w:rPr>
        <w:t>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val="en-US" w:eastAsia="zh-CN"/>
        </w:rPr>
        <w:t>预算调整。</w:t>
      </w:r>
    </w:p>
    <w:p>
      <w:pPr>
        <w:pStyle w:val="15"/>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25、农林水支出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val="en-US" w:eastAsia="zh-CN"/>
        </w:rPr>
        <w:t>农业农村</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val="en-US" w:eastAsia="zh-CN"/>
        </w:rPr>
        <w:t>农业资源保护修复与利用</w:t>
      </w:r>
      <w:r>
        <w:rPr>
          <w:rFonts w:hint="eastAsia" w:asciiTheme="minorEastAsia" w:hAnsiTheme="minorEastAsia" w:eastAsiaTheme="minorEastAsia"/>
          <w:sz w:val="32"/>
          <w:szCs w:val="32"/>
        </w:rPr>
        <w:t>（项）。</w:t>
      </w:r>
    </w:p>
    <w:p>
      <w:pPr>
        <w:pStyle w:val="15"/>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600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655.33</w:t>
      </w:r>
      <w:r>
        <w:rPr>
          <w:rFonts w:hint="eastAsia" w:asciiTheme="minorEastAsia" w:hAnsiTheme="minorEastAsia" w:eastAsiaTheme="minorEastAsia"/>
          <w:sz w:val="32"/>
          <w:szCs w:val="32"/>
        </w:rPr>
        <w:t>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%，决决算数大于年初预算数的主要原因是：</w:t>
      </w:r>
      <w:r>
        <w:rPr>
          <w:rFonts w:hint="eastAsia" w:asciiTheme="minorEastAsia" w:hAnsiTheme="minorEastAsia" w:eastAsiaTheme="minorEastAsia"/>
          <w:sz w:val="32"/>
          <w:szCs w:val="32"/>
          <w:lang w:val="en-US" w:eastAsia="zh-CN"/>
        </w:rPr>
        <w:t>预算调整。</w:t>
      </w:r>
    </w:p>
    <w:p>
      <w:pPr>
        <w:pStyle w:val="15"/>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26、农林水支出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val="en-US" w:eastAsia="zh-CN"/>
        </w:rPr>
        <w:t>农业农村</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val="en-US" w:eastAsia="zh-CN"/>
        </w:rPr>
        <w:t>其他农业农村支出</w:t>
      </w:r>
      <w:r>
        <w:rPr>
          <w:rFonts w:hint="eastAsia" w:asciiTheme="minorEastAsia" w:hAnsiTheme="minorEastAsia" w:eastAsiaTheme="minorEastAsia"/>
          <w:sz w:val="32"/>
          <w:szCs w:val="32"/>
        </w:rPr>
        <w:t>（项）。</w:t>
      </w:r>
    </w:p>
    <w:p>
      <w:pPr>
        <w:pStyle w:val="15"/>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3000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3640.64</w:t>
      </w:r>
      <w:r>
        <w:rPr>
          <w:rFonts w:hint="eastAsia" w:asciiTheme="minorEastAsia" w:hAnsiTheme="minorEastAsia" w:eastAsiaTheme="minorEastAsia"/>
          <w:sz w:val="32"/>
          <w:szCs w:val="32"/>
        </w:rPr>
        <w:t>元，完成年初预算的</w:t>
      </w:r>
      <w:r>
        <w:rPr>
          <w:rFonts w:hint="eastAsia" w:asciiTheme="minorEastAsia" w:hAnsiTheme="minorEastAsia" w:eastAsiaTheme="minorEastAsia"/>
          <w:sz w:val="32"/>
          <w:szCs w:val="32"/>
          <w:lang w:val="en-US" w:eastAsia="zh-CN"/>
        </w:rPr>
        <w:t>121.35</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val="en-US" w:eastAsia="zh-CN"/>
        </w:rPr>
        <w:t>预算调整。</w:t>
      </w:r>
    </w:p>
    <w:p>
      <w:pPr>
        <w:pStyle w:val="15"/>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27、农林水支出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val="en-US" w:eastAsia="zh-CN"/>
        </w:rPr>
        <w:t>扶贫</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val="en-US" w:eastAsia="zh-CN"/>
        </w:rPr>
        <w:t>行政运行</w:t>
      </w:r>
      <w:r>
        <w:rPr>
          <w:rFonts w:hint="eastAsia" w:asciiTheme="minorEastAsia" w:hAnsiTheme="minorEastAsia" w:eastAsiaTheme="minorEastAsia"/>
          <w:sz w:val="32"/>
          <w:szCs w:val="32"/>
        </w:rPr>
        <w:t>（项）。</w:t>
      </w:r>
    </w:p>
    <w:p>
      <w:pPr>
        <w:pStyle w:val="15"/>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7</w:t>
      </w:r>
      <w:r>
        <w:rPr>
          <w:rFonts w:hint="eastAsia" w:asciiTheme="minorEastAsia" w:hAnsiTheme="minorEastAsia" w:eastAsiaTheme="minorEastAsia"/>
          <w:sz w:val="32"/>
          <w:szCs w:val="32"/>
        </w:rPr>
        <w:t>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val="en-US" w:eastAsia="zh-CN"/>
        </w:rPr>
        <w:t>预算调整。</w:t>
      </w:r>
    </w:p>
    <w:p>
      <w:pPr>
        <w:pStyle w:val="15"/>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28、农林水支出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val="en-US" w:eastAsia="zh-CN"/>
        </w:rPr>
        <w:t>扶贫</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val="en-US" w:eastAsia="zh-CN"/>
        </w:rPr>
        <w:t>行政运行</w:t>
      </w:r>
      <w:r>
        <w:rPr>
          <w:rFonts w:hint="eastAsia" w:asciiTheme="minorEastAsia" w:hAnsiTheme="minorEastAsia" w:eastAsiaTheme="minorEastAsia"/>
          <w:sz w:val="32"/>
          <w:szCs w:val="32"/>
        </w:rPr>
        <w:t>（项）。</w:t>
      </w:r>
    </w:p>
    <w:p>
      <w:pPr>
        <w:pStyle w:val="15"/>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3600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3671.42</w:t>
      </w:r>
      <w:r>
        <w:rPr>
          <w:rFonts w:hint="eastAsia" w:asciiTheme="minorEastAsia" w:hAnsiTheme="minorEastAsia" w:eastAsiaTheme="minorEastAsia"/>
          <w:sz w:val="32"/>
          <w:szCs w:val="32"/>
        </w:rPr>
        <w:t>元，完成年初预算的</w:t>
      </w:r>
      <w:r>
        <w:rPr>
          <w:rFonts w:hint="eastAsia" w:asciiTheme="minorEastAsia" w:hAnsiTheme="minorEastAsia" w:eastAsiaTheme="minorEastAsia"/>
          <w:sz w:val="32"/>
          <w:szCs w:val="32"/>
          <w:lang w:val="en-US" w:eastAsia="zh-CN"/>
        </w:rPr>
        <w:t>101.98</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val="en-US" w:eastAsia="zh-CN"/>
        </w:rPr>
        <w:t>预算调整。</w:t>
      </w:r>
    </w:p>
    <w:p>
      <w:pPr>
        <w:pStyle w:val="15"/>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29、农林水支出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val="en-US" w:eastAsia="zh-CN"/>
        </w:rPr>
        <w:t>扶贫</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val="en-US" w:eastAsia="zh-CN"/>
        </w:rPr>
        <w:t>农村基础设施建设</w:t>
      </w:r>
      <w:r>
        <w:rPr>
          <w:rFonts w:hint="eastAsia" w:asciiTheme="minorEastAsia" w:hAnsiTheme="minorEastAsia" w:eastAsiaTheme="minorEastAsia"/>
          <w:sz w:val="32"/>
          <w:szCs w:val="32"/>
        </w:rPr>
        <w:t>（项）。</w:t>
      </w:r>
    </w:p>
    <w:p>
      <w:pPr>
        <w:pStyle w:val="15"/>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3200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3202.95</w:t>
      </w:r>
      <w:r>
        <w:rPr>
          <w:rFonts w:hint="eastAsia" w:asciiTheme="minorEastAsia" w:hAnsiTheme="minorEastAsia" w:eastAsiaTheme="minorEastAsia"/>
          <w:sz w:val="32"/>
          <w:szCs w:val="32"/>
        </w:rPr>
        <w:t>元，完成年初预算的</w:t>
      </w:r>
      <w:r>
        <w:rPr>
          <w:rFonts w:hint="eastAsia" w:asciiTheme="minorEastAsia" w:hAnsiTheme="minorEastAsia" w:eastAsiaTheme="minorEastAsia"/>
          <w:sz w:val="32"/>
          <w:szCs w:val="32"/>
          <w:lang w:val="en-US" w:eastAsia="zh-CN"/>
        </w:rPr>
        <w:t>100.09</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val="en-US" w:eastAsia="zh-CN"/>
        </w:rPr>
        <w:t>预算调整。</w:t>
      </w:r>
    </w:p>
    <w:p>
      <w:pPr>
        <w:pStyle w:val="15"/>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30、农林水支出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val="en-US" w:eastAsia="zh-CN"/>
        </w:rPr>
        <w:t>扶贫</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val="en-US" w:eastAsia="zh-CN"/>
        </w:rPr>
        <w:t>生产发展</w:t>
      </w:r>
      <w:r>
        <w:rPr>
          <w:rFonts w:hint="eastAsia" w:asciiTheme="minorEastAsia" w:hAnsiTheme="minorEastAsia" w:eastAsiaTheme="minorEastAsia"/>
          <w:sz w:val="32"/>
          <w:szCs w:val="32"/>
        </w:rPr>
        <w:t>（项）。</w:t>
      </w:r>
    </w:p>
    <w:p>
      <w:pPr>
        <w:pStyle w:val="15"/>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10000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10002.24</w:t>
      </w:r>
      <w:r>
        <w:rPr>
          <w:rFonts w:hint="eastAsia" w:asciiTheme="minorEastAsia" w:hAnsiTheme="minorEastAsia" w:eastAsiaTheme="minorEastAsia"/>
          <w:sz w:val="32"/>
          <w:szCs w:val="32"/>
        </w:rPr>
        <w:t>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val="en-US" w:eastAsia="zh-CN"/>
        </w:rPr>
        <w:t>预算调整。</w:t>
      </w:r>
    </w:p>
    <w:p>
      <w:pPr>
        <w:pStyle w:val="15"/>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31、农林水支出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val="en-US" w:eastAsia="zh-CN"/>
        </w:rPr>
        <w:t>扶贫</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val="en-US" w:eastAsia="zh-CN"/>
        </w:rPr>
        <w:t>其他扶贫支出</w:t>
      </w:r>
      <w:r>
        <w:rPr>
          <w:rFonts w:hint="eastAsia" w:asciiTheme="minorEastAsia" w:hAnsiTheme="minorEastAsia" w:eastAsiaTheme="minorEastAsia"/>
          <w:sz w:val="32"/>
          <w:szCs w:val="32"/>
        </w:rPr>
        <w:t>（项）。</w:t>
      </w:r>
    </w:p>
    <w:p>
      <w:pPr>
        <w:pStyle w:val="15"/>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1240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1767.44</w:t>
      </w:r>
      <w:r>
        <w:rPr>
          <w:rFonts w:hint="eastAsia" w:asciiTheme="minorEastAsia" w:hAnsiTheme="minorEastAsia" w:eastAsiaTheme="minorEastAsia"/>
          <w:sz w:val="32"/>
          <w:szCs w:val="32"/>
        </w:rPr>
        <w:t>元，完成年初预算的</w:t>
      </w:r>
      <w:r>
        <w:rPr>
          <w:rFonts w:hint="eastAsia" w:asciiTheme="minorEastAsia" w:hAnsiTheme="minorEastAsia" w:eastAsiaTheme="minorEastAsia"/>
          <w:sz w:val="32"/>
          <w:szCs w:val="32"/>
          <w:lang w:val="en-US" w:eastAsia="zh-CN"/>
        </w:rPr>
        <w:t>142.5</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val="en-US" w:eastAsia="zh-CN"/>
        </w:rPr>
        <w:t>预算调整。</w:t>
      </w:r>
    </w:p>
    <w:p>
      <w:pPr>
        <w:pStyle w:val="15"/>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32、农林水支出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val="en-US" w:eastAsia="zh-CN"/>
        </w:rPr>
        <w:t>目标价格补贴</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val="en-US" w:eastAsia="zh-CN"/>
        </w:rPr>
        <w:t>其他目标价格补贴</w:t>
      </w:r>
      <w:r>
        <w:rPr>
          <w:rFonts w:hint="eastAsia" w:asciiTheme="minorEastAsia" w:hAnsiTheme="minorEastAsia" w:eastAsiaTheme="minorEastAsia"/>
          <w:sz w:val="32"/>
          <w:szCs w:val="32"/>
        </w:rPr>
        <w:t>（项）。</w:t>
      </w:r>
    </w:p>
    <w:p>
      <w:pPr>
        <w:pStyle w:val="15"/>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1733.19</w:t>
      </w:r>
      <w:r>
        <w:rPr>
          <w:rFonts w:hint="eastAsia" w:asciiTheme="minorEastAsia" w:hAnsiTheme="minorEastAsia" w:eastAsiaTheme="minorEastAsia"/>
          <w:sz w:val="32"/>
          <w:szCs w:val="32"/>
        </w:rPr>
        <w:t>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val="en-US" w:eastAsia="zh-CN"/>
        </w:rPr>
        <w:t>预算调整。</w:t>
      </w:r>
    </w:p>
    <w:p>
      <w:pPr>
        <w:pStyle w:val="15"/>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33、农林水支出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val="en-US" w:eastAsia="zh-CN"/>
        </w:rPr>
        <w:t>其他农林水支出</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val="en-US" w:eastAsia="zh-CN"/>
        </w:rPr>
        <w:t>其他农林水支出</w:t>
      </w:r>
      <w:r>
        <w:rPr>
          <w:rFonts w:hint="eastAsia" w:asciiTheme="minorEastAsia" w:hAnsiTheme="minorEastAsia" w:eastAsiaTheme="minorEastAsia"/>
          <w:sz w:val="32"/>
          <w:szCs w:val="32"/>
        </w:rPr>
        <w:t>（项）。</w:t>
      </w:r>
    </w:p>
    <w:p>
      <w:pPr>
        <w:pStyle w:val="15"/>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95.88</w:t>
      </w:r>
      <w:r>
        <w:rPr>
          <w:rFonts w:hint="eastAsia" w:asciiTheme="minorEastAsia" w:hAnsiTheme="minorEastAsia" w:eastAsiaTheme="minorEastAsia"/>
          <w:sz w:val="32"/>
          <w:szCs w:val="32"/>
        </w:rPr>
        <w:t>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val="en-US" w:eastAsia="zh-CN"/>
        </w:rPr>
        <w:t>预算调整。</w:t>
      </w:r>
    </w:p>
    <w:p>
      <w:pPr>
        <w:pStyle w:val="15"/>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34、商业服务业等支出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val="en-US" w:eastAsia="zh-CN"/>
        </w:rPr>
        <w:t>商业流通事务</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val="en-US" w:eastAsia="zh-CN"/>
        </w:rPr>
        <w:t>行政运行</w:t>
      </w:r>
      <w:r>
        <w:rPr>
          <w:rFonts w:hint="eastAsia" w:asciiTheme="minorEastAsia" w:hAnsiTheme="minorEastAsia" w:eastAsiaTheme="minorEastAsia"/>
          <w:sz w:val="32"/>
          <w:szCs w:val="32"/>
        </w:rPr>
        <w:t>（项）。</w:t>
      </w:r>
    </w:p>
    <w:p>
      <w:pPr>
        <w:pStyle w:val="15"/>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5</w:t>
      </w:r>
      <w:r>
        <w:rPr>
          <w:rFonts w:hint="eastAsia" w:asciiTheme="minorEastAsia" w:hAnsiTheme="minorEastAsia" w:eastAsiaTheme="minorEastAsia"/>
          <w:sz w:val="32"/>
          <w:szCs w:val="32"/>
        </w:rPr>
        <w:t>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val="en-US" w:eastAsia="zh-CN"/>
        </w:rPr>
        <w:t>预算调整。</w:t>
      </w:r>
    </w:p>
    <w:p>
      <w:pPr>
        <w:pStyle w:val="15"/>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35、金融支出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val="en-US" w:eastAsia="zh-CN"/>
        </w:rPr>
        <w:t>金融发展支出</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val="en-US" w:eastAsia="zh-CN"/>
        </w:rPr>
        <w:t>其他金融发展支出</w:t>
      </w:r>
      <w:r>
        <w:rPr>
          <w:rFonts w:hint="eastAsia" w:asciiTheme="minorEastAsia" w:hAnsiTheme="minorEastAsia" w:eastAsiaTheme="minorEastAsia"/>
          <w:sz w:val="32"/>
          <w:szCs w:val="32"/>
        </w:rPr>
        <w:t>（项）。</w:t>
      </w:r>
    </w:p>
    <w:p>
      <w:pPr>
        <w:pStyle w:val="15"/>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60</w:t>
      </w:r>
      <w:r>
        <w:rPr>
          <w:rFonts w:hint="eastAsia" w:asciiTheme="minorEastAsia" w:hAnsiTheme="minorEastAsia" w:eastAsiaTheme="minorEastAsia"/>
          <w:sz w:val="32"/>
          <w:szCs w:val="32"/>
        </w:rPr>
        <w:t>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val="en-US" w:eastAsia="zh-CN"/>
        </w:rPr>
        <w:t>预算调整。</w:t>
      </w:r>
    </w:p>
    <w:p>
      <w:pPr>
        <w:pStyle w:val="15"/>
        <w:ind w:firstLine="640" w:firstLineChars="200"/>
        <w:rPr>
          <w:rFonts w:hint="eastAsia" w:asciiTheme="minorEastAsia" w:hAnsiTheme="minorEastAsia" w:eastAsiaTheme="minorEastAsia"/>
          <w:sz w:val="32"/>
          <w:szCs w:val="32"/>
          <w:lang w:val="en-US" w:eastAsia="zh-CN"/>
        </w:rPr>
      </w:pPr>
    </w:p>
    <w:p>
      <w:pPr>
        <w:pStyle w:val="15"/>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36、住房保障支出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val="en-US" w:eastAsia="zh-CN"/>
        </w:rPr>
        <w:t>住房改革支出</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val="en-US" w:eastAsia="zh-CN"/>
        </w:rPr>
        <w:t>住房公积金</w:t>
      </w:r>
      <w:r>
        <w:rPr>
          <w:rFonts w:hint="eastAsia" w:asciiTheme="minorEastAsia" w:hAnsiTheme="minorEastAsia" w:eastAsiaTheme="minorEastAsia"/>
          <w:sz w:val="32"/>
          <w:szCs w:val="32"/>
        </w:rPr>
        <w:t>（项）。</w:t>
      </w:r>
    </w:p>
    <w:p>
      <w:pPr>
        <w:pStyle w:val="15"/>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43.19</w:t>
      </w:r>
      <w:r>
        <w:rPr>
          <w:rFonts w:hint="eastAsia" w:asciiTheme="minorEastAsia" w:hAnsiTheme="minorEastAsia" w:eastAsiaTheme="minorEastAsia"/>
          <w:sz w:val="32"/>
          <w:szCs w:val="32"/>
        </w:rPr>
        <w:t>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val="en-US" w:eastAsia="zh-CN"/>
        </w:rPr>
        <w:t>预算调整。</w:t>
      </w:r>
    </w:p>
    <w:p>
      <w:pPr>
        <w:pStyle w:val="15"/>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37、粮油物资储备支出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val="en-US" w:eastAsia="zh-CN"/>
        </w:rPr>
        <w:t>粮油物资事务</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val="en-US" w:eastAsia="zh-CN"/>
        </w:rPr>
        <w:t>粮食风险基金</w:t>
      </w:r>
      <w:r>
        <w:rPr>
          <w:rFonts w:hint="eastAsia" w:asciiTheme="minorEastAsia" w:hAnsiTheme="minorEastAsia" w:eastAsiaTheme="minorEastAsia"/>
          <w:sz w:val="32"/>
          <w:szCs w:val="32"/>
        </w:rPr>
        <w:t>（项）。</w:t>
      </w:r>
    </w:p>
    <w:p>
      <w:pPr>
        <w:pStyle w:val="15"/>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180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189</w:t>
      </w:r>
      <w:r>
        <w:rPr>
          <w:rFonts w:hint="eastAsia" w:asciiTheme="minorEastAsia" w:hAnsiTheme="minorEastAsia" w:eastAsiaTheme="minorEastAsia"/>
          <w:sz w:val="32"/>
          <w:szCs w:val="32"/>
        </w:rPr>
        <w:t>元，完成年初预算的</w:t>
      </w:r>
      <w:r>
        <w:rPr>
          <w:rFonts w:hint="eastAsia" w:asciiTheme="minorEastAsia" w:hAnsiTheme="minorEastAsia" w:eastAsiaTheme="minorEastAsia"/>
          <w:sz w:val="32"/>
          <w:szCs w:val="32"/>
          <w:lang w:val="en-US" w:eastAsia="zh-CN"/>
        </w:rPr>
        <w:t>105</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val="en-US" w:eastAsia="zh-CN"/>
        </w:rPr>
        <w:t>预算调整。</w:t>
      </w:r>
    </w:p>
    <w:p>
      <w:pPr>
        <w:pStyle w:val="15"/>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38、粮油物资储备支出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val="en-US" w:eastAsia="zh-CN"/>
        </w:rPr>
        <w:t>粮油物资事务</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val="en-US" w:eastAsia="zh-CN"/>
        </w:rPr>
        <w:t>其他粮油事务支出</w:t>
      </w:r>
      <w:r>
        <w:rPr>
          <w:rFonts w:hint="eastAsia" w:asciiTheme="minorEastAsia" w:hAnsiTheme="minorEastAsia" w:eastAsiaTheme="minorEastAsia"/>
          <w:sz w:val="32"/>
          <w:szCs w:val="32"/>
        </w:rPr>
        <w:t>（项）。</w:t>
      </w:r>
    </w:p>
    <w:p>
      <w:pPr>
        <w:pStyle w:val="15"/>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220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220.75</w:t>
      </w:r>
      <w:r>
        <w:rPr>
          <w:rFonts w:hint="eastAsia" w:asciiTheme="minorEastAsia" w:hAnsiTheme="minorEastAsia" w:eastAsiaTheme="minorEastAsia"/>
          <w:sz w:val="32"/>
          <w:szCs w:val="32"/>
        </w:rPr>
        <w:t>元，完成年初预算的</w:t>
      </w:r>
      <w:r>
        <w:rPr>
          <w:rFonts w:hint="eastAsia" w:asciiTheme="minorEastAsia" w:hAnsiTheme="minorEastAsia" w:eastAsiaTheme="minorEastAsia"/>
          <w:sz w:val="32"/>
          <w:szCs w:val="32"/>
          <w:lang w:val="en-US" w:eastAsia="zh-CN"/>
        </w:rPr>
        <w:t>100.3</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val="en-US" w:eastAsia="zh-CN"/>
        </w:rPr>
        <w:t>预算调整。</w:t>
      </w:r>
    </w:p>
    <w:p>
      <w:pPr>
        <w:pStyle w:val="15"/>
        <w:ind w:firstLine="640" w:firstLineChars="200"/>
        <w:rPr>
          <w:rFonts w:hint="eastAsia" w:asciiTheme="minorEastAsia" w:hAnsiTheme="minorEastAsia" w:eastAsiaTheme="minorEastAsia"/>
          <w:sz w:val="32"/>
          <w:szCs w:val="32"/>
          <w:lang w:val="en-US" w:eastAsia="zh-CN"/>
        </w:rPr>
      </w:pPr>
    </w:p>
    <w:p>
      <w:pPr>
        <w:pStyle w:val="15"/>
        <w:rPr>
          <w:rFonts w:hAnsi="黑体"/>
          <w:b/>
          <w:sz w:val="32"/>
          <w:szCs w:val="32"/>
        </w:rPr>
      </w:pPr>
      <w:r>
        <w:rPr>
          <w:rFonts w:hint="eastAsia" w:hAnsi="黑体"/>
          <w:b/>
          <w:sz w:val="32"/>
          <w:szCs w:val="32"/>
        </w:rPr>
        <w:t>六、一般公共预算财政拨款基本支出决算情况说明</w:t>
      </w:r>
    </w:p>
    <w:p>
      <w:pPr>
        <w:pStyle w:val="15"/>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eastAsia="zh-CN"/>
        </w:rPr>
        <w:t>202</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年度财政拨款基本支出3071.47万元，其中：</w:t>
      </w:r>
    </w:p>
    <w:p>
      <w:pPr>
        <w:pStyle w:val="15"/>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人员经费</w:t>
      </w:r>
      <w:r>
        <w:rPr>
          <w:rFonts w:hint="eastAsia" w:asciiTheme="minorEastAsia" w:hAnsiTheme="minorEastAsia" w:eastAsiaTheme="minorEastAsia"/>
          <w:sz w:val="32"/>
          <w:szCs w:val="32"/>
          <w:lang w:val="en-US" w:eastAsia="zh-CN"/>
        </w:rPr>
        <w:t>1759.57</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57.29</w:t>
      </w:r>
      <w:r>
        <w:rPr>
          <w:rFonts w:hint="eastAsia" w:asciiTheme="minorEastAsia" w:hAnsiTheme="minorEastAsia" w:eastAsiaTheme="minorEastAsia"/>
          <w:sz w:val="32"/>
          <w:szCs w:val="32"/>
        </w:rPr>
        <w:t>%,主要包括基本工资</w:t>
      </w:r>
      <w:r>
        <w:rPr>
          <w:rFonts w:hint="eastAsia" w:asciiTheme="minorEastAsia" w:hAnsiTheme="minorEastAsia" w:eastAsiaTheme="minorEastAsia"/>
          <w:sz w:val="32"/>
          <w:szCs w:val="32"/>
          <w:lang w:val="en-US" w:eastAsia="zh-CN"/>
        </w:rPr>
        <w:t>354.13万元</w:t>
      </w:r>
      <w:r>
        <w:rPr>
          <w:rFonts w:hint="eastAsia" w:asciiTheme="minorEastAsia" w:hAnsiTheme="minorEastAsia" w:eastAsiaTheme="minorEastAsia"/>
          <w:sz w:val="32"/>
          <w:szCs w:val="32"/>
        </w:rPr>
        <w:t>、津贴补贴</w:t>
      </w:r>
      <w:r>
        <w:rPr>
          <w:rFonts w:hint="eastAsia" w:asciiTheme="minorEastAsia" w:hAnsiTheme="minorEastAsia" w:eastAsiaTheme="minorEastAsia"/>
          <w:sz w:val="32"/>
          <w:szCs w:val="32"/>
          <w:lang w:val="en-US" w:eastAsia="zh-CN"/>
        </w:rPr>
        <w:t>189.68万元</w:t>
      </w:r>
      <w:r>
        <w:rPr>
          <w:rFonts w:hint="eastAsia" w:asciiTheme="minorEastAsia" w:hAnsiTheme="minorEastAsia" w:eastAsiaTheme="minorEastAsia"/>
          <w:sz w:val="32"/>
          <w:szCs w:val="32"/>
        </w:rPr>
        <w:t>、奖金</w:t>
      </w:r>
      <w:r>
        <w:rPr>
          <w:rFonts w:hint="eastAsia" w:asciiTheme="minorEastAsia" w:hAnsiTheme="minorEastAsia" w:eastAsiaTheme="minorEastAsia"/>
          <w:sz w:val="32"/>
          <w:szCs w:val="32"/>
          <w:lang w:val="en-US" w:eastAsia="zh-CN"/>
        </w:rPr>
        <w:t>160.55万元</w:t>
      </w:r>
      <w:r>
        <w:rPr>
          <w:rFonts w:hint="eastAsia" w:asciiTheme="minorEastAsia" w:hAnsiTheme="minorEastAsia" w:eastAsiaTheme="minorEastAsia"/>
          <w:sz w:val="32"/>
          <w:szCs w:val="32"/>
        </w:rPr>
        <w:t>、伙食补助费</w:t>
      </w:r>
      <w:r>
        <w:rPr>
          <w:rFonts w:hint="eastAsia" w:asciiTheme="minorEastAsia" w:hAnsiTheme="minorEastAsia" w:eastAsiaTheme="minorEastAsia"/>
          <w:sz w:val="32"/>
          <w:szCs w:val="32"/>
          <w:lang w:val="en-US" w:eastAsia="zh-CN"/>
        </w:rPr>
        <w:t>19.01万元</w:t>
      </w:r>
      <w:r>
        <w:rPr>
          <w:rFonts w:hint="eastAsia" w:asciiTheme="minorEastAsia" w:hAnsiTheme="minorEastAsia" w:eastAsiaTheme="minorEastAsia"/>
          <w:sz w:val="32"/>
          <w:szCs w:val="32"/>
          <w:lang w:eastAsia="zh-CN"/>
        </w:rPr>
        <w:t>、机关事业单位基本养老保险缴费</w:t>
      </w:r>
      <w:r>
        <w:rPr>
          <w:rFonts w:hint="eastAsia" w:asciiTheme="minorEastAsia" w:hAnsiTheme="minorEastAsia" w:eastAsiaTheme="minorEastAsia"/>
          <w:sz w:val="32"/>
          <w:szCs w:val="32"/>
          <w:lang w:val="en-US" w:eastAsia="zh-CN"/>
        </w:rPr>
        <w:t>98.11万元</w:t>
      </w:r>
      <w:r>
        <w:rPr>
          <w:rFonts w:hint="eastAsia" w:asciiTheme="minorEastAsia" w:hAnsiTheme="minorEastAsia" w:eastAsiaTheme="minorEastAsia"/>
          <w:sz w:val="32"/>
          <w:szCs w:val="32"/>
          <w:lang w:eastAsia="zh-CN"/>
        </w:rPr>
        <w:t>、职工基本医疗保险缴费</w:t>
      </w:r>
      <w:r>
        <w:rPr>
          <w:rFonts w:hint="eastAsia" w:asciiTheme="minorEastAsia" w:hAnsiTheme="minorEastAsia" w:eastAsiaTheme="minorEastAsia"/>
          <w:sz w:val="32"/>
          <w:szCs w:val="32"/>
          <w:lang w:val="en-US" w:eastAsia="zh-CN"/>
        </w:rPr>
        <w:t>54.45万元</w:t>
      </w:r>
      <w:r>
        <w:rPr>
          <w:rFonts w:hint="eastAsia" w:asciiTheme="minorEastAsia" w:hAnsiTheme="minorEastAsia" w:eastAsiaTheme="minorEastAsia"/>
          <w:sz w:val="32"/>
          <w:szCs w:val="32"/>
          <w:lang w:eastAsia="zh-CN"/>
        </w:rPr>
        <w:t>、其他社会保障缴费</w:t>
      </w:r>
      <w:r>
        <w:rPr>
          <w:rFonts w:hint="eastAsia" w:asciiTheme="minorEastAsia" w:hAnsiTheme="minorEastAsia" w:eastAsiaTheme="minorEastAsia"/>
          <w:sz w:val="32"/>
          <w:szCs w:val="32"/>
          <w:lang w:val="en-US" w:eastAsia="zh-CN"/>
        </w:rPr>
        <w:t>23.94万元</w:t>
      </w:r>
      <w:r>
        <w:rPr>
          <w:rFonts w:hint="eastAsia" w:asciiTheme="minorEastAsia" w:hAnsiTheme="minorEastAsia" w:eastAsiaTheme="minorEastAsia"/>
          <w:sz w:val="32"/>
          <w:szCs w:val="32"/>
          <w:lang w:eastAsia="zh-CN"/>
        </w:rPr>
        <w:t>、住房公积金</w:t>
      </w:r>
      <w:r>
        <w:rPr>
          <w:rFonts w:hint="eastAsia" w:asciiTheme="minorEastAsia" w:hAnsiTheme="minorEastAsia" w:eastAsiaTheme="minorEastAsia"/>
          <w:sz w:val="32"/>
          <w:szCs w:val="32"/>
          <w:lang w:val="en-US" w:eastAsia="zh-CN"/>
        </w:rPr>
        <w:t>43.19万元</w:t>
      </w:r>
      <w:r>
        <w:rPr>
          <w:rFonts w:hint="eastAsia" w:asciiTheme="minorEastAsia" w:hAnsiTheme="minorEastAsia" w:eastAsiaTheme="minorEastAsia"/>
          <w:sz w:val="32"/>
          <w:szCs w:val="32"/>
          <w:lang w:eastAsia="zh-CN"/>
        </w:rPr>
        <w:t>、其他工资福利支出</w:t>
      </w:r>
      <w:r>
        <w:rPr>
          <w:rFonts w:hint="eastAsia" w:asciiTheme="minorEastAsia" w:hAnsiTheme="minorEastAsia" w:eastAsiaTheme="minorEastAsia"/>
          <w:sz w:val="32"/>
          <w:szCs w:val="32"/>
          <w:lang w:val="en-US" w:eastAsia="zh-CN"/>
        </w:rPr>
        <w:t>2.56万元</w:t>
      </w:r>
      <w:r>
        <w:rPr>
          <w:rFonts w:hint="eastAsia" w:asciiTheme="minorEastAsia" w:hAnsiTheme="minorEastAsia" w:eastAsiaTheme="minorEastAsia"/>
          <w:sz w:val="32"/>
          <w:szCs w:val="32"/>
          <w:lang w:eastAsia="zh-CN"/>
        </w:rPr>
        <w:t>、对个人和家庭的补助</w:t>
      </w:r>
      <w:r>
        <w:rPr>
          <w:rFonts w:hint="eastAsia" w:asciiTheme="minorEastAsia" w:hAnsiTheme="minorEastAsia" w:eastAsiaTheme="minorEastAsia"/>
          <w:sz w:val="32"/>
          <w:szCs w:val="32"/>
          <w:lang w:val="en-US" w:eastAsia="zh-CN"/>
        </w:rPr>
        <w:t>815.95万元</w:t>
      </w:r>
      <w:r>
        <w:rPr>
          <w:rFonts w:hint="eastAsia" w:asciiTheme="minorEastAsia" w:hAnsiTheme="minorEastAsia" w:eastAsiaTheme="minorEastAsia"/>
          <w:sz w:val="32"/>
          <w:szCs w:val="32"/>
          <w:lang w:eastAsia="zh-CN"/>
        </w:rPr>
        <w:t>、抚恤金</w:t>
      </w:r>
      <w:r>
        <w:rPr>
          <w:rFonts w:hint="eastAsia" w:asciiTheme="minorEastAsia" w:hAnsiTheme="minorEastAsia" w:eastAsiaTheme="minorEastAsia"/>
          <w:sz w:val="32"/>
          <w:szCs w:val="32"/>
          <w:lang w:val="en-US" w:eastAsia="zh-CN"/>
        </w:rPr>
        <w:t>20万元</w:t>
      </w:r>
      <w:r>
        <w:rPr>
          <w:rFonts w:hint="eastAsia" w:asciiTheme="minorEastAsia" w:hAnsiTheme="minorEastAsia" w:eastAsiaTheme="minorEastAsia"/>
          <w:sz w:val="32"/>
          <w:szCs w:val="32"/>
          <w:lang w:eastAsia="zh-CN"/>
        </w:rPr>
        <w:t>、个人农业生产补贴</w:t>
      </w:r>
      <w:r>
        <w:rPr>
          <w:rFonts w:hint="eastAsia" w:asciiTheme="minorEastAsia" w:hAnsiTheme="minorEastAsia" w:eastAsiaTheme="minorEastAsia"/>
          <w:sz w:val="32"/>
          <w:szCs w:val="32"/>
          <w:lang w:val="en-US" w:eastAsia="zh-CN"/>
        </w:rPr>
        <w:t>67.73万元</w:t>
      </w:r>
      <w:r>
        <w:rPr>
          <w:rFonts w:hint="eastAsia" w:asciiTheme="minorEastAsia" w:hAnsiTheme="minorEastAsia" w:eastAsiaTheme="minorEastAsia"/>
          <w:sz w:val="32"/>
          <w:szCs w:val="32"/>
          <w:lang w:eastAsia="zh-CN"/>
        </w:rPr>
        <w:t>、其他对个人和家庭的补助</w:t>
      </w:r>
      <w:r>
        <w:rPr>
          <w:rFonts w:hint="eastAsia" w:asciiTheme="minorEastAsia" w:hAnsiTheme="minorEastAsia" w:eastAsiaTheme="minorEastAsia"/>
          <w:sz w:val="32"/>
          <w:szCs w:val="32"/>
          <w:lang w:val="en-US" w:eastAsia="zh-CN"/>
        </w:rPr>
        <w:t>728.21万元</w:t>
      </w:r>
      <w:r>
        <w:rPr>
          <w:rFonts w:hint="eastAsia" w:asciiTheme="minorEastAsia" w:hAnsiTheme="minorEastAsia" w:eastAsiaTheme="minorEastAsia"/>
          <w:sz w:val="32"/>
          <w:szCs w:val="32"/>
        </w:rPr>
        <w:t>；</w:t>
      </w:r>
    </w:p>
    <w:p>
      <w:pPr>
        <w:pStyle w:val="15"/>
        <w:ind w:firstLine="640" w:firstLineChars="200"/>
        <w:rPr>
          <w:rFonts w:asciiTheme="minorEastAsia" w:hAnsiTheme="minorEastAsia" w:eastAsiaTheme="minorEastAsia"/>
          <w:i/>
          <w:color w:val="FF0000"/>
          <w:sz w:val="32"/>
          <w:szCs w:val="32"/>
        </w:rPr>
      </w:pPr>
      <w:r>
        <w:rPr>
          <w:rFonts w:hint="eastAsia" w:asciiTheme="minorEastAsia" w:hAnsiTheme="minorEastAsia" w:eastAsiaTheme="minorEastAsia"/>
          <w:sz w:val="32"/>
          <w:szCs w:val="32"/>
        </w:rPr>
        <w:t>公用经费</w:t>
      </w:r>
      <w:r>
        <w:rPr>
          <w:rFonts w:hint="eastAsia" w:asciiTheme="minorEastAsia" w:hAnsiTheme="minorEastAsia" w:eastAsiaTheme="minorEastAsia"/>
          <w:sz w:val="32"/>
          <w:szCs w:val="32"/>
          <w:lang w:val="en-US" w:eastAsia="zh-CN"/>
        </w:rPr>
        <w:t>1311.9</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42.71</w:t>
      </w:r>
      <w:r>
        <w:rPr>
          <w:rFonts w:hint="eastAsia" w:asciiTheme="minorEastAsia" w:hAnsiTheme="minorEastAsia" w:eastAsiaTheme="minorEastAsia"/>
          <w:sz w:val="32"/>
          <w:szCs w:val="32"/>
        </w:rPr>
        <w:t>%，主要包括办公费</w:t>
      </w:r>
      <w:r>
        <w:rPr>
          <w:rFonts w:hint="eastAsia" w:asciiTheme="minorEastAsia" w:hAnsiTheme="minorEastAsia" w:eastAsiaTheme="minorEastAsia"/>
          <w:sz w:val="32"/>
          <w:szCs w:val="32"/>
          <w:lang w:val="en-US" w:eastAsia="zh-CN"/>
        </w:rPr>
        <w:t>16.4万元</w:t>
      </w:r>
      <w:r>
        <w:rPr>
          <w:rFonts w:hint="eastAsia" w:asciiTheme="minorEastAsia" w:hAnsiTheme="minorEastAsia" w:eastAsiaTheme="minorEastAsia"/>
          <w:sz w:val="32"/>
          <w:szCs w:val="32"/>
        </w:rPr>
        <w:t>、印刷费</w:t>
      </w:r>
      <w:r>
        <w:rPr>
          <w:rFonts w:hint="eastAsia" w:asciiTheme="minorEastAsia" w:hAnsiTheme="minorEastAsia" w:eastAsiaTheme="minorEastAsia"/>
          <w:sz w:val="32"/>
          <w:szCs w:val="32"/>
          <w:lang w:val="en-US" w:eastAsia="zh-CN"/>
        </w:rPr>
        <w:t>42.93万元</w:t>
      </w:r>
      <w:r>
        <w:rPr>
          <w:rFonts w:hint="eastAsia" w:asciiTheme="minorEastAsia" w:hAnsiTheme="minorEastAsia" w:eastAsiaTheme="minorEastAsia"/>
          <w:sz w:val="32"/>
          <w:szCs w:val="32"/>
        </w:rPr>
        <w:t>、咨询费</w:t>
      </w:r>
      <w:r>
        <w:rPr>
          <w:rFonts w:hint="eastAsia" w:asciiTheme="minorEastAsia" w:hAnsiTheme="minorEastAsia" w:eastAsiaTheme="minorEastAsia"/>
          <w:sz w:val="32"/>
          <w:szCs w:val="32"/>
          <w:lang w:val="en-US" w:eastAsia="zh-CN"/>
        </w:rPr>
        <w:t>5.45万元</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水费0.36万元、电费6.39万元、邮电费3.1万元、差旅费16.51万元、维修（护）费12.67万元、租赁费2.57万元、会议费2.52万元、公务接待费5.92万元、专用材料费174.29万元、劳务费58.63万元、工会经费61.62万元、福利费1.07万元、公务用车运行维护费6.3万元、其他交通费用58.43万元、其他商品和服务支出836.74万元</w:t>
      </w:r>
      <w:r>
        <w:rPr>
          <w:rFonts w:hint="eastAsia" w:asciiTheme="minorEastAsia" w:hAnsiTheme="minorEastAsia" w:eastAsiaTheme="minorEastAsia"/>
          <w:sz w:val="32"/>
          <w:szCs w:val="32"/>
        </w:rPr>
        <w:t>。</w:t>
      </w:r>
    </w:p>
    <w:p>
      <w:pPr>
        <w:pStyle w:val="15"/>
        <w:rPr>
          <w:rFonts w:hAnsi="黑体"/>
          <w:b/>
          <w:sz w:val="32"/>
          <w:szCs w:val="32"/>
        </w:rPr>
      </w:pPr>
      <w:r>
        <w:rPr>
          <w:rFonts w:hint="eastAsia" w:hAnsi="黑体"/>
          <w:b/>
          <w:sz w:val="32"/>
          <w:szCs w:val="32"/>
        </w:rPr>
        <w:t>七、一般公共预算财政拨款“三公”经费支出决算情况说明</w:t>
      </w:r>
    </w:p>
    <w:p>
      <w:pPr>
        <w:pStyle w:val="15"/>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5"/>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eastAsia="zh-CN"/>
        </w:rPr>
        <w:t>202</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年度“三公”经费财政拨款支出预算为12.22万元，支出决算为12.22万元，完成预算的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%，其中：</w:t>
      </w:r>
    </w:p>
    <w:p>
      <w:pPr>
        <w:pStyle w:val="15"/>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%，与上年</w:t>
      </w:r>
      <w:r>
        <w:rPr>
          <w:rFonts w:hint="eastAsia" w:asciiTheme="minorEastAsia" w:hAnsiTheme="minorEastAsia" w:eastAsiaTheme="minorEastAsia"/>
          <w:sz w:val="32"/>
          <w:szCs w:val="32"/>
          <w:lang w:val="en-US" w:eastAsia="zh-CN"/>
        </w:rPr>
        <w:t>持平</w:t>
      </w:r>
      <w:r>
        <w:rPr>
          <w:rFonts w:hint="eastAsia" w:asciiTheme="minorEastAsia" w:hAnsiTheme="minorEastAsia" w:eastAsiaTheme="minorEastAsia"/>
          <w:sz w:val="32"/>
          <w:szCs w:val="32"/>
        </w:rPr>
        <w:t>。</w:t>
      </w:r>
    </w:p>
    <w:p>
      <w:pPr>
        <w:pStyle w:val="15"/>
        <w:ind w:firstLine="800" w:firstLineChars="250"/>
        <w:rPr>
          <w:rFonts w:hint="default" w:asciiTheme="minorEastAsia" w:hAnsiTheme="minorEastAsia" w:eastAsiaTheme="minorEastAsia"/>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sz w:val="32"/>
          <w:szCs w:val="32"/>
        </w:rPr>
        <w:t>公务接待费支出预算为5.92万元，支出决算为5.92万元，完成预算的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等于</w:t>
      </w:r>
      <w:r>
        <w:rPr>
          <w:rFonts w:hint="eastAsia" w:asciiTheme="minorEastAsia" w:hAnsiTheme="minorEastAsia" w:eastAsiaTheme="minorEastAsia"/>
          <w:sz w:val="32"/>
          <w:szCs w:val="32"/>
        </w:rPr>
        <w:t>预算数，与上年相比减少</w:t>
      </w:r>
      <w:r>
        <w:rPr>
          <w:rFonts w:hint="eastAsia" w:asciiTheme="minorEastAsia" w:hAnsiTheme="minorEastAsia" w:eastAsiaTheme="minorEastAsia"/>
          <w:sz w:val="32"/>
          <w:szCs w:val="32"/>
          <w:lang w:val="en-US" w:eastAsia="zh-CN"/>
        </w:rPr>
        <w:t>0.05</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84</w:t>
      </w:r>
      <w:r>
        <w:rPr>
          <w:rFonts w:hint="eastAsia" w:asciiTheme="minorEastAsia" w:hAnsiTheme="minorEastAsia" w:eastAsiaTheme="minorEastAsia"/>
          <w:color w:val="000000" w:themeColor="text1"/>
          <w:sz w:val="32"/>
          <w:szCs w:val="32"/>
          <w14:textFill>
            <w14:solidFill>
              <w14:schemeClr w14:val="tx1"/>
            </w14:solidFill>
          </w14:textFill>
        </w:rPr>
        <w:t>%,</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减少的主要原因是本单位公务接待费压减。</w:t>
      </w:r>
    </w:p>
    <w:p>
      <w:pPr>
        <w:pStyle w:val="15"/>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%，与上年</w:t>
      </w:r>
      <w:r>
        <w:rPr>
          <w:rFonts w:hint="eastAsia" w:asciiTheme="minorEastAsia" w:hAnsiTheme="minorEastAsia" w:eastAsiaTheme="minorEastAsia"/>
          <w:sz w:val="32"/>
          <w:szCs w:val="32"/>
          <w:lang w:val="en-US" w:eastAsia="zh-CN"/>
        </w:rPr>
        <w:t>持平</w:t>
      </w:r>
      <w:r>
        <w:rPr>
          <w:rFonts w:hint="eastAsia" w:asciiTheme="minorEastAsia" w:hAnsiTheme="minorEastAsia" w:eastAsiaTheme="minorEastAsia"/>
          <w:sz w:val="32"/>
          <w:szCs w:val="32"/>
        </w:rPr>
        <w:t>。</w:t>
      </w:r>
    </w:p>
    <w:p>
      <w:pPr>
        <w:pStyle w:val="15"/>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公务用车运行维护费支出预算为</w:t>
      </w:r>
      <w:r>
        <w:rPr>
          <w:rFonts w:hint="eastAsia" w:asciiTheme="minorEastAsia" w:hAnsiTheme="minorEastAsia" w:eastAsiaTheme="minorEastAsia"/>
          <w:sz w:val="32"/>
          <w:szCs w:val="32"/>
          <w:lang w:val="en-US" w:eastAsia="zh-CN"/>
        </w:rPr>
        <w:t>6.3</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6.3</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等于</w:t>
      </w:r>
      <w:r>
        <w:rPr>
          <w:rFonts w:hint="eastAsia" w:asciiTheme="minorEastAsia" w:hAnsiTheme="minorEastAsia" w:eastAsiaTheme="minorEastAsia"/>
          <w:sz w:val="32"/>
          <w:szCs w:val="32"/>
        </w:rPr>
        <w:t>预算数，与上年</w:t>
      </w:r>
      <w:r>
        <w:rPr>
          <w:rFonts w:hint="eastAsia" w:asciiTheme="minorEastAsia" w:hAnsiTheme="minorEastAsia" w:eastAsiaTheme="minorEastAsia"/>
          <w:sz w:val="32"/>
          <w:szCs w:val="32"/>
          <w:lang w:val="en-US" w:eastAsia="zh-CN"/>
        </w:rPr>
        <w:t>持平</w:t>
      </w:r>
      <w:r>
        <w:rPr>
          <w:rFonts w:hint="eastAsia" w:asciiTheme="minorEastAsia" w:hAnsiTheme="minorEastAsia" w:eastAsiaTheme="minorEastAsia"/>
          <w:sz w:val="32"/>
          <w:szCs w:val="32"/>
        </w:rPr>
        <w:t>。</w:t>
      </w:r>
    </w:p>
    <w:p>
      <w:pPr>
        <w:pStyle w:val="15"/>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5"/>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eastAsia="zh-CN"/>
        </w:rPr>
        <w:t>202</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年度“三公”经费财政拨款支出决算中，公务接待费支出决算</w:t>
      </w:r>
      <w:r>
        <w:rPr>
          <w:rFonts w:hint="eastAsia" w:asciiTheme="minorEastAsia" w:hAnsiTheme="minorEastAsia" w:eastAsiaTheme="minorEastAsia"/>
          <w:sz w:val="32"/>
          <w:szCs w:val="32"/>
          <w:lang w:val="en-US" w:eastAsia="zh-CN"/>
        </w:rPr>
        <w:t>5.92</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48.45</w:t>
      </w:r>
      <w:r>
        <w:rPr>
          <w:rFonts w:hint="eastAsia" w:asciiTheme="minorEastAsia" w:hAnsiTheme="minorEastAsia" w:eastAsiaTheme="minorEastAsia"/>
          <w:sz w:val="32"/>
          <w:szCs w:val="32"/>
        </w:rPr>
        <w:t>%,因公出国（境）费支出决算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%,公务用车购置费及运行维护费支出决算</w:t>
      </w:r>
      <w:r>
        <w:rPr>
          <w:rFonts w:hint="eastAsia" w:asciiTheme="minorEastAsia" w:hAnsiTheme="minorEastAsia" w:eastAsiaTheme="minorEastAsia"/>
          <w:sz w:val="32"/>
          <w:szCs w:val="32"/>
          <w:lang w:val="en-US" w:eastAsia="zh-CN"/>
        </w:rPr>
        <w:t>6.3</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51.55</w:t>
      </w:r>
      <w:r>
        <w:rPr>
          <w:rFonts w:hint="eastAsia" w:asciiTheme="minorEastAsia" w:hAnsiTheme="minorEastAsia" w:eastAsiaTheme="minorEastAsia"/>
          <w:sz w:val="32"/>
          <w:szCs w:val="32"/>
        </w:rPr>
        <w:t>%。其中：</w:t>
      </w:r>
    </w:p>
    <w:p>
      <w:pPr>
        <w:pStyle w:val="15"/>
        <w:ind w:firstLine="640" w:firstLineChars="200"/>
        <w:rPr>
          <w:rFonts w:asciiTheme="minorEastAsia" w:hAnsiTheme="minorEastAsia" w:eastAsiaTheme="minorEastAsia"/>
          <w:b/>
          <w:sz w:val="32"/>
          <w:szCs w:val="32"/>
        </w:rPr>
      </w:pPr>
      <w:r>
        <w:rPr>
          <w:rFonts w:hint="eastAsia" w:asciiTheme="minorEastAsia" w:hAnsiTheme="minorEastAsia" w:eastAsiaTheme="minorEastAsia"/>
          <w:sz w:val="32"/>
          <w:szCs w:val="32"/>
        </w:rPr>
        <w:t>1、因公出国（境）费支出决算为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万元，全年安排因公出国（境）团组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个，累计</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w:t>
      </w:r>
      <w:r>
        <w:rPr>
          <w:rFonts w:hint="eastAsia" w:asciiTheme="minorEastAsia" w:hAnsiTheme="minorEastAsia" w:eastAsiaTheme="minorEastAsia"/>
          <w:sz w:val="32"/>
          <w:szCs w:val="32"/>
          <w:lang w:val="en-US" w:eastAsia="zh-CN"/>
        </w:rPr>
        <w:t>无此项开支</w:t>
      </w:r>
      <w:r>
        <w:rPr>
          <w:rFonts w:hint="eastAsia" w:asciiTheme="minorEastAsia" w:hAnsiTheme="minorEastAsia" w:eastAsiaTheme="minorEastAsia"/>
          <w:sz w:val="32"/>
          <w:szCs w:val="32"/>
        </w:rPr>
        <w:t>：</w:t>
      </w:r>
    </w:p>
    <w:p>
      <w:pPr>
        <w:pStyle w:val="15"/>
        <w:ind w:firstLine="800" w:firstLineChars="250"/>
        <w:rPr>
          <w:rFonts w:asciiTheme="minorEastAsia" w:hAnsiTheme="minorEastAsia" w:eastAsiaTheme="minorEastAsia"/>
          <w:color w:val="FF0000"/>
          <w:sz w:val="32"/>
          <w:szCs w:val="32"/>
        </w:rPr>
      </w:pPr>
      <w:r>
        <w:rPr>
          <w:rFonts w:hint="eastAsia" w:asciiTheme="minorEastAsia" w:hAnsiTheme="minorEastAsia" w:eastAsiaTheme="minorEastAsia"/>
          <w:sz w:val="32"/>
          <w:szCs w:val="32"/>
        </w:rPr>
        <w:t>2、公务接待费支出</w:t>
      </w:r>
      <w:r>
        <w:rPr>
          <w:rFonts w:hint="eastAsia" w:asciiTheme="minorEastAsia" w:hAnsiTheme="minorEastAsia" w:eastAsiaTheme="minorEastAsia"/>
          <w:color w:val="000000" w:themeColor="text1"/>
          <w:sz w:val="32"/>
          <w:szCs w:val="32"/>
          <w14:textFill>
            <w14:solidFill>
              <w14:schemeClr w14:val="tx1"/>
            </w14:solidFill>
          </w14:textFill>
        </w:rPr>
        <w:t>决算为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5.92</w:t>
      </w:r>
      <w:r>
        <w:rPr>
          <w:rFonts w:hint="eastAsia" w:asciiTheme="minorEastAsia" w:hAnsiTheme="minorEastAsia" w:eastAsiaTheme="minorEastAsia"/>
          <w:color w:val="000000" w:themeColor="text1"/>
          <w:sz w:val="32"/>
          <w:szCs w:val="32"/>
          <w14:textFill>
            <w14:solidFill>
              <w14:schemeClr w14:val="tx1"/>
            </w14:solidFill>
          </w14:textFill>
        </w:rPr>
        <w:t>万元，全年共接待来访团组</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36</w:t>
      </w:r>
      <w:r>
        <w:rPr>
          <w:rFonts w:hint="eastAsia" w:asciiTheme="minorEastAsia" w:hAnsiTheme="minorEastAsia" w:eastAsiaTheme="minorEastAsia"/>
          <w:color w:val="000000" w:themeColor="text1"/>
          <w:sz w:val="32"/>
          <w:szCs w:val="32"/>
          <w14:textFill>
            <w14:solidFill>
              <w14:schemeClr w14:val="tx1"/>
            </w14:solidFill>
          </w14:textFill>
        </w:rPr>
        <w:t>个、来宾</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452</w:t>
      </w:r>
      <w:r>
        <w:rPr>
          <w:rFonts w:hint="eastAsia" w:asciiTheme="minorEastAsia" w:hAnsiTheme="minorEastAsia" w:eastAsiaTheme="minorEastAsia"/>
          <w:color w:val="000000" w:themeColor="text1"/>
          <w:sz w:val="32"/>
          <w:szCs w:val="32"/>
          <w14:textFill>
            <w14:solidFill>
              <w14:schemeClr w14:val="tx1"/>
            </w14:solidFill>
          </w14:textFill>
        </w:rPr>
        <w:t>人次，主要是</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农业农村局单位上级部门检查等</w:t>
      </w:r>
      <w:r>
        <w:rPr>
          <w:rFonts w:hint="eastAsia" w:asciiTheme="minorEastAsia" w:hAnsiTheme="minorEastAsia" w:eastAsiaTheme="minorEastAsia"/>
          <w:color w:val="000000" w:themeColor="text1"/>
          <w:sz w:val="32"/>
          <w:szCs w:val="32"/>
          <w14:textFill>
            <w14:solidFill>
              <w14:schemeClr w14:val="tx1"/>
            </w14:solidFill>
          </w14:textFill>
        </w:rPr>
        <w:t>发生的接待支出。</w:t>
      </w:r>
    </w:p>
    <w:p>
      <w:pPr>
        <w:ind w:firstLine="800" w:firstLineChars="250"/>
        <w:rPr>
          <w:rFonts w:cs="黑体" w:asciiTheme="minorEastAsia" w:hAnsiTheme="minorEastAsia"/>
          <w:color w:val="000000" w:themeColor="text1"/>
          <w:kern w:val="0"/>
          <w:sz w:val="32"/>
          <w:szCs w:val="32"/>
          <w14:textFill>
            <w14:solidFill>
              <w14:schemeClr w14:val="tx1"/>
            </w14:solidFill>
          </w14:textFill>
        </w:rPr>
      </w:pPr>
      <w:r>
        <w:rPr>
          <w:rFonts w:hint="eastAsia" w:asciiTheme="minorEastAsia" w:hAnsiTheme="minorEastAsia"/>
          <w:sz w:val="32"/>
          <w:szCs w:val="32"/>
        </w:rPr>
        <w:t>3、公务用车购置费及运行维护费支出决算为</w:t>
      </w:r>
      <w:r>
        <w:rPr>
          <w:rFonts w:hint="eastAsia" w:asciiTheme="minorEastAsia" w:hAnsiTheme="minorEastAsia"/>
          <w:sz w:val="32"/>
          <w:szCs w:val="32"/>
          <w:lang w:val="en-US" w:eastAsia="zh-CN"/>
        </w:rPr>
        <w:t>6.3</w:t>
      </w:r>
      <w:r>
        <w:rPr>
          <w:rFonts w:hint="eastAsia" w:asciiTheme="minorEastAsia" w:hAnsiTheme="minorEastAsia"/>
          <w:sz w:val="32"/>
          <w:szCs w:val="32"/>
        </w:rPr>
        <w:t>万元，其中：公务用车购置费</w:t>
      </w:r>
      <w:r>
        <w:rPr>
          <w:rFonts w:hint="eastAsia" w:asciiTheme="minorEastAsia" w:hAnsiTheme="minorEastAsia"/>
          <w:sz w:val="32"/>
          <w:szCs w:val="32"/>
          <w:lang w:val="en-US" w:eastAsia="zh-CN"/>
        </w:rPr>
        <w:t>0</w:t>
      </w:r>
      <w:r>
        <w:rPr>
          <w:rFonts w:hint="eastAsia" w:asciiTheme="minorEastAsia" w:hAnsiTheme="minorEastAsia"/>
          <w:sz w:val="32"/>
          <w:szCs w:val="32"/>
        </w:rPr>
        <w:t>万元</w:t>
      </w:r>
      <w:r>
        <w:rPr>
          <w:rFonts w:hint="eastAsia" w:asciiTheme="minorEastAsia" w:hAnsiTheme="minorEastAsia"/>
          <w:sz w:val="32"/>
          <w:szCs w:val="32"/>
          <w:lang w:eastAsia="zh-CN"/>
        </w:rPr>
        <w:t>，</w:t>
      </w:r>
      <w:r>
        <w:rPr>
          <w:rFonts w:hint="eastAsia" w:asciiTheme="minorEastAsia" w:hAnsiTheme="minorEastAsia"/>
          <w:sz w:val="32"/>
          <w:szCs w:val="32"/>
        </w:rPr>
        <w:t>更新公务用车</w:t>
      </w:r>
      <w:r>
        <w:rPr>
          <w:rFonts w:hint="eastAsia" w:asciiTheme="minorEastAsia" w:hAnsiTheme="minorEastAsia"/>
          <w:sz w:val="32"/>
          <w:szCs w:val="32"/>
          <w:lang w:val="en-US" w:eastAsia="zh-CN"/>
        </w:rPr>
        <w:t>0</w:t>
      </w:r>
      <w:r>
        <w:rPr>
          <w:rFonts w:hint="eastAsia" w:asciiTheme="minorEastAsia" w:hAnsiTheme="minorEastAsia"/>
          <w:sz w:val="32"/>
          <w:szCs w:val="32"/>
        </w:rPr>
        <w:t>辆。</w:t>
      </w:r>
      <w:r>
        <w:rPr>
          <w:rFonts w:hint="eastAsia" w:asciiTheme="minorEastAsia" w:hAnsiTheme="minorEastAsia"/>
          <w:sz w:val="32"/>
          <w:szCs w:val="32"/>
        </w:rPr>
        <w:t>公务用车运行维护</w:t>
      </w:r>
      <w:r>
        <w:rPr>
          <w:rFonts w:hint="eastAsia" w:asciiTheme="minorEastAsia" w:hAnsiTheme="minorEastAsia"/>
          <w:color w:val="000000" w:themeColor="text1"/>
          <w:sz w:val="32"/>
          <w:szCs w:val="32"/>
          <w14:textFill>
            <w14:solidFill>
              <w14:schemeClr w14:val="tx1"/>
            </w14:solidFill>
          </w14:textFill>
        </w:rPr>
        <w:t>费</w:t>
      </w:r>
      <w:r>
        <w:rPr>
          <w:rFonts w:hint="eastAsia" w:asciiTheme="minorEastAsia" w:hAnsiTheme="minorEastAsia"/>
          <w:color w:val="000000" w:themeColor="text1"/>
          <w:sz w:val="32"/>
          <w:szCs w:val="32"/>
          <w:lang w:val="en-US" w:eastAsia="zh-CN"/>
          <w14:textFill>
            <w14:solidFill>
              <w14:schemeClr w14:val="tx1"/>
            </w14:solidFill>
          </w14:textFill>
        </w:rPr>
        <w:t>6.3</w:t>
      </w:r>
      <w:r>
        <w:rPr>
          <w:rFonts w:hint="eastAsia" w:asciiTheme="minorEastAsia" w:hAnsiTheme="minorEastAsia"/>
          <w:color w:val="000000" w:themeColor="text1"/>
          <w:sz w:val="32"/>
          <w:szCs w:val="32"/>
          <w14:textFill>
            <w14:solidFill>
              <w14:schemeClr w14:val="tx1"/>
            </w14:solidFill>
          </w14:textFill>
        </w:rPr>
        <w:t>万元，主要是</w:t>
      </w:r>
      <w:r>
        <w:rPr>
          <w:rFonts w:hint="eastAsia" w:asciiTheme="minorEastAsia" w:hAnsiTheme="minorEastAsia"/>
          <w:color w:val="000000" w:themeColor="text1"/>
          <w:sz w:val="32"/>
          <w:szCs w:val="32"/>
          <w:lang w:val="en-US" w:eastAsia="zh-CN"/>
          <w14:textFill>
            <w14:solidFill>
              <w14:schemeClr w14:val="tx1"/>
            </w14:solidFill>
          </w14:textFill>
        </w:rPr>
        <w:t>油料费、维修费、过路过桥费等</w:t>
      </w:r>
      <w:r>
        <w:rPr>
          <w:rFonts w:hint="eastAsia" w:asciiTheme="minorEastAsia" w:hAnsiTheme="minorEastAsia"/>
          <w:color w:val="000000" w:themeColor="text1"/>
          <w:sz w:val="32"/>
          <w:szCs w:val="32"/>
          <w14:textFill>
            <w14:solidFill>
              <w14:schemeClr w14:val="tx1"/>
            </w14:solidFill>
          </w14:textFill>
        </w:rPr>
        <w:t>支出，截止</w:t>
      </w:r>
      <w:r>
        <w:rPr>
          <w:rFonts w:hint="eastAsia" w:asciiTheme="minorEastAsia" w:hAnsiTheme="minorEastAsia"/>
          <w:color w:val="000000" w:themeColor="text1"/>
          <w:sz w:val="32"/>
          <w:szCs w:val="32"/>
          <w:lang w:eastAsia="zh-CN"/>
          <w14:textFill>
            <w14:solidFill>
              <w14:schemeClr w14:val="tx1"/>
            </w14:solidFill>
          </w14:textFill>
        </w:rPr>
        <w:t>202</w:t>
      </w:r>
      <w:r>
        <w:rPr>
          <w:rFonts w:hint="eastAsia" w:asciiTheme="minorEastAsia" w:hAnsiTheme="minorEastAsia"/>
          <w:color w:val="000000" w:themeColor="text1"/>
          <w:sz w:val="32"/>
          <w:szCs w:val="32"/>
          <w:lang w:val="en-US" w:eastAsia="zh-CN"/>
          <w14:textFill>
            <w14:solidFill>
              <w14:schemeClr w14:val="tx1"/>
            </w14:solidFill>
          </w14:textFill>
        </w:rPr>
        <w:t>1</w:t>
      </w:r>
      <w:r>
        <w:rPr>
          <w:rFonts w:hint="eastAsia" w:asciiTheme="minorEastAsia" w:hAnsiTheme="minorEastAsia"/>
          <w:color w:val="000000" w:themeColor="text1"/>
          <w:sz w:val="32"/>
          <w:szCs w:val="32"/>
          <w14:textFill>
            <w14:solidFill>
              <w14:schemeClr w14:val="tx1"/>
            </w14:solidFill>
          </w14:textFill>
        </w:rPr>
        <w:t>年12月31日，我单位开支财政拨款的公务用车保有量为</w:t>
      </w:r>
      <w:r>
        <w:rPr>
          <w:rFonts w:hint="eastAsia" w:asciiTheme="minorEastAsia" w:hAnsiTheme="minorEastAsia"/>
          <w:color w:val="000000" w:themeColor="text1"/>
          <w:sz w:val="32"/>
          <w:szCs w:val="32"/>
          <w:lang w:val="en-US" w:eastAsia="zh-CN"/>
          <w14:textFill>
            <w14:solidFill>
              <w14:schemeClr w14:val="tx1"/>
            </w14:solidFill>
          </w14:textFill>
        </w:rPr>
        <w:t>1</w:t>
      </w:r>
      <w:r>
        <w:rPr>
          <w:rFonts w:hint="eastAsia" w:asciiTheme="minorEastAsia" w:hAnsiTheme="minorEastAsia"/>
          <w:color w:val="000000" w:themeColor="text1"/>
          <w:sz w:val="32"/>
          <w:szCs w:val="32"/>
          <w14:textFill>
            <w14:solidFill>
              <w14:schemeClr w14:val="tx1"/>
            </w14:solidFill>
          </w14:textFill>
        </w:rPr>
        <w:t>辆。</w:t>
      </w:r>
    </w:p>
    <w:p>
      <w:pPr>
        <w:pStyle w:val="15"/>
        <w:rPr>
          <w:rFonts w:hAnsi="黑体"/>
          <w:b/>
          <w:sz w:val="32"/>
          <w:szCs w:val="32"/>
        </w:rPr>
      </w:pPr>
      <w:r>
        <w:rPr>
          <w:rFonts w:hint="eastAsia" w:hAnsi="黑体"/>
          <w:b/>
          <w:sz w:val="32"/>
          <w:szCs w:val="32"/>
        </w:rPr>
        <w:t>八、政府性基金预算收入支出决算情况</w:t>
      </w:r>
    </w:p>
    <w:p>
      <w:pPr>
        <w:pStyle w:val="15"/>
        <w:rPr>
          <w:rFonts w:hint="eastAsia" w:asciiTheme="minorEastAsia" w:hAnsiTheme="minorEastAsia" w:eastAsiaTheme="minorEastAsia"/>
          <w:sz w:val="32"/>
          <w:szCs w:val="32"/>
        </w:rPr>
      </w:pPr>
      <w:r>
        <w:rPr>
          <w:rFonts w:hint="eastAsia" w:asciiTheme="minorEastAsia" w:hAnsiTheme="minorEastAsia" w:eastAsiaTheme="minorEastAsia"/>
          <w:sz w:val="32"/>
          <w:szCs w:val="32"/>
        </w:rPr>
        <w:t xml:space="preserve">     </w:t>
      </w:r>
      <w:r>
        <w:rPr>
          <w:rFonts w:hint="eastAsia" w:asciiTheme="minorEastAsia" w:hAnsiTheme="minorEastAsia" w:eastAsiaTheme="minorEastAsia"/>
          <w:sz w:val="32"/>
          <w:szCs w:val="32"/>
          <w:lang w:eastAsia="zh-CN"/>
        </w:rPr>
        <w:t>202</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年度政府性基金预算财政拨款收入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万元；年初结转和结余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万元，项目支出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万元；年末结转和结余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万元。具体情况如下：</w:t>
      </w:r>
    </w:p>
    <w:p>
      <w:pPr>
        <w:pStyle w:val="15"/>
        <w:ind w:firstLine="1280" w:firstLineChars="4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本单位无政府性基金收支</w:t>
      </w:r>
      <w:r>
        <w:rPr>
          <w:rFonts w:hint="eastAsia" w:asciiTheme="minorEastAsia" w:hAnsiTheme="minorEastAsia" w:eastAsiaTheme="minorEastAsia"/>
          <w:sz w:val="32"/>
          <w:szCs w:val="32"/>
          <w:lang w:eastAsia="zh-CN"/>
        </w:rPr>
        <w:t>。</w:t>
      </w:r>
    </w:p>
    <w:p>
      <w:pPr>
        <w:pStyle w:val="15"/>
        <w:rPr>
          <w:rFonts w:hAnsi="黑体"/>
          <w:b/>
          <w:sz w:val="32"/>
          <w:szCs w:val="32"/>
        </w:rPr>
      </w:pPr>
      <w:r>
        <w:rPr>
          <w:rFonts w:hint="eastAsia" w:hAnsi="黑体"/>
          <w:b/>
          <w:sz w:val="32"/>
          <w:szCs w:val="32"/>
        </w:rPr>
        <w:t>九、机关运行经费支出说明</w:t>
      </w:r>
    </w:p>
    <w:p>
      <w:pPr>
        <w:pStyle w:val="15"/>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w:t>
      </w:r>
      <w:r>
        <w:rPr>
          <w:rFonts w:hint="eastAsia" w:asciiTheme="minorEastAsia" w:hAnsiTheme="minorEastAsia" w:eastAsiaTheme="minorEastAsia"/>
          <w:sz w:val="32"/>
          <w:szCs w:val="32"/>
          <w:lang w:eastAsia="zh-CN"/>
        </w:rPr>
        <w:t>202</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年度机关运行经费支出</w:t>
      </w:r>
      <w:r>
        <w:rPr>
          <w:rFonts w:hint="eastAsia" w:asciiTheme="minorEastAsia" w:hAnsiTheme="minorEastAsia" w:eastAsiaTheme="minorEastAsia"/>
          <w:sz w:val="32"/>
          <w:szCs w:val="32"/>
          <w:lang w:val="en-US" w:eastAsia="zh-CN"/>
        </w:rPr>
        <w:t>1311.8</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比上年决算数减少</w:t>
      </w:r>
      <w:r>
        <w:rPr>
          <w:rFonts w:hint="eastAsia" w:asciiTheme="minorEastAsia" w:hAnsiTheme="minorEastAsia" w:eastAsiaTheme="minorEastAsia"/>
          <w:sz w:val="32"/>
          <w:szCs w:val="32"/>
          <w:lang w:val="en-US" w:eastAsia="zh-CN"/>
        </w:rPr>
        <w:t>71.07</w:t>
      </w:r>
      <w:r>
        <w:rPr>
          <w:rFonts w:hint="eastAsia" w:asciiTheme="minorEastAsia" w:hAnsiTheme="minorEastAsia" w:eastAsiaTheme="minorEastAsia"/>
          <w:sz w:val="32"/>
          <w:szCs w:val="32"/>
        </w:rPr>
        <w:t>万元，降低</w:t>
      </w:r>
      <w:r>
        <w:rPr>
          <w:rFonts w:hint="eastAsia" w:asciiTheme="minorEastAsia" w:hAnsiTheme="minorEastAsia" w:eastAsiaTheme="minorEastAsia"/>
          <w:sz w:val="32"/>
          <w:szCs w:val="32"/>
          <w:lang w:val="en-US" w:eastAsia="zh-CN"/>
        </w:rPr>
        <w:t>5.13</w:t>
      </w:r>
      <w:r>
        <w:rPr>
          <w:rFonts w:hint="eastAsia" w:asciiTheme="minorEastAsia" w:hAnsiTheme="minorEastAsia" w:eastAsiaTheme="minorEastAsia"/>
          <w:sz w:val="32"/>
          <w:szCs w:val="32"/>
        </w:rPr>
        <w:t>%。主要原因是：</w:t>
      </w:r>
      <w:r>
        <w:rPr>
          <w:rFonts w:hint="eastAsia" w:asciiTheme="minorEastAsia" w:hAnsiTheme="minorEastAsia" w:eastAsiaTheme="minorEastAsia"/>
          <w:sz w:val="32"/>
          <w:szCs w:val="32"/>
          <w:lang w:val="en-US" w:eastAsia="zh-CN"/>
        </w:rPr>
        <w:t>机关运行经费压减</w:t>
      </w:r>
      <w:r>
        <w:rPr>
          <w:rFonts w:hint="eastAsia" w:asciiTheme="minorEastAsia" w:hAnsiTheme="minorEastAsia" w:eastAsiaTheme="minorEastAsia"/>
          <w:sz w:val="32"/>
          <w:szCs w:val="32"/>
        </w:rPr>
        <w:t>。</w:t>
      </w:r>
    </w:p>
    <w:p>
      <w:pPr>
        <w:pStyle w:val="15"/>
        <w:rPr>
          <w:rFonts w:hAnsi="黑体"/>
          <w:b/>
          <w:sz w:val="32"/>
          <w:szCs w:val="32"/>
        </w:rPr>
      </w:pPr>
      <w:r>
        <w:rPr>
          <w:rFonts w:hint="eastAsia" w:hAnsi="黑体"/>
          <w:b/>
          <w:sz w:val="32"/>
          <w:szCs w:val="32"/>
        </w:rPr>
        <w:t>十、一般性支出情况说明</w:t>
      </w:r>
    </w:p>
    <w:p>
      <w:pPr>
        <w:pStyle w:val="15"/>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eastAsia="zh-CN"/>
        </w:rPr>
        <w:t>202</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年本部门开支会议费</w:t>
      </w:r>
      <w:r>
        <w:rPr>
          <w:rFonts w:hint="eastAsia" w:asciiTheme="minorEastAsia" w:hAnsiTheme="minorEastAsia" w:eastAsiaTheme="minorEastAsia"/>
          <w:sz w:val="32"/>
          <w:szCs w:val="32"/>
          <w:lang w:val="en-US" w:eastAsia="zh-CN"/>
        </w:rPr>
        <w:t>2.5</w:t>
      </w:r>
      <w:r>
        <w:rPr>
          <w:rFonts w:hint="eastAsia" w:asciiTheme="minorEastAsia" w:hAnsiTheme="minorEastAsia" w:eastAsiaTheme="minorEastAsia"/>
          <w:sz w:val="32"/>
          <w:szCs w:val="32"/>
        </w:rPr>
        <w:t>万元，用于召开</w:t>
      </w:r>
      <w:r>
        <w:rPr>
          <w:rFonts w:hint="eastAsia" w:asciiTheme="minorEastAsia" w:hAnsiTheme="minorEastAsia" w:eastAsiaTheme="minorEastAsia"/>
          <w:sz w:val="32"/>
          <w:szCs w:val="32"/>
          <w:lang w:val="en-US" w:eastAsia="zh-CN"/>
        </w:rPr>
        <w:t>本单位业务</w:t>
      </w:r>
      <w:r>
        <w:rPr>
          <w:rFonts w:hint="eastAsia" w:asciiTheme="minorEastAsia" w:hAnsiTheme="minorEastAsia" w:eastAsiaTheme="minorEastAsia"/>
          <w:sz w:val="32"/>
          <w:szCs w:val="32"/>
        </w:rPr>
        <w:t>会议，人数</w:t>
      </w:r>
      <w:r>
        <w:rPr>
          <w:rFonts w:hint="eastAsia" w:asciiTheme="minorEastAsia" w:hAnsiTheme="minorEastAsia" w:eastAsiaTheme="minorEastAsia"/>
          <w:sz w:val="32"/>
          <w:szCs w:val="32"/>
          <w:lang w:val="en-US" w:eastAsia="zh-CN"/>
        </w:rPr>
        <w:t>150</w:t>
      </w:r>
      <w:r>
        <w:rPr>
          <w:rFonts w:hint="eastAsia" w:asciiTheme="minorEastAsia" w:hAnsiTheme="minorEastAsia" w:eastAsiaTheme="minorEastAsia"/>
          <w:sz w:val="32"/>
          <w:szCs w:val="32"/>
        </w:rPr>
        <w:t>人，内容为</w:t>
      </w:r>
      <w:r>
        <w:rPr>
          <w:rFonts w:hint="eastAsia" w:asciiTheme="minorEastAsia" w:hAnsiTheme="minorEastAsia" w:eastAsiaTheme="minorEastAsia"/>
          <w:sz w:val="32"/>
          <w:szCs w:val="32"/>
          <w:lang w:val="en-US" w:eastAsia="zh-CN"/>
        </w:rPr>
        <w:t>农业农村局日常工作业务会议</w:t>
      </w:r>
      <w:r>
        <w:rPr>
          <w:rFonts w:hint="eastAsia" w:asciiTheme="minorEastAsia" w:hAnsiTheme="minorEastAsia" w:eastAsiaTheme="minorEastAsia"/>
          <w:sz w:val="32"/>
          <w:szCs w:val="32"/>
        </w:rPr>
        <w:t>；开支培训费</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未</w:t>
      </w:r>
      <w:r>
        <w:rPr>
          <w:rFonts w:hint="eastAsia" w:asciiTheme="minorEastAsia" w:hAnsiTheme="minorEastAsia" w:eastAsiaTheme="minorEastAsia"/>
          <w:sz w:val="32"/>
          <w:szCs w:val="32"/>
        </w:rPr>
        <w:t>开展培训，人数</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w:t>
      </w:r>
      <w:r>
        <w:rPr>
          <w:rFonts w:hint="eastAsia" w:asciiTheme="minorEastAsia" w:hAnsiTheme="minorEastAsia" w:eastAsiaTheme="minorEastAsia"/>
          <w:sz w:val="32"/>
          <w:szCs w:val="32"/>
          <w:lang w:val="en-US" w:eastAsia="zh-CN"/>
        </w:rPr>
        <w:t>未</w:t>
      </w:r>
      <w:r>
        <w:rPr>
          <w:rFonts w:hint="eastAsia" w:asciiTheme="minorEastAsia" w:hAnsiTheme="minorEastAsia" w:eastAsiaTheme="minorEastAsia"/>
          <w:sz w:val="32"/>
          <w:szCs w:val="32"/>
        </w:rPr>
        <w:t>举办等节庆、晚会、论坛、赛事活动，开支</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p>
    <w:p>
      <w:pPr>
        <w:pStyle w:val="15"/>
        <w:rPr>
          <w:rFonts w:hAnsi="黑体"/>
          <w:b/>
          <w:sz w:val="32"/>
          <w:szCs w:val="32"/>
        </w:rPr>
      </w:pPr>
      <w:r>
        <w:rPr>
          <w:rFonts w:hint="eastAsia" w:hAnsi="黑体"/>
          <w:b/>
          <w:sz w:val="32"/>
          <w:szCs w:val="32"/>
        </w:rPr>
        <w:t>十一、政府采购支出说明</w:t>
      </w:r>
    </w:p>
    <w:p>
      <w:pPr>
        <w:pStyle w:val="15"/>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w:t>
      </w:r>
      <w:r>
        <w:rPr>
          <w:rFonts w:hint="eastAsia" w:asciiTheme="minorEastAsia" w:hAnsiTheme="minorEastAsia" w:eastAsiaTheme="minorEastAsia"/>
          <w:sz w:val="32"/>
          <w:szCs w:val="32"/>
          <w:lang w:eastAsia="zh-CN"/>
        </w:rPr>
        <w:t>202</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年度政府采购支出总额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万元，其中：政府采购货物支出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 xml:space="preserve"> 万元、政府采购工程支出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万元、政府采购服务支出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万元。授予中小企业合同金额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%，其中：授予小微企业合同金额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万元，占授予中小企业合同金额的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%；货物采购授予中小企业合同金额占货物支出金额的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%，工程采购授予中小企业合同金额占工程支出金额的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%，服务采购授予中小企业合同金额占服务支出金额的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5"/>
        <w:rPr>
          <w:rFonts w:hAnsi="黑体"/>
          <w:b/>
          <w:sz w:val="32"/>
          <w:szCs w:val="32"/>
        </w:rPr>
      </w:pPr>
      <w:r>
        <w:rPr>
          <w:rFonts w:hint="eastAsia" w:hAnsi="黑体"/>
          <w:b/>
          <w:sz w:val="32"/>
          <w:szCs w:val="32"/>
        </w:rPr>
        <w:t>十二、国有资产占用情况说明</w:t>
      </w:r>
    </w:p>
    <w:p>
      <w:pPr>
        <w:pStyle w:val="15"/>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截至</w:t>
      </w:r>
      <w:r>
        <w:rPr>
          <w:rFonts w:hint="eastAsia" w:asciiTheme="minorEastAsia" w:hAnsiTheme="minorEastAsia" w:eastAsiaTheme="minorEastAsia"/>
          <w:sz w:val="32"/>
          <w:szCs w:val="32"/>
          <w:lang w:eastAsia="zh-CN"/>
        </w:rPr>
        <w:t>202</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年12月31日，部门（单位）共有车辆</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辆，其中，主要领导干部用车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辆，机要通信用车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辆、应急保障用车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辆、执法执勤用车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辆、特种专业技术用车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辆、其他用车</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辆，其他用车主要是</w:t>
      </w:r>
      <w:r>
        <w:rPr>
          <w:rFonts w:hint="eastAsia" w:asciiTheme="minorEastAsia" w:hAnsiTheme="minorEastAsia" w:eastAsiaTheme="minorEastAsia"/>
          <w:sz w:val="32"/>
          <w:szCs w:val="32"/>
          <w:lang w:val="en-US" w:eastAsia="zh-CN"/>
        </w:rPr>
        <w:t>公务用车</w:t>
      </w:r>
      <w:r>
        <w:rPr>
          <w:rFonts w:hint="eastAsia" w:asciiTheme="minorEastAsia" w:hAnsiTheme="minorEastAsia" w:eastAsiaTheme="minorEastAsia"/>
          <w:sz w:val="32"/>
          <w:szCs w:val="32"/>
        </w:rPr>
        <w:t>；单位价值50万元以上通用设备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w:t>
      </w:r>
      <w:bookmarkStart w:id="3" w:name="_GoBack"/>
      <w:bookmarkEnd w:id="3"/>
      <w:r>
        <w:rPr>
          <w:rFonts w:hint="eastAsia" w:asciiTheme="minorEastAsia" w:hAnsiTheme="minorEastAsia" w:eastAsiaTheme="minorEastAsia"/>
          <w:sz w:val="32"/>
          <w:szCs w:val="32"/>
        </w:rPr>
        <w:t>单位价值100万元以上专用设备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w:t>
      </w:r>
    </w:p>
    <w:p>
      <w:pPr>
        <w:pStyle w:val="15"/>
        <w:rPr>
          <w:rFonts w:hAnsi="黑体"/>
          <w:b/>
          <w:sz w:val="32"/>
          <w:szCs w:val="32"/>
        </w:rPr>
      </w:pPr>
      <w:r>
        <w:rPr>
          <w:rFonts w:hint="eastAsia" w:hAnsi="黑体"/>
          <w:b/>
          <w:sz w:val="32"/>
          <w:szCs w:val="32"/>
        </w:rPr>
        <w:t>十三、</w:t>
      </w:r>
      <w:r>
        <w:rPr>
          <w:rFonts w:hint="eastAsia" w:hAnsi="黑体"/>
          <w:b/>
          <w:sz w:val="32"/>
          <w:szCs w:val="32"/>
          <w:lang w:eastAsia="zh-CN"/>
        </w:rPr>
        <w:t>202</w:t>
      </w:r>
      <w:r>
        <w:rPr>
          <w:rFonts w:hint="eastAsia" w:hAnsi="黑体"/>
          <w:b/>
          <w:sz w:val="32"/>
          <w:szCs w:val="32"/>
          <w:lang w:val="en-US" w:eastAsia="zh-CN"/>
        </w:rPr>
        <w:t>1</w:t>
      </w:r>
      <w:r>
        <w:rPr>
          <w:rFonts w:hint="eastAsia" w:hAnsi="黑体"/>
          <w:b/>
          <w:sz w:val="32"/>
          <w:szCs w:val="32"/>
        </w:rPr>
        <w:t>年度预算绩效情况说明</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（1）绩效管理评价工作开展情况</w:t>
      </w:r>
      <w:r>
        <w:rPr>
          <w:rFonts w:hint="eastAsia" w:cs="黑体" w:asciiTheme="minorEastAsia" w:hAnsiTheme="minorEastAsia"/>
          <w:color w:val="000000"/>
          <w:kern w:val="0"/>
          <w:sz w:val="32"/>
          <w:szCs w:val="32"/>
        </w:rPr>
        <w:t>。</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根据预算绩效管理要求，我部门组织对</w:t>
      </w:r>
      <w:r>
        <w:rPr>
          <w:rFonts w:hint="eastAsia" w:cs="黑体" w:asciiTheme="minorEastAsia" w:hAnsiTheme="minorEastAsia"/>
          <w:color w:val="000000"/>
          <w:kern w:val="0"/>
          <w:sz w:val="32"/>
          <w:szCs w:val="32"/>
          <w:lang w:eastAsia="zh-CN"/>
        </w:rPr>
        <w:t>202</w:t>
      </w:r>
      <w:r>
        <w:rPr>
          <w:rFonts w:hint="eastAsia" w:cs="黑体" w:asciiTheme="minorEastAsia" w:hAnsiTheme="minorEastAsia"/>
          <w:color w:val="000000"/>
          <w:kern w:val="0"/>
          <w:sz w:val="32"/>
          <w:szCs w:val="32"/>
          <w:lang w:val="en-US" w:eastAsia="zh-CN"/>
        </w:rPr>
        <w:t>1</w:t>
      </w:r>
      <w:r>
        <w:rPr>
          <w:rFonts w:cs="黑体" w:asciiTheme="minorEastAsia" w:hAnsiTheme="minorEastAsia"/>
          <w:color w:val="000000"/>
          <w:kern w:val="0"/>
          <w:sz w:val="32"/>
          <w:szCs w:val="32"/>
        </w:rPr>
        <w:t xml:space="preserve"> </w:t>
      </w:r>
      <w:r>
        <w:rPr>
          <w:rFonts w:hint="eastAsia" w:cs="黑体" w:asciiTheme="minorEastAsia" w:hAnsiTheme="minorEastAsia"/>
          <w:color w:val="000000"/>
          <w:kern w:val="0"/>
          <w:sz w:val="32"/>
          <w:szCs w:val="32"/>
        </w:rPr>
        <w:t>年度一般公共预算项目支出全面开展绩效自评，其中，一级项目</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个，二级项目</w:t>
      </w:r>
      <w:r>
        <w:rPr>
          <w:rFonts w:hint="eastAsia" w:cs="黑体" w:asciiTheme="minorEastAsia" w:hAnsiTheme="minorEastAsia"/>
          <w:color w:val="000000"/>
          <w:kern w:val="0"/>
          <w:sz w:val="32"/>
          <w:szCs w:val="32"/>
          <w:lang w:val="en-US" w:eastAsia="zh-CN"/>
        </w:rPr>
        <w:t>19</w:t>
      </w:r>
      <w:r>
        <w:rPr>
          <w:rFonts w:hint="eastAsia" w:cs="黑体" w:asciiTheme="minorEastAsia" w:hAnsiTheme="minorEastAsia"/>
          <w:color w:val="000000"/>
          <w:kern w:val="0"/>
          <w:sz w:val="32"/>
          <w:szCs w:val="32"/>
        </w:rPr>
        <w:t>个，共涉及资金</w:t>
      </w:r>
      <w:r>
        <w:rPr>
          <w:rFonts w:hint="eastAsia" w:cs="黑体" w:asciiTheme="minorEastAsia" w:hAnsiTheme="minorEastAsia"/>
          <w:color w:val="000000"/>
          <w:kern w:val="0"/>
          <w:sz w:val="32"/>
          <w:szCs w:val="32"/>
          <w:lang w:val="en-US" w:eastAsia="zh-CN"/>
        </w:rPr>
        <w:t>2424.12</w:t>
      </w:r>
      <w:r>
        <w:rPr>
          <w:rFonts w:hint="eastAsia" w:cs="黑体" w:asciiTheme="minorEastAsia" w:hAnsiTheme="minorEastAsia"/>
          <w:color w:val="000000"/>
          <w:kern w:val="0"/>
          <w:sz w:val="32"/>
          <w:szCs w:val="32"/>
        </w:rPr>
        <w:t>万元，占一般公共预算项目支出总额的</w:t>
      </w:r>
      <w:r>
        <w:rPr>
          <w:rFonts w:hint="eastAsia" w:cs="黑体" w:asciiTheme="minorEastAsia" w:hAnsiTheme="minorEastAsia"/>
          <w:color w:val="000000"/>
          <w:kern w:val="0"/>
          <w:sz w:val="32"/>
          <w:szCs w:val="32"/>
          <w:lang w:val="en-US" w:eastAsia="zh-CN"/>
        </w:rPr>
        <w:t>100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。组织对</w:t>
      </w:r>
      <w:r>
        <w:rPr>
          <w:rFonts w:hint="eastAsia" w:cs="黑体" w:asciiTheme="minorEastAsia" w:hAnsiTheme="minorEastAsia"/>
          <w:color w:val="000000"/>
          <w:kern w:val="0"/>
          <w:sz w:val="32"/>
          <w:szCs w:val="32"/>
          <w:lang w:eastAsia="zh-CN"/>
        </w:rPr>
        <w:t>202</w:t>
      </w:r>
      <w:r>
        <w:rPr>
          <w:rFonts w:hint="eastAsia" w:cs="黑体" w:asciiTheme="minorEastAsia" w:hAnsiTheme="minorEastAsia"/>
          <w:color w:val="000000"/>
          <w:kern w:val="0"/>
          <w:sz w:val="32"/>
          <w:szCs w:val="32"/>
          <w:lang w:val="en-US" w:eastAsia="zh-CN"/>
        </w:rPr>
        <w:t>1</w:t>
      </w:r>
      <w:r>
        <w:rPr>
          <w:rFonts w:hint="eastAsia" w:cs="黑体" w:asciiTheme="minorEastAsia" w:hAnsiTheme="minorEastAsia"/>
          <w:color w:val="000000"/>
          <w:kern w:val="0"/>
          <w:sz w:val="32"/>
          <w:szCs w:val="32"/>
        </w:rPr>
        <w:t>年度等</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个政府性基金预算项目支出开展绩效自评，共涉及资金</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万元，占政府性基金预算项目支出总额的</w:t>
      </w:r>
      <w:r>
        <w:rPr>
          <w:rFonts w:hint="eastAsia" w:cs="黑体" w:asciiTheme="minorEastAsia" w:hAnsiTheme="minorEastAsia"/>
          <w:color w:val="000000"/>
          <w:kern w:val="0"/>
          <w:sz w:val="32"/>
          <w:szCs w:val="32"/>
          <w:lang w:val="en-US" w:eastAsia="zh-CN"/>
        </w:rPr>
        <w:t>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。组织对</w:t>
      </w:r>
      <w:r>
        <w:rPr>
          <w:rFonts w:hint="eastAsia" w:cs="黑体" w:asciiTheme="minorEastAsia" w:hAnsiTheme="minorEastAsia"/>
          <w:color w:val="000000"/>
          <w:kern w:val="0"/>
          <w:sz w:val="32"/>
          <w:szCs w:val="32"/>
          <w:lang w:eastAsia="zh-CN"/>
        </w:rPr>
        <w:t>202</w:t>
      </w:r>
      <w:r>
        <w:rPr>
          <w:rFonts w:hint="eastAsia" w:cs="黑体" w:asciiTheme="minorEastAsia" w:hAnsiTheme="minorEastAsia"/>
          <w:color w:val="000000"/>
          <w:kern w:val="0"/>
          <w:sz w:val="32"/>
          <w:szCs w:val="32"/>
          <w:lang w:val="en-US" w:eastAsia="zh-CN"/>
        </w:rPr>
        <w:t>1</w:t>
      </w:r>
      <w:r>
        <w:rPr>
          <w:rFonts w:cs="黑体" w:asciiTheme="minorEastAsia" w:hAnsiTheme="minorEastAsia"/>
          <w:color w:val="000000"/>
          <w:kern w:val="0"/>
          <w:sz w:val="32"/>
          <w:szCs w:val="32"/>
        </w:rPr>
        <w:t xml:space="preserve"> </w:t>
      </w:r>
      <w:r>
        <w:rPr>
          <w:rFonts w:hint="eastAsia" w:cs="黑体" w:asciiTheme="minorEastAsia" w:hAnsiTheme="minorEastAsia"/>
          <w:color w:val="000000"/>
          <w:kern w:val="0"/>
          <w:sz w:val="32"/>
          <w:szCs w:val="32"/>
        </w:rPr>
        <w:t>年度等</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个国有资本经营预算项目支出开展绩效自评，共涉及资金</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万元，占国有资本经营预算项目支出总额的</w:t>
      </w:r>
      <w:r>
        <w:rPr>
          <w:rFonts w:hint="eastAsia" w:cs="黑体" w:asciiTheme="minorEastAsia" w:hAnsiTheme="minorEastAsia"/>
          <w:color w:val="000000"/>
          <w:kern w:val="0"/>
          <w:sz w:val="32"/>
          <w:szCs w:val="32"/>
          <w:lang w:val="en-US" w:eastAsia="zh-CN"/>
        </w:rPr>
        <w:t>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w:t>
      </w:r>
    </w:p>
    <w:p>
      <w:pPr>
        <w:overflowPunct w:val="0"/>
        <w:spacing w:line="580" w:lineRule="exact"/>
        <w:ind w:firstLine="640" w:firstLineChars="200"/>
        <w:rPr>
          <w:rFonts w:hint="eastAsia" w:ascii="仿宋_GB2312" w:hAnsi="仿宋_GB2312" w:eastAsia="仿宋_GB2312" w:cs="仿宋_GB2312"/>
          <w:sz w:val="32"/>
          <w:szCs w:val="32"/>
        </w:rPr>
      </w:pPr>
      <w:r>
        <w:rPr>
          <w:rFonts w:hint="eastAsia" w:cs="黑体" w:asciiTheme="minorEastAsia" w:hAnsiTheme="minorEastAsia"/>
          <w:color w:val="000000"/>
          <w:kern w:val="0"/>
          <w:sz w:val="32"/>
          <w:szCs w:val="32"/>
        </w:rPr>
        <w:t>组织对</w:t>
      </w:r>
      <w:r>
        <w:rPr>
          <w:rFonts w:hint="eastAsia" w:cs="黑体" w:asciiTheme="minorEastAsia" w:hAnsiTheme="minorEastAsia"/>
          <w:color w:val="000000"/>
          <w:kern w:val="0"/>
          <w:sz w:val="32"/>
          <w:szCs w:val="32"/>
          <w:lang w:val="en-US" w:eastAsia="zh-CN"/>
        </w:rPr>
        <w:t>产业工作经费25万元、村庄清洁834万元、高标建设管护资金项目30万元、农产品安全监测20万元、粮食生产专项300万元、农村户用厕所建设400万元、农业环境保护与污染治理专项10万元、农业综合执法装备35万元、改善农村人居环境工作经费50万元、“三社合一”专项20万元、上图入库项目20万元、受污染耕地安全利用380.12万元、禁捕专项30万元、外来物种10万元、农业行政执法保障50万元、农作物病虫害防治20万元、农作物病虫害绿色防控及专业化社会服务20万元、植物保护与植物检疫专项10万元、示范村创建160万元</w:t>
      </w:r>
      <w:r>
        <w:rPr>
          <w:rFonts w:hint="eastAsia" w:cs="黑体" w:asciiTheme="minorEastAsia" w:hAnsiTheme="minorEastAsia"/>
          <w:color w:val="000000"/>
          <w:kern w:val="0"/>
          <w:sz w:val="32"/>
          <w:szCs w:val="32"/>
        </w:rPr>
        <w:t>等</w:t>
      </w:r>
      <w:r>
        <w:rPr>
          <w:rFonts w:hint="eastAsia" w:cs="黑体" w:asciiTheme="minorEastAsia" w:hAnsiTheme="minorEastAsia"/>
          <w:color w:val="000000"/>
          <w:kern w:val="0"/>
          <w:sz w:val="32"/>
          <w:szCs w:val="32"/>
          <w:lang w:val="en-US" w:eastAsia="zh-CN"/>
        </w:rPr>
        <w:t>19</w:t>
      </w:r>
      <w:r>
        <w:rPr>
          <w:rFonts w:hint="eastAsia" w:cs="黑体" w:asciiTheme="minorEastAsia" w:hAnsiTheme="minorEastAsia"/>
          <w:color w:val="000000"/>
          <w:kern w:val="0"/>
          <w:sz w:val="32"/>
          <w:szCs w:val="32"/>
        </w:rPr>
        <w:t>个项目开展了部门评价，涉及一般公共预算支出</w:t>
      </w:r>
      <w:r>
        <w:rPr>
          <w:rFonts w:hint="eastAsia" w:cs="黑体" w:asciiTheme="minorEastAsia" w:hAnsiTheme="minorEastAsia"/>
          <w:color w:val="000000"/>
          <w:kern w:val="0"/>
          <w:sz w:val="32"/>
          <w:szCs w:val="32"/>
          <w:lang w:val="en-US" w:eastAsia="zh-CN"/>
        </w:rPr>
        <w:t>2424.12</w:t>
      </w:r>
      <w:r>
        <w:rPr>
          <w:rFonts w:hint="eastAsia" w:cs="黑体" w:asciiTheme="minorEastAsia" w:hAnsiTheme="minorEastAsia"/>
          <w:color w:val="000000"/>
          <w:kern w:val="0"/>
          <w:sz w:val="32"/>
          <w:szCs w:val="32"/>
        </w:rPr>
        <w:t>万元，政府性基金预算支出</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万元，国有资本经营预算支出</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万元。从评价情况来看</w:t>
      </w:r>
      <w:r>
        <w:rPr>
          <w:rFonts w:hint="eastAsia" w:cs="黑体" w:asciiTheme="minorEastAsia" w:hAnsiTheme="minorEastAsia"/>
          <w:color w:val="000000"/>
          <w:kern w:val="0"/>
          <w:sz w:val="32"/>
          <w:szCs w:val="32"/>
          <w:lang w:val="en-US" w:eastAsia="zh-CN"/>
        </w:rPr>
        <w:t>，2</w:t>
      </w:r>
      <w:r>
        <w:rPr>
          <w:rFonts w:hint="eastAsia" w:ascii="宋体" w:hAnsi="宋体" w:cs="黑体"/>
          <w:color w:val="000000"/>
          <w:kern w:val="0"/>
          <w:sz w:val="32"/>
          <w:szCs w:val="32"/>
        </w:rPr>
        <w:t>02</w:t>
      </w:r>
      <w:r>
        <w:rPr>
          <w:rFonts w:hint="eastAsia" w:ascii="宋体" w:hAnsi="宋体" w:cs="黑体"/>
          <w:color w:val="000000"/>
          <w:kern w:val="0"/>
          <w:sz w:val="32"/>
          <w:szCs w:val="32"/>
          <w:lang w:val="en-US" w:eastAsia="zh-CN"/>
        </w:rPr>
        <w:t>1</w:t>
      </w:r>
      <w:r>
        <w:rPr>
          <w:rFonts w:hint="eastAsia" w:ascii="宋体" w:hAnsi="宋体" w:cs="黑体"/>
          <w:color w:val="000000"/>
          <w:kern w:val="0"/>
          <w:sz w:val="32"/>
          <w:szCs w:val="32"/>
        </w:rPr>
        <w:t>年，我单位在专项工作上狠抓重点工作，相关部门认真组织实施，较好地完成了各项目标任务，取得了较好的社会效益，发挥了专项资金的作用。专项资金的使用全部实行统一管理，专款专用，严格把关，每个项目的运行按照我单位内部管理制度、县政府及财政的有关规定执行。单位内部不定期进行抽查，严格人员作风，不存在违规违法的问题。各个项目资金使用与具体项目实施内容相符，绩效总目标和阶段性目标都已按照计划完成，发挥了专项资金的效应。</w:t>
      </w:r>
    </w:p>
    <w:p>
      <w:pPr>
        <w:spacing w:line="560" w:lineRule="exact"/>
        <w:ind w:firstLine="640" w:firstLineChars="200"/>
        <w:rPr>
          <w:rFonts w:hint="default" w:cs="黑体" w:asciiTheme="minorEastAsia" w:hAnsiTheme="minorEastAsia"/>
          <w:color w:val="000000"/>
          <w:kern w:val="0"/>
          <w:sz w:val="32"/>
          <w:szCs w:val="32"/>
          <w:lang w:val="en-US"/>
        </w:rPr>
      </w:pPr>
      <w:r>
        <w:rPr>
          <w:rFonts w:hint="eastAsia" w:cs="黑体" w:asciiTheme="minorEastAsia" w:hAnsiTheme="minorEastAsia"/>
          <w:color w:val="000000"/>
          <w:kern w:val="0"/>
          <w:sz w:val="32"/>
          <w:szCs w:val="32"/>
        </w:rPr>
        <w:t>组织对</w:t>
      </w:r>
      <w:r>
        <w:rPr>
          <w:rFonts w:hint="eastAsia" w:cs="黑体" w:asciiTheme="minorEastAsia" w:hAnsiTheme="minorEastAsia"/>
          <w:color w:val="000000"/>
          <w:kern w:val="0"/>
          <w:sz w:val="32"/>
          <w:szCs w:val="32"/>
          <w:lang w:val="en-US" w:eastAsia="zh-CN"/>
        </w:rPr>
        <w:t>本</w:t>
      </w:r>
      <w:r>
        <w:rPr>
          <w:rFonts w:hint="eastAsia" w:cs="黑体" w:asciiTheme="minorEastAsia" w:hAnsiTheme="minorEastAsia"/>
          <w:color w:val="000000"/>
          <w:kern w:val="0"/>
          <w:sz w:val="32"/>
          <w:szCs w:val="32"/>
        </w:rPr>
        <w:t>单位开展整体支出绩效评价，涉</w:t>
      </w:r>
      <w:r>
        <w:rPr>
          <w:rFonts w:hint="eastAsia" w:cs="黑体" w:asciiTheme="minorEastAsia" w:hAnsiTheme="minorEastAsia"/>
          <w:color w:val="000000"/>
          <w:kern w:val="0"/>
          <w:sz w:val="32"/>
          <w:szCs w:val="32"/>
          <w:lang w:val="en-US" w:eastAsia="zh-CN"/>
        </w:rPr>
        <w:t>及一般公共预算支出31855.88万</w:t>
      </w:r>
      <w:r>
        <w:rPr>
          <w:rFonts w:hint="eastAsia" w:ascii="宋体" w:hAnsi="宋体" w:cs="黑体"/>
          <w:color w:val="000000"/>
          <w:kern w:val="0"/>
          <w:sz w:val="32"/>
          <w:szCs w:val="32"/>
          <w:lang w:val="en-US" w:eastAsia="zh-CN"/>
        </w:rPr>
        <w:t>元，政府性基金预算支出0万元。从评价情况来看</w:t>
      </w:r>
      <w:r>
        <w:rPr>
          <w:rFonts w:hint="eastAsia" w:ascii="宋体" w:hAnsi="宋体" w:cs="黑体"/>
          <w:color w:val="000000"/>
          <w:kern w:val="0"/>
          <w:sz w:val="32"/>
          <w:szCs w:val="32"/>
          <w:lang w:eastAsia="zh-CN"/>
        </w:rPr>
        <w:t>县</w:t>
      </w:r>
      <w:r>
        <w:rPr>
          <w:rFonts w:hint="eastAsia" w:ascii="宋体" w:hAnsi="宋体" w:cs="黑体"/>
          <w:color w:val="000000"/>
          <w:kern w:val="0"/>
          <w:sz w:val="32"/>
          <w:szCs w:val="32"/>
          <w:lang w:val="en-US" w:eastAsia="zh-CN"/>
        </w:rPr>
        <w:t>农业农村局2021年的</w:t>
      </w:r>
      <w:r>
        <w:rPr>
          <w:rFonts w:hint="eastAsia" w:ascii="宋体" w:hAnsi="宋体" w:cs="黑体"/>
          <w:color w:val="000000"/>
          <w:kern w:val="0"/>
          <w:sz w:val="32"/>
          <w:szCs w:val="32"/>
        </w:rPr>
        <w:t>项目</w:t>
      </w:r>
      <w:r>
        <w:rPr>
          <w:rFonts w:hint="eastAsia" w:ascii="宋体" w:hAnsi="宋体" w:cs="黑体"/>
          <w:color w:val="000000"/>
          <w:kern w:val="0"/>
          <w:sz w:val="32"/>
          <w:szCs w:val="32"/>
          <w:lang w:val="en-US" w:eastAsia="zh-CN"/>
        </w:rPr>
        <w:t>,</w:t>
      </w:r>
      <w:r>
        <w:rPr>
          <w:rFonts w:hint="eastAsia" w:ascii="宋体" w:hAnsi="宋体" w:cs="黑体"/>
          <w:color w:val="000000"/>
          <w:kern w:val="0"/>
          <w:sz w:val="32"/>
          <w:szCs w:val="32"/>
        </w:rPr>
        <w:t>一方面</w:t>
      </w:r>
      <w:r>
        <w:rPr>
          <w:rFonts w:hint="eastAsia" w:ascii="宋体" w:hAnsi="宋体" w:cs="黑体"/>
          <w:color w:val="000000"/>
          <w:kern w:val="0"/>
          <w:sz w:val="32"/>
          <w:szCs w:val="32"/>
          <w:lang w:eastAsia="zh-CN"/>
        </w:rPr>
        <w:t>主要目标是</w:t>
      </w:r>
      <w:r>
        <w:rPr>
          <w:rFonts w:hint="eastAsia" w:ascii="宋体" w:hAnsi="宋体" w:cs="黑体"/>
          <w:color w:val="000000"/>
          <w:kern w:val="0"/>
          <w:sz w:val="32"/>
          <w:szCs w:val="32"/>
        </w:rPr>
        <w:t>确保部门正常运转，提高工作效率增加</w:t>
      </w:r>
      <w:r>
        <w:rPr>
          <w:rFonts w:hint="eastAsia" w:ascii="宋体" w:hAnsi="宋体" w:cs="黑体"/>
          <w:color w:val="000000"/>
          <w:kern w:val="0"/>
          <w:sz w:val="32"/>
          <w:szCs w:val="32"/>
          <w:lang w:eastAsia="zh-CN"/>
        </w:rPr>
        <w:t>，另一方面</w:t>
      </w:r>
      <w:r>
        <w:rPr>
          <w:rFonts w:hint="eastAsia" w:ascii="宋体" w:hAnsi="宋体" w:cs="黑体"/>
          <w:color w:val="000000"/>
          <w:kern w:val="0"/>
          <w:sz w:val="32"/>
          <w:szCs w:val="32"/>
          <w:lang w:val="en-US" w:eastAsia="zh-CN"/>
        </w:rPr>
        <w:t>紧紧围绕农业产业、村庄清洁、高标建设、粮食生产、厕所建设、环境保护、改善农村人居环境、耕地安全等一系列项目开展，使全县农业相关工作有利开展。</w:t>
      </w:r>
    </w:p>
    <w:p>
      <w:pPr>
        <w:autoSpaceDE w:val="0"/>
        <w:autoSpaceDN w:val="0"/>
        <w:adjustRightInd w:val="0"/>
        <w:ind w:firstLine="640" w:firstLineChars="200"/>
        <w:jc w:val="left"/>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（2）部门决算中项目绩效自评结果。</w:t>
      </w:r>
    </w:p>
    <w:p>
      <w:pPr>
        <w:keepNext w:val="0"/>
        <w:keepLines w:val="0"/>
        <w:pageBreakBefore w:val="0"/>
        <w:widowControl w:val="0"/>
        <w:kinsoku/>
        <w:wordWrap/>
        <w:overflowPunct/>
        <w:topLinePunct w:val="0"/>
        <w:autoSpaceDE/>
        <w:autoSpaceDN/>
        <w:bidi w:val="0"/>
        <w:adjustRightInd/>
        <w:spacing w:line="560" w:lineRule="exact"/>
        <w:ind w:left="0" w:firstLine="640" w:firstLineChars="200"/>
        <w:textAlignment w:val="auto"/>
        <w:rPr>
          <w:rFonts w:hint="eastAsia" w:ascii="宋体" w:hAnsi="宋体" w:cs="黑体"/>
          <w:color w:val="000000"/>
          <w:kern w:val="0"/>
          <w:sz w:val="32"/>
          <w:szCs w:val="32"/>
          <w:lang w:eastAsia="zh-CN"/>
        </w:rPr>
      </w:pPr>
      <w:r>
        <w:rPr>
          <w:rFonts w:hint="eastAsia" w:cs="黑体" w:asciiTheme="minorEastAsia" w:hAnsiTheme="minorEastAsia"/>
          <w:color w:val="000000"/>
          <w:kern w:val="0"/>
          <w:sz w:val="32"/>
          <w:szCs w:val="32"/>
          <w:lang w:val="en-US" w:eastAsia="zh-CN"/>
        </w:rPr>
        <w:t>本单位总</w:t>
      </w:r>
      <w:r>
        <w:rPr>
          <w:rFonts w:hint="eastAsia" w:cs="黑体" w:asciiTheme="minorEastAsia" w:hAnsiTheme="minorEastAsia"/>
          <w:color w:val="000000"/>
          <w:kern w:val="0"/>
          <w:sz w:val="32"/>
          <w:szCs w:val="32"/>
        </w:rPr>
        <w:t>项目绩效自评综述：根据年初设定的绩效目标，项目绩效自评</w:t>
      </w:r>
      <w:r>
        <w:rPr>
          <w:rFonts w:hint="eastAsia" w:ascii="宋体" w:hAnsi="宋体" w:cs="黑体"/>
          <w:color w:val="000000"/>
          <w:kern w:val="0"/>
          <w:sz w:val="32"/>
          <w:szCs w:val="32"/>
          <w:lang w:eastAsia="zh-CN"/>
        </w:rPr>
        <w:t>得分为</w:t>
      </w:r>
      <w:r>
        <w:rPr>
          <w:rFonts w:hint="eastAsia" w:ascii="宋体" w:hAnsi="宋体" w:cs="黑体"/>
          <w:color w:val="000000"/>
          <w:kern w:val="0"/>
          <w:sz w:val="32"/>
          <w:szCs w:val="32"/>
          <w:lang w:val="en-US" w:eastAsia="zh-CN"/>
        </w:rPr>
        <w:t>90</w:t>
      </w:r>
      <w:r>
        <w:rPr>
          <w:rFonts w:hint="eastAsia" w:ascii="宋体" w:hAnsi="宋体" w:cs="黑体"/>
          <w:color w:val="000000"/>
          <w:kern w:val="0"/>
          <w:sz w:val="32"/>
          <w:szCs w:val="32"/>
          <w:lang w:eastAsia="zh-CN"/>
        </w:rPr>
        <w:t>分。项目</w:t>
      </w:r>
      <w:r>
        <w:rPr>
          <w:rFonts w:hint="eastAsia" w:ascii="宋体" w:hAnsi="宋体" w:cs="黑体"/>
          <w:color w:val="000000"/>
          <w:kern w:val="0"/>
          <w:sz w:val="32"/>
          <w:szCs w:val="32"/>
          <w:lang w:val="en-US" w:eastAsia="zh-CN"/>
        </w:rPr>
        <w:t>全年</w:t>
      </w:r>
      <w:r>
        <w:rPr>
          <w:rFonts w:hint="eastAsia" w:ascii="宋体" w:hAnsi="宋体" w:cs="黑体"/>
          <w:color w:val="000000"/>
          <w:kern w:val="0"/>
          <w:sz w:val="32"/>
          <w:szCs w:val="32"/>
          <w:lang w:eastAsia="zh-CN"/>
        </w:rPr>
        <w:t>执行数为</w:t>
      </w:r>
      <w:r>
        <w:rPr>
          <w:rFonts w:hint="eastAsia" w:ascii="宋体" w:hAnsi="宋体" w:cs="黑体"/>
          <w:color w:val="000000"/>
          <w:kern w:val="0"/>
          <w:sz w:val="32"/>
          <w:szCs w:val="32"/>
          <w:lang w:val="en-US" w:eastAsia="zh-CN"/>
        </w:rPr>
        <w:t>2424.12</w:t>
      </w:r>
      <w:r>
        <w:rPr>
          <w:rFonts w:hint="eastAsia" w:ascii="宋体" w:hAnsi="宋体" w:cs="黑体"/>
          <w:color w:val="000000"/>
          <w:kern w:val="0"/>
          <w:sz w:val="32"/>
          <w:szCs w:val="32"/>
          <w:lang w:eastAsia="zh-CN"/>
        </w:rPr>
        <w:t>万元。</w:t>
      </w:r>
    </w:p>
    <w:p>
      <w:pPr>
        <w:keepNext w:val="0"/>
        <w:keepLines w:val="0"/>
        <w:pageBreakBefore w:val="0"/>
        <w:widowControl w:val="0"/>
        <w:kinsoku/>
        <w:wordWrap/>
        <w:overflowPunct/>
        <w:topLinePunct w:val="0"/>
        <w:autoSpaceDE/>
        <w:autoSpaceDN/>
        <w:bidi w:val="0"/>
        <w:adjustRightInd/>
        <w:spacing w:line="560" w:lineRule="exact"/>
        <w:ind w:left="0" w:firstLine="640" w:firstLineChars="200"/>
        <w:textAlignment w:val="auto"/>
        <w:rPr>
          <w:rFonts w:hint="eastAsia" w:ascii="宋体" w:hAnsi="宋体" w:cs="黑体"/>
          <w:color w:val="000000"/>
          <w:kern w:val="0"/>
          <w:sz w:val="32"/>
          <w:szCs w:val="32"/>
          <w:lang w:val="en-US" w:eastAsia="zh-CN"/>
        </w:rPr>
      </w:pPr>
      <w:r>
        <w:rPr>
          <w:rFonts w:hint="eastAsia" w:ascii="宋体" w:hAnsi="宋体" w:cs="黑体"/>
          <w:color w:val="000000"/>
          <w:kern w:val="0"/>
          <w:sz w:val="32"/>
          <w:szCs w:val="32"/>
          <w:lang w:val="en-US" w:eastAsia="zh-CN"/>
        </w:rPr>
        <w:t>1、产业发展</w:t>
      </w:r>
      <w:r>
        <w:rPr>
          <w:rFonts w:hint="eastAsia" w:ascii="宋体" w:hAnsi="宋体" w:cs="黑体"/>
          <w:color w:val="000000"/>
          <w:kern w:val="0"/>
          <w:sz w:val="32"/>
          <w:szCs w:val="32"/>
          <w:lang w:eastAsia="zh-CN"/>
        </w:rPr>
        <w:t>工作办公费用专项经费</w:t>
      </w:r>
      <w:r>
        <w:rPr>
          <w:rFonts w:hint="eastAsia" w:ascii="宋体" w:hAnsi="宋体" w:cs="黑体"/>
          <w:color w:val="000000"/>
          <w:kern w:val="0"/>
          <w:sz w:val="32"/>
          <w:szCs w:val="32"/>
          <w:lang w:val="en-US" w:eastAsia="zh-CN"/>
        </w:rPr>
        <w:t>25</w:t>
      </w:r>
      <w:r>
        <w:rPr>
          <w:rFonts w:hint="eastAsia" w:ascii="宋体" w:hAnsi="宋体" w:cs="黑体"/>
          <w:color w:val="000000"/>
          <w:kern w:val="0"/>
          <w:sz w:val="32"/>
          <w:szCs w:val="32"/>
          <w:lang w:eastAsia="zh-CN"/>
        </w:rPr>
        <w:t>万元项目，绩效目标完成情况：</w:t>
      </w:r>
      <w:r>
        <w:rPr>
          <w:rFonts w:hint="eastAsia" w:ascii="宋体" w:hAnsi="宋体" w:cs="黑体"/>
          <w:color w:val="000000"/>
          <w:kern w:val="0"/>
          <w:sz w:val="32"/>
          <w:szCs w:val="32"/>
          <w:lang w:val="en-US" w:eastAsia="zh-CN"/>
        </w:rPr>
        <w:t>2021年，实施四跟四走产业项目14个，安排衔接资金3223.56万元，做到</w:t>
      </w:r>
      <w:r>
        <w:rPr>
          <w:rFonts w:hint="eastAsia" w:ascii="宋体" w:hAnsi="宋体" w:cs="黑体"/>
          <w:color w:val="000000"/>
          <w:kern w:val="0"/>
          <w:sz w:val="32"/>
          <w:szCs w:val="32"/>
          <w:lang w:eastAsia="zh-CN"/>
        </w:rPr>
        <w:t>产业扶贫利益联结两轮全部覆盖。</w:t>
      </w:r>
      <w:r>
        <w:rPr>
          <w:rFonts w:hint="eastAsia" w:ascii="宋体" w:hAnsi="宋体" w:cs="黑体"/>
          <w:color w:val="000000"/>
          <w:kern w:val="0"/>
          <w:sz w:val="32"/>
          <w:szCs w:val="32"/>
          <w:lang w:val="en-US" w:eastAsia="zh-CN"/>
        </w:rPr>
        <w:t>实施重点项目6个，资金860万元，其中扶持帮扶主体460万元，联结村集体经济400万元，衔接期每年增加集体经济收入32万元。</w:t>
      </w:r>
      <w:r>
        <w:rPr>
          <w:rFonts w:hint="eastAsia" w:ascii="宋体" w:hAnsi="宋体" w:cs="黑体"/>
          <w:color w:val="000000"/>
          <w:kern w:val="0"/>
          <w:sz w:val="32"/>
          <w:szCs w:val="32"/>
          <w:lang w:eastAsia="zh-CN"/>
        </w:rPr>
        <w:t>到</w:t>
      </w:r>
      <w:r>
        <w:rPr>
          <w:rFonts w:hint="eastAsia" w:ascii="宋体" w:hAnsi="宋体" w:cs="黑体"/>
          <w:color w:val="000000"/>
          <w:kern w:val="0"/>
          <w:sz w:val="32"/>
          <w:szCs w:val="32"/>
          <w:lang w:val="en-US" w:eastAsia="zh-CN"/>
        </w:rPr>
        <w:t>2021年底，全县农业产业项目预计当年给联结脱贫户分红1800余万元。一批巩固脱贫成果的产业项目的实施，进一步壮大了扶贫产业，增加了脱贫户收益。针对我县特色产业基地基础设施建设薄弱，投入大，帮扶主体能力不足，产业风险大的情况，2021年安排提升产业基地基础设施资金750万元，设施各类基础设施项目43个，支持产业帮扶主体夯实产业基础，提升产业抗风险能力。</w:t>
      </w:r>
      <w:r>
        <w:rPr>
          <w:rFonts w:hint="eastAsia" w:ascii="宋体" w:hAnsi="宋体" w:cs="黑体"/>
          <w:color w:val="000000"/>
          <w:kern w:val="0"/>
          <w:sz w:val="32"/>
          <w:szCs w:val="32"/>
          <w:lang w:eastAsia="zh-CN"/>
        </w:rPr>
        <w:t>针对农业产业风险大，我们积极作为，利用政府购买服务请了第三方机构对全县</w:t>
      </w:r>
      <w:r>
        <w:rPr>
          <w:rFonts w:hint="eastAsia" w:ascii="宋体" w:hAnsi="宋体" w:cs="黑体"/>
          <w:color w:val="000000"/>
          <w:kern w:val="0"/>
          <w:sz w:val="32"/>
          <w:szCs w:val="32"/>
          <w:lang w:val="en-US" w:eastAsia="zh-CN"/>
        </w:rPr>
        <w:t>220个项目进行风险监控，及时发现风险点，主动干预，重点项目分红到位100%。</w:t>
      </w:r>
      <w:r>
        <w:rPr>
          <w:rFonts w:hint="eastAsia" w:ascii="宋体" w:hAnsi="宋体" w:cs="黑体"/>
          <w:color w:val="000000"/>
          <w:kern w:val="0"/>
          <w:sz w:val="32"/>
          <w:szCs w:val="32"/>
          <w:lang w:eastAsia="zh-CN"/>
        </w:rPr>
        <w:t>发现的主要问题：</w:t>
      </w:r>
      <w:r>
        <w:rPr>
          <w:rFonts w:hint="eastAsia" w:ascii="宋体" w:hAnsi="宋体" w:cs="黑体"/>
          <w:color w:val="000000"/>
          <w:kern w:val="0"/>
          <w:sz w:val="32"/>
          <w:szCs w:val="32"/>
          <w:lang w:val="en-US" w:eastAsia="zh-CN"/>
        </w:rPr>
        <w:t>农业产业项目个数多，周期长，不确定因素多，项目后期监管服务工作量大，工作人员少。</w:t>
      </w:r>
      <w:r>
        <w:rPr>
          <w:rFonts w:hint="eastAsia" w:ascii="宋体" w:hAnsi="宋体" w:cs="黑体"/>
          <w:color w:val="000000"/>
          <w:kern w:val="0"/>
          <w:sz w:val="32"/>
          <w:szCs w:val="32"/>
          <w:lang w:eastAsia="zh-CN"/>
        </w:rPr>
        <w:t>下一步改进措施：</w:t>
      </w:r>
      <w:r>
        <w:rPr>
          <w:rFonts w:hint="eastAsia" w:ascii="宋体" w:hAnsi="宋体" w:cs="黑体"/>
          <w:color w:val="000000"/>
          <w:kern w:val="0"/>
          <w:sz w:val="32"/>
          <w:szCs w:val="32"/>
          <w:lang w:val="en-US" w:eastAsia="zh-CN"/>
        </w:rPr>
        <w:t>增加工作人员，增加工作经费。</w:t>
      </w:r>
    </w:p>
    <w:p>
      <w:pPr>
        <w:keepNext w:val="0"/>
        <w:keepLines w:val="0"/>
        <w:pageBreakBefore w:val="0"/>
        <w:widowControl w:val="0"/>
        <w:kinsoku/>
        <w:wordWrap/>
        <w:overflowPunct/>
        <w:topLinePunct w:val="0"/>
        <w:autoSpaceDE/>
        <w:autoSpaceDN/>
        <w:bidi w:val="0"/>
        <w:adjustRightInd/>
        <w:spacing w:line="560" w:lineRule="exact"/>
        <w:ind w:left="0" w:firstLine="640" w:firstLineChars="200"/>
        <w:textAlignment w:val="auto"/>
        <w:rPr>
          <w:rFonts w:hint="eastAsia" w:ascii="宋体" w:hAnsi="宋体" w:cs="黑体"/>
          <w:color w:val="000000"/>
          <w:kern w:val="0"/>
          <w:sz w:val="32"/>
          <w:szCs w:val="32"/>
          <w:lang w:eastAsia="zh-CN"/>
        </w:rPr>
      </w:pPr>
      <w:r>
        <w:rPr>
          <w:rFonts w:hint="eastAsia" w:ascii="宋体" w:hAnsi="宋体" w:cs="黑体"/>
          <w:color w:val="000000"/>
          <w:kern w:val="0"/>
          <w:sz w:val="32"/>
          <w:szCs w:val="32"/>
          <w:lang w:val="en-US" w:eastAsia="zh-CN"/>
        </w:rPr>
        <w:t>2、村庄清洁行动</w:t>
      </w:r>
      <w:r>
        <w:rPr>
          <w:rFonts w:hint="eastAsia" w:ascii="宋体" w:hAnsi="宋体" w:cs="黑体"/>
          <w:color w:val="000000"/>
          <w:kern w:val="0"/>
          <w:sz w:val="32"/>
          <w:szCs w:val="32"/>
          <w:lang w:eastAsia="zh-CN"/>
        </w:rPr>
        <w:t>专项经费</w:t>
      </w:r>
      <w:r>
        <w:rPr>
          <w:rFonts w:hint="eastAsia" w:ascii="宋体" w:hAnsi="宋体" w:cs="黑体"/>
          <w:color w:val="000000"/>
          <w:kern w:val="0"/>
          <w:sz w:val="32"/>
          <w:szCs w:val="32"/>
          <w:lang w:val="en-US" w:eastAsia="zh-CN"/>
        </w:rPr>
        <w:t>834</w:t>
      </w:r>
      <w:r>
        <w:rPr>
          <w:rFonts w:hint="eastAsia" w:ascii="宋体" w:hAnsi="宋体" w:cs="黑体"/>
          <w:color w:val="000000"/>
          <w:kern w:val="0"/>
          <w:sz w:val="32"/>
          <w:szCs w:val="32"/>
          <w:lang w:eastAsia="zh-CN"/>
        </w:rPr>
        <w:t>万元，绩效目标完成情况：</w:t>
      </w:r>
      <w:r>
        <w:rPr>
          <w:rFonts w:hint="eastAsia" w:ascii="宋体" w:hAnsi="宋体" w:cs="黑体"/>
          <w:color w:val="000000"/>
          <w:kern w:val="0"/>
          <w:sz w:val="32"/>
          <w:szCs w:val="32"/>
          <w:lang w:val="en-US" w:eastAsia="zh-CN"/>
        </w:rPr>
        <w:t>通过落实村庄清洁行动，改善了农村人居环境，减少了垃圾对环境的污染，提高了群众的幸福指数，初步实现了工作的预期目标；</w:t>
      </w:r>
      <w:r>
        <w:rPr>
          <w:rFonts w:hint="eastAsia" w:ascii="宋体" w:hAnsi="宋体" w:cs="黑体"/>
          <w:color w:val="000000"/>
          <w:kern w:val="0"/>
          <w:sz w:val="32"/>
          <w:szCs w:val="32"/>
          <w:lang w:eastAsia="zh-CN"/>
        </w:rPr>
        <w:t>发现的主要问题及原因：重视程度不够，个别乡镇对改善农村人居环境工作没有真正重视起来，做表面功夫，导致村里普遍不重视的现状。检查中发现部分溪河、公共区域没有安排专人清扫。监管力度不严，当前因为乡镇垃圾中转站建设滞后，部分乡镇仍将垃圾清运至辖区设置的简易垃圾中转场，清运不及时。</w:t>
      </w:r>
      <w:r>
        <w:rPr>
          <w:rFonts w:hint="eastAsia" w:ascii="宋体" w:hAnsi="宋体" w:cs="黑体"/>
          <w:color w:val="000000"/>
          <w:kern w:val="0"/>
          <w:sz w:val="32"/>
          <w:szCs w:val="32"/>
          <w:lang w:val="en-US" w:eastAsia="zh-CN"/>
        </w:rPr>
        <w:t>宣传教育不到位。</w:t>
      </w:r>
      <w:r>
        <w:rPr>
          <w:rFonts w:hint="eastAsia" w:ascii="宋体" w:hAnsi="宋体" w:cs="黑体"/>
          <w:color w:val="000000"/>
          <w:kern w:val="0"/>
          <w:sz w:val="32"/>
          <w:szCs w:val="32"/>
          <w:lang w:eastAsia="zh-CN"/>
        </w:rPr>
        <w:t>个别乡镇对改善农村人居环境工作宣传教育不够深入，还存在口号喊得响，行动未跟上，群众参与度、知晓率低。下一步改进措施：</w:t>
      </w:r>
      <w:r>
        <w:rPr>
          <w:rFonts w:hint="eastAsia" w:ascii="宋体" w:hAnsi="宋体" w:cs="黑体"/>
          <w:color w:val="000000"/>
          <w:kern w:val="0"/>
          <w:sz w:val="32"/>
          <w:szCs w:val="32"/>
          <w:lang w:val="en-US" w:eastAsia="zh-CN"/>
        </w:rPr>
        <w:t>1.</w:t>
      </w:r>
      <w:r>
        <w:rPr>
          <w:rFonts w:hint="eastAsia" w:ascii="宋体" w:hAnsi="宋体" w:cs="黑体"/>
          <w:color w:val="000000"/>
          <w:kern w:val="0"/>
          <w:sz w:val="32"/>
          <w:szCs w:val="32"/>
          <w:lang w:eastAsia="zh-CN"/>
        </w:rPr>
        <w:t>要加强组织领导。各乡镇要提高思想认识，进一步明确工作目标和责任，乡镇主要领导要亲自抓、分管领导要具体抓，进一步调动工作人员的积极性和主动性，落实好农村人居环境整治的相关工作。要加大宣传引导。结合“六大工程、七大行动”，充分利用现代媒体、群众喜闻乐见的方式开展农村人居环境整治宣传。广泛开展环境卫生评比工作，充分调动广大群众参与垃圾治理的自觉性、主动性，引导群众自我管理。各乡镇在做好原有宣传工作的同时，要在每个行政村设置至少一个农村生活垃圾治理和村容村貌提升工作永久性宣传栏，且每月更新农村人居环境整治工作排名情况，要把此项工作扎入人心。要突出工作重心。各乡镇要围绕县委县政府“六大工程、七大行动”的文件精神，认真开展农村人居环境整治工作，努力达到“房前屋后净、村庄院落净、集镇市场净、道路沿线净、溪河沟渠净、村部所在地带头净、乡镇政府大院所在地示范净”的七净工作目标。</w:t>
      </w:r>
    </w:p>
    <w:p>
      <w:pPr>
        <w:keepNext w:val="0"/>
        <w:keepLines w:val="0"/>
        <w:pageBreakBefore w:val="0"/>
        <w:widowControl w:val="0"/>
        <w:kinsoku/>
        <w:wordWrap/>
        <w:topLinePunct w:val="0"/>
        <w:autoSpaceDE/>
        <w:autoSpaceDN/>
        <w:bidi w:val="0"/>
        <w:spacing w:line="620" w:lineRule="exact"/>
        <w:ind w:firstLine="640" w:firstLineChars="200"/>
        <w:jc w:val="left"/>
        <w:textAlignment w:val="auto"/>
        <w:rPr>
          <w:rFonts w:hint="eastAsia" w:ascii="宋体" w:hAnsi="宋体" w:cs="黑体"/>
          <w:color w:val="000000"/>
          <w:kern w:val="0"/>
          <w:sz w:val="32"/>
          <w:szCs w:val="32"/>
          <w:lang w:val="en-US" w:eastAsia="zh-CN"/>
        </w:rPr>
      </w:pPr>
      <w:r>
        <w:rPr>
          <w:rFonts w:hint="eastAsia" w:ascii="宋体" w:hAnsi="宋体" w:cs="黑体"/>
          <w:color w:val="000000"/>
          <w:kern w:val="0"/>
          <w:sz w:val="32"/>
          <w:szCs w:val="32"/>
          <w:lang w:val="en-US" w:eastAsia="zh-CN"/>
        </w:rPr>
        <w:t xml:space="preserve">   3、管护资金30万元，绩效目标完成情况：2021高标准农田建设项目后续管护是农田建设建设的重要工作内容，</w:t>
      </w:r>
      <w:r>
        <w:rPr>
          <w:rFonts w:hint="eastAsia" w:ascii="宋体" w:hAnsi="宋体" w:cs="黑体"/>
          <w:color w:val="000000"/>
          <w:kern w:val="0"/>
          <w:sz w:val="32"/>
          <w:szCs w:val="32"/>
          <w:lang w:eastAsia="zh-CN"/>
        </w:rPr>
        <w:t>项目完成后将</w:t>
      </w:r>
      <w:r>
        <w:rPr>
          <w:rFonts w:hint="eastAsia" w:ascii="宋体" w:hAnsi="宋体" w:cs="黑体"/>
          <w:color w:val="000000"/>
          <w:kern w:val="0"/>
          <w:sz w:val="32"/>
          <w:szCs w:val="32"/>
          <w:lang w:val="en-US" w:eastAsia="zh-CN"/>
        </w:rPr>
        <w:t>每年新增粮食4520万公斤，油料62万公斤，项目区年直接受益农户6560户，受益农业人口数达21240人，年纯收入1235.2万元。</w:t>
      </w:r>
      <w:r>
        <w:rPr>
          <w:rFonts w:hint="eastAsia" w:ascii="宋体" w:hAnsi="宋体" w:cs="黑体"/>
          <w:color w:val="000000"/>
          <w:kern w:val="0"/>
          <w:sz w:val="32"/>
          <w:szCs w:val="32"/>
          <w:lang w:eastAsia="zh-CN"/>
        </w:rPr>
        <w:t>项目的效率性分析，</w:t>
      </w:r>
      <w:r>
        <w:rPr>
          <w:rFonts w:hint="eastAsia" w:ascii="宋体" w:hAnsi="宋体" w:cs="黑体"/>
          <w:color w:val="000000"/>
          <w:kern w:val="0"/>
          <w:sz w:val="32"/>
          <w:szCs w:val="32"/>
          <w:lang w:val="en-US" w:eastAsia="zh-CN"/>
        </w:rPr>
        <w:t>截</w:t>
      </w:r>
      <w:r>
        <w:rPr>
          <w:rFonts w:hint="eastAsia" w:ascii="宋体" w:hAnsi="宋体" w:cs="黑体"/>
          <w:color w:val="000000"/>
          <w:kern w:val="0"/>
          <w:sz w:val="32"/>
          <w:szCs w:val="32"/>
          <w:lang w:eastAsia="zh-CN"/>
        </w:rPr>
        <w:t>止目前，项目已全部完成，</w:t>
      </w:r>
      <w:r>
        <w:rPr>
          <w:rFonts w:hint="eastAsia" w:ascii="宋体" w:hAnsi="宋体" w:cs="黑体"/>
          <w:color w:val="000000"/>
          <w:kern w:val="0"/>
          <w:sz w:val="32"/>
          <w:szCs w:val="32"/>
          <w:lang w:val="en-US" w:eastAsia="zh-CN"/>
        </w:rPr>
        <w:t>项目绩效目标已全部实现。</w:t>
      </w:r>
      <w:r>
        <w:rPr>
          <w:rFonts w:hint="eastAsia" w:ascii="宋体" w:hAnsi="宋体" w:cs="黑体"/>
          <w:color w:val="000000"/>
          <w:kern w:val="0"/>
          <w:sz w:val="32"/>
          <w:szCs w:val="32"/>
          <w:lang w:eastAsia="zh-CN"/>
        </w:rPr>
        <w:t>项目的效益性分析，</w:t>
      </w:r>
      <w:r>
        <w:rPr>
          <w:rFonts w:hint="eastAsia" w:ascii="宋体" w:hAnsi="宋体" w:cs="黑体"/>
          <w:color w:val="000000"/>
          <w:kern w:val="0"/>
          <w:sz w:val="32"/>
          <w:szCs w:val="32"/>
          <w:lang w:val="en-US" w:eastAsia="zh-CN"/>
        </w:rPr>
        <w:t>项目达到预期目标，对溆浦县经济和社会产生很好的效果，群众满意度为100%。</w:t>
      </w:r>
      <w:r>
        <w:rPr>
          <w:rFonts w:hint="eastAsia" w:cs="黑体" w:asciiTheme="minorEastAsia" w:hAnsiTheme="minorEastAsia"/>
          <w:color w:val="000000"/>
          <w:kern w:val="0"/>
          <w:sz w:val="32"/>
          <w:szCs w:val="32"/>
        </w:rPr>
        <w:t>发现的</w:t>
      </w:r>
      <w:r>
        <w:rPr>
          <w:rFonts w:hint="eastAsia" w:ascii="宋体" w:hAnsi="宋体" w:cs="黑体"/>
          <w:color w:val="000000"/>
          <w:kern w:val="0"/>
          <w:sz w:val="32"/>
          <w:szCs w:val="32"/>
          <w:lang w:val="en-US" w:eastAsia="zh-CN"/>
        </w:rPr>
        <w:t>主要问题及原因：技术人员不足。从事项目管理人员专业技术、经验、年龄结构等参差不齐，更多的依靠第三方技术人员进行监督，很有可能监督不到位。投入严重不足。高标准农田建设项目投入标准严重偏低。后续管护是高标准农田建设项目最终环节，任务量大、资金需求多，经费投入过低难以满足现实需求。下一步改进措施：狠抓程进度，科学合理安排项目实施，加强督导，确保完成项目任务。加大投入、及时组织，确保高标准农田建设项目持续发挥效益。</w:t>
      </w:r>
    </w:p>
    <w:p>
      <w:pPr>
        <w:keepNext w:val="0"/>
        <w:keepLines w:val="0"/>
        <w:pageBreakBefore w:val="0"/>
        <w:widowControl w:val="0"/>
        <w:kinsoku/>
        <w:wordWrap/>
        <w:topLinePunct w:val="0"/>
        <w:autoSpaceDE/>
        <w:autoSpaceDN/>
        <w:bidi w:val="0"/>
        <w:spacing w:line="620" w:lineRule="exact"/>
        <w:ind w:firstLine="640" w:firstLineChars="200"/>
        <w:jc w:val="left"/>
        <w:textAlignment w:val="auto"/>
        <w:rPr>
          <w:rFonts w:hint="eastAsia" w:ascii="宋体" w:hAnsi="宋体" w:cs="黑体"/>
          <w:color w:val="000000"/>
          <w:kern w:val="0"/>
          <w:sz w:val="32"/>
          <w:szCs w:val="32"/>
          <w:lang w:val="en-US" w:eastAsia="zh-CN"/>
        </w:rPr>
      </w:pPr>
      <w:r>
        <w:rPr>
          <w:rFonts w:hint="eastAsia" w:ascii="宋体" w:hAnsi="宋体" w:cs="黑体"/>
          <w:color w:val="000000"/>
          <w:kern w:val="0"/>
          <w:sz w:val="32"/>
          <w:szCs w:val="32"/>
          <w:lang w:val="en-US" w:eastAsia="zh-CN"/>
        </w:rPr>
        <w:t xml:space="preserve">    4、2021年农产品质量安全检验检测项目资金20万元，绩效目标完成情况：项目的经济性分析。对农产品开展质量安全检验检测，打造我县绿色农产品品牌，促进农业增效农民增收。项目的效率性分析。农产品质量安全检验检测是农产品质量安全监管的基石，在加强源头管控、实施“从农田到餐桌”全程监管、保障公众农产品消费安全中发挥着无可替代的重要作用。县财政局将农产品质量安全检验检测经费纳入县财政预算后，农业农村要求县农产品质量安全检验检测站每年对全县果蔬生产基地加强日常例行检测、对农贸市场加强风险监测、对全县耕地质量加强检测化验、对乡镇农产品质量安全监管人员加强技术培训、对农产品生产企业加强宣传等工作。2021年农产品质量安全检验检测项目已完成任务指标。项目设置做到了合理投入，科学管理，具有明显的经济效益、社会效益、环境效益。项目的效益性分析。本项目已全面完成果蔬农残检测、果蔬定量检测送样、耕地质量调查样品制样、农产品质量安全宣传资料印发等工作。通过项目实施，保证了上市农产品质量安全检测合格率在99.6%以上，打造了一批绿色农产品品牌，实现了人民群众对农产品质量安全的满意和农产品生产企业增收的双赢局面。发现的主要问题及原因无，下一步改进措施无。</w:t>
      </w:r>
    </w:p>
    <w:p>
      <w:pPr>
        <w:keepNext w:val="0"/>
        <w:keepLines w:val="0"/>
        <w:pageBreakBefore w:val="0"/>
        <w:widowControl w:val="0"/>
        <w:kinsoku/>
        <w:wordWrap/>
        <w:topLinePunct w:val="0"/>
        <w:autoSpaceDE/>
        <w:autoSpaceDN/>
        <w:bidi w:val="0"/>
        <w:spacing w:line="620" w:lineRule="exact"/>
        <w:ind w:firstLine="640" w:firstLineChars="200"/>
        <w:jc w:val="left"/>
        <w:textAlignment w:val="auto"/>
        <w:rPr>
          <w:rFonts w:hint="eastAsia" w:ascii="宋体" w:hAnsi="宋体" w:cs="黑体"/>
          <w:color w:val="000000"/>
          <w:kern w:val="0"/>
          <w:sz w:val="32"/>
          <w:szCs w:val="32"/>
          <w:lang w:val="en-US" w:eastAsia="zh-CN"/>
        </w:rPr>
      </w:pPr>
      <w:r>
        <w:rPr>
          <w:rFonts w:hint="eastAsia" w:ascii="宋体" w:hAnsi="宋体" w:cs="黑体"/>
          <w:color w:val="000000"/>
          <w:kern w:val="0"/>
          <w:sz w:val="32"/>
          <w:szCs w:val="32"/>
          <w:lang w:val="en-US" w:eastAsia="zh-CN"/>
        </w:rPr>
        <w:t>5、粮食生产专项资金300万元，绩效目标完成情况：通过粮食生产专项资金的使用，极大的调动广大种粮主体的积极性，提高乡镇党委、政府主动作为抓耕地抛荒治理等粮食落地落实。融洽了干群关系，提高了政府公信力。项目提高了群众的幸福指数，初步实现了工作的预期目标。发现的主要问题及原因1、专项资金不到位。2021年财政预算300万元，申报300万元，截止目前，未完全拨付到位。重视程度不够。少部分乡镇党委、政府等认识不到位，在工作部署，专题调度，落实措施方面不够得力，工作被动。宣传教育不到位。种粮效益低，轻壮年劳动力大量外出，县级财力支持粮食生产力度有限。还存在口号喊得响，行动未跟上。下一步改进措施，加强资金拨付力度。按照中央、省、市关于稳定发展粮食生产的决策部署，我们要坚决扛稳粮食安全责任，把保障粮食安全作为重要政治任务来抓，采取有力举措，建议请财政对这项工作给予支持，及时拨付资金。</w:t>
      </w:r>
    </w:p>
    <w:p>
      <w:pPr>
        <w:keepNext w:val="0"/>
        <w:keepLines w:val="0"/>
        <w:pageBreakBefore w:val="0"/>
        <w:widowControl w:val="0"/>
        <w:kinsoku/>
        <w:wordWrap/>
        <w:topLinePunct w:val="0"/>
        <w:autoSpaceDE/>
        <w:autoSpaceDN/>
        <w:bidi w:val="0"/>
        <w:spacing w:line="620" w:lineRule="exact"/>
        <w:jc w:val="left"/>
        <w:textAlignment w:val="auto"/>
        <w:rPr>
          <w:rFonts w:hint="eastAsia" w:ascii="宋体" w:hAnsi="宋体" w:cs="黑体"/>
          <w:color w:val="000000"/>
          <w:kern w:val="0"/>
          <w:sz w:val="32"/>
          <w:szCs w:val="32"/>
          <w:lang w:val="en-US" w:eastAsia="zh-CN"/>
        </w:rPr>
      </w:pPr>
      <w:r>
        <w:rPr>
          <w:rFonts w:hint="eastAsia" w:ascii="宋体" w:hAnsi="宋体" w:cs="黑体"/>
          <w:color w:val="000000"/>
          <w:kern w:val="0"/>
          <w:sz w:val="32"/>
          <w:szCs w:val="32"/>
          <w:lang w:val="en-US" w:eastAsia="zh-CN"/>
        </w:rPr>
        <w:t>要加强组织领导。各乡镇要提高思想认识，进一步明确工作目标和责任，乡镇主要领导要亲自抓、分管领导要具体抓，进一步调动工作积极性和主动性。要加大宣传引导。要通过广播、电视、网络、横幅、标语、墙报等各种方式，大张旗鼓地宣传保护耕地和国家的强农惠农政策，做到政策宣传到村到户到田，动员广大群众和社会各方面力量，全面开展对落实粮食生产主体责任、遏制整治耕地抛荒等工作专项督查，通过细致督促确保全年粮食生产计划任务全面落实。</w:t>
      </w:r>
    </w:p>
    <w:p>
      <w:pPr>
        <w:keepNext w:val="0"/>
        <w:keepLines w:val="0"/>
        <w:pageBreakBefore w:val="0"/>
        <w:widowControl w:val="0"/>
        <w:kinsoku/>
        <w:wordWrap/>
        <w:topLinePunct w:val="0"/>
        <w:autoSpaceDE/>
        <w:autoSpaceDN/>
        <w:bidi w:val="0"/>
        <w:spacing w:line="620" w:lineRule="exact"/>
        <w:ind w:firstLine="640" w:firstLineChars="200"/>
        <w:jc w:val="left"/>
        <w:textAlignment w:val="auto"/>
        <w:rPr>
          <w:rFonts w:hint="eastAsia" w:cs="黑体" w:asciiTheme="minorEastAsia" w:hAnsiTheme="minorEastAsia"/>
          <w:color w:val="000000"/>
          <w:kern w:val="0"/>
          <w:sz w:val="32"/>
          <w:szCs w:val="32"/>
          <w:lang w:val="en-US" w:eastAsia="zh-CN"/>
        </w:rPr>
      </w:pPr>
    </w:p>
    <w:p>
      <w:pPr>
        <w:pStyle w:val="2"/>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cs="黑体" w:eastAsiaTheme="minorEastAsia"/>
          <w:color w:val="000000"/>
          <w:kern w:val="0"/>
          <w:sz w:val="32"/>
          <w:szCs w:val="32"/>
          <w:lang w:val="en-US" w:eastAsia="zh-CN" w:bidi="ar-SA"/>
        </w:rPr>
      </w:pPr>
      <w:r>
        <w:rPr>
          <w:rFonts w:hint="eastAsia" w:ascii="宋体" w:hAnsi="宋体" w:cs="黑体" w:eastAsiaTheme="minorEastAsia"/>
          <w:color w:val="000000"/>
          <w:kern w:val="0"/>
          <w:sz w:val="32"/>
          <w:szCs w:val="32"/>
          <w:lang w:val="en-US" w:eastAsia="zh-CN" w:bidi="ar-SA"/>
        </w:rPr>
        <w:t>6、农村户用厕所改建专项经费400万元，绩效目标完成情况：通过落实农村户用卫生厕所改建项目，改善了群众的如厕环境，减少了粪污对环境的污染，提高了群众的幸福指数，初步实现了项目的预期目标。发现的主要问题及原因改厕任务重。全县旱厕仍然较多，改厕任务重。施工队积极性不高。由于改厕难度大、任务重、利润低且经费不能及时拨付，施工队普遍积极性不高。下一步改进措施</w:t>
      </w:r>
      <w:r>
        <w:rPr>
          <w:rFonts w:hint="eastAsia" w:ascii="宋体" w:hAnsi="宋体" w:cs="黑体"/>
          <w:color w:val="000000"/>
          <w:kern w:val="0"/>
          <w:sz w:val="32"/>
          <w:szCs w:val="32"/>
          <w:lang w:val="en-US" w:eastAsia="zh-CN" w:bidi="ar-SA"/>
        </w:rPr>
        <w:t>：</w:t>
      </w:r>
      <w:r>
        <w:rPr>
          <w:rFonts w:hint="eastAsia" w:ascii="宋体" w:hAnsi="宋体" w:cs="黑体" w:eastAsiaTheme="minorEastAsia"/>
          <w:color w:val="000000"/>
          <w:kern w:val="0"/>
          <w:sz w:val="32"/>
          <w:szCs w:val="32"/>
          <w:lang w:val="en-US" w:eastAsia="zh-CN" w:bidi="ar-SA"/>
        </w:rPr>
        <w:t>工作机制突出“全”。一是从夯实基础做起。按照“制度推动、效益驱动、典型带动”的工作思路，强力推进“厕所革命”，建立“县级领导联乡、乡镇领导包村、村级干部包户”的责任体系。二是注重宣传培训。县、乡、村三级采取会议、标语、培训、专栏、电视、广播、抖音、微信公众平台等开展了形式多样的宣传。三是加强保障经费投入。健全“中央和省市奖补一部分，县财政配套一部分，农户自筹一部分”的厕所改造资金筹措机制，将厕所改造经费纳入地方财政预算。严格按照“一宅一厕”的原则和上级奖补标准执行到位。对奖补资金实行专项管理、专款专用，严禁截留、挤占和挪用，并加强资金使用情况审计监督。四是严格督查考核。县改善农村人居环境领导小组办公室会同县委、县政府督查室成立农村改厕工作专项督察组，采取“一周一排名、一月一调度、一年一奖惩”等方式，对工作不力、进度缓慢的乡镇，由县委、县政府对其主要领导、分管领导、直接责任人进行约谈，约谈后仍然工作滞后的由县委、县政府启动问责程序。项目建设突出“优”。一是规划设计要科学。我县严格落实《湖南省农村厕所建设技术导则》，厕所规划设计做到科学规范、因地制宜，布局合理、实用可行。针对农村残疾人、病伤患者、孕妇儿童等特殊群体农村家庭设计坐式便桶、安全拉杆、无障碍设施设备，确保规划设计符合实情。二是材料采购要从优。全县统一公开招投标采购玻璃钢三格式化粪池，统一提供标准无害化卫生厕所建设图纸，统一用材标准，对改厕所需的建材进行抽查检验，对发现的建材质量问题，一律先整村停工，再限期整改。三是施工建设要规范。严格落实“统一化粪池标准、统一施工队伍、统一施工标准、统一检查验收”要求，坚持质量优先，确保建设一个合格一个，效益一个。要求乡村技术监管人员、施工队伍培训持证上岗，发现问题并承担保修和返修责任，确保以信誉求质量，以质量求满意。质量验收突出“严”。一是工程验收要严谨。在施工过程中，由项目所在乡镇现场经常督导监管，发现问题，责令立即停工整改。县人居办抽调专业技术监管人员对各项目施工开展巡回督导监管，不放过一丝环节。竣工后，乡镇验收、县里核查，做到改厕选址得当、容积大小足够、有效深度达标、粪管安装规范、密封防渗到位、生活污水分流，确保工程质量。二是群众使用要满意。“群众满不满意，群众放不放心”是农村厕所建设的晴雨表。为了让好事办好，实事办实，在农户签署验收意见时，我们给农户预留了使用期，使用正常后再签署验收意见。验收后，县、乡、村三级实行定期跟踪回访，对使用中存在的问题责成施工方立行立改，提升群众满意度。后期管护突出“恒”。一是专人分区管理。以村为单位划分片区，每个村干部负责一个片区内的农村改厕户的后续管理维护。联片村干部对使用中排查发现的问题及时上报乡镇。二是落实后续维护资金保障。全县415个村（居），按照村（居）大小，及时拨付工作经费用于垃圾清扫清运和厕所管护。三是畅通投诉渠道。县乡两级在相关媒体和公共场所设立了农村改厕举报电话，并组建了后期管护班子和技术队伍。对农户反映的农村厕所使用问题及时核实，及时交办，及时管护。四是建立健全督导核机制。在农村厕所建设和管护中采取对各乡镇实行定期和不定期督导检查，定期考核考评，并将考核结果将作为县委、县政府对乡镇年度绩效管理考核和农村改厕工作奖补资金下发的重要依据。</w:t>
      </w:r>
    </w:p>
    <w:p>
      <w:pPr>
        <w:ind w:firstLine="640" w:firstLineChars="200"/>
        <w:rPr>
          <w:rFonts w:hint="eastAsia" w:ascii="宋体" w:hAnsi="宋体"/>
          <w:bCs/>
          <w:sz w:val="28"/>
          <w:szCs w:val="28"/>
        </w:rPr>
      </w:pPr>
      <w:r>
        <w:rPr>
          <w:rFonts w:hint="eastAsia" w:ascii="宋体" w:hAnsi="宋体" w:cs="黑体" w:eastAsiaTheme="minorEastAsia"/>
          <w:color w:val="000000"/>
          <w:kern w:val="0"/>
          <w:sz w:val="32"/>
          <w:szCs w:val="32"/>
          <w:lang w:val="en-US" w:eastAsia="zh-CN" w:bidi="ar-SA"/>
        </w:rPr>
        <w:t>7、2021年农业环境保护与污染治理10万元，绩效目标完成情况：1.项目的经济性分析，2021年农业环境保护与污染治理主要是对农业生态环境的保护，在环境监测方面重点是对农业水环境、土壤环境监测，是一项公益性的工作。安装太阳能杀虫灯30盏，防治面积1500亩，能有效降低当地喷撒农药次数两次以上，减少环境污染。每年可为农户节约农药开支30万元以上。项目的效率性分析，按照计划，项目实施时间为10个月，我们严格按照时间节点开展工作，在11月份全面完成全年工作。项目的效益性分析，农业面源污染治理是全面贯彻习总书记提出 “绿水青山就是金山银山”的理念，全面保护我县农业生态环境，提高人们生活水平，惠及子孙万代的大实事。对社会、经济、生态环境等具有深远的意义，促进农业可持续发展。发现的主要问题及原因：我县是农业生产大县，农业面源污染较大，农业环境保护与治理工作难度大，线长面广，经费较少，治理任务重，需要人力和资金量大。农业污染治理是一项长期工作，而农业污染是长期积累出现的问题，治理工作不能立竿见影。下一步改进措施</w:t>
      </w:r>
      <w:r>
        <w:rPr>
          <w:rFonts w:hint="eastAsia" w:ascii="宋体" w:hAnsi="宋体" w:cs="黑体"/>
          <w:color w:val="000000"/>
          <w:kern w:val="0"/>
          <w:sz w:val="32"/>
          <w:szCs w:val="32"/>
          <w:lang w:val="en-US" w:eastAsia="zh-CN" w:bidi="ar-SA"/>
        </w:rPr>
        <w:t>：</w:t>
      </w:r>
      <w:r>
        <w:rPr>
          <w:rFonts w:hint="eastAsia" w:ascii="宋体" w:hAnsi="宋体" w:cs="黑体" w:eastAsiaTheme="minorEastAsia"/>
          <w:color w:val="000000"/>
          <w:kern w:val="0"/>
          <w:sz w:val="32"/>
          <w:szCs w:val="32"/>
          <w:lang w:val="en-US" w:eastAsia="zh-CN" w:bidi="ar-SA"/>
        </w:rPr>
        <w:t>加大财政投入，采取专业化技术措施大面积进行有效治理与修复。县政府牵头整合各部门和社会各界力量，参与到农业环境保护与治理，要动员全社会参与到防治当中来。</w:t>
      </w:r>
    </w:p>
    <w:p>
      <w:pPr>
        <w:ind w:firstLine="640" w:firstLineChars="200"/>
        <w:rPr>
          <w:rFonts w:hint="eastAsia" w:ascii="宋体" w:hAnsi="宋体" w:cs="黑体" w:eastAsiaTheme="minorEastAsia"/>
          <w:color w:val="000000"/>
          <w:kern w:val="0"/>
          <w:sz w:val="32"/>
          <w:szCs w:val="32"/>
          <w:lang w:val="en-US" w:eastAsia="zh-CN" w:bidi="ar-SA"/>
        </w:rPr>
      </w:pPr>
      <w:r>
        <w:rPr>
          <w:rFonts w:hint="eastAsia" w:ascii="宋体" w:hAnsi="宋体" w:cs="黑体" w:eastAsiaTheme="minorEastAsia"/>
          <w:color w:val="000000"/>
          <w:kern w:val="0"/>
          <w:sz w:val="32"/>
          <w:szCs w:val="32"/>
          <w:lang w:val="en-US" w:eastAsia="zh-CN" w:bidi="ar-SA"/>
        </w:rPr>
        <w:t>8、2021年度农业综合执法装备项目资金35万元，绩效目标完成情况：项目的经济性：该专项的组织实施，带动了农业执法工作的积极性，降低了农业安全事件发生的概率，确保了农业生产和产业安全，促进了我县农业综合执法持续健康发展。项目的效率性：在项目组织的过程中我们做到有依有据，合理合法，监管与审核并重，项目组织程序有序，保障和提高了项目实施效果。项目的效益性：农业综合执法装备项目的实施，提升执法规范化建设硬件和软件水平，提高农业综合执法能力，全面推进我县农业综合执法规范化建设，农民群众满意程度高，并取得了很好地社会经济效益。发现的主要问题及原因：农业综合执法装备项目总体目标和绩效指标完成度较好，只存在标准化不够的问题。下一步改进措施：针对存在的问题，在2022年度工作中，提高工作强度，加大财务投入，保障全县人民权益。</w:t>
      </w:r>
    </w:p>
    <w:p>
      <w:pPr>
        <w:pStyle w:val="2"/>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宋体" w:hAnsi="宋体" w:cs="黑体" w:eastAsiaTheme="minorEastAsia"/>
          <w:color w:val="000000"/>
          <w:kern w:val="0"/>
          <w:sz w:val="32"/>
          <w:szCs w:val="32"/>
          <w:lang w:val="en-US" w:eastAsia="zh-CN" w:bidi="ar-SA"/>
        </w:rPr>
      </w:pPr>
      <w:r>
        <w:rPr>
          <w:rFonts w:hint="eastAsia" w:ascii="宋体" w:hAnsi="宋体" w:cs="黑体"/>
          <w:color w:val="000000"/>
          <w:kern w:val="0"/>
          <w:sz w:val="32"/>
          <w:szCs w:val="32"/>
          <w:lang w:val="en-US" w:eastAsia="zh-CN" w:bidi="ar-SA"/>
        </w:rPr>
        <w:t xml:space="preserve"> </w:t>
      </w:r>
      <w:r>
        <w:rPr>
          <w:rFonts w:hint="eastAsia" w:ascii="宋体" w:hAnsi="宋体" w:cs="黑体" w:eastAsiaTheme="minorEastAsia"/>
          <w:color w:val="000000"/>
          <w:kern w:val="0"/>
          <w:sz w:val="32"/>
          <w:szCs w:val="32"/>
          <w:lang w:val="en-US" w:eastAsia="zh-CN" w:bidi="ar-SA"/>
        </w:rPr>
        <w:t xml:space="preserve"> 9、改善农村人居环境工作办公费用专项经费50万元，绩效目标完成情况：通过改善农村人居环境工作，改善了村庄居住环境，减少了生活垃圾和生活污水对环境的污染，提高了群众的幸福指数，初步实现了工作的预期目标。发现的主要问题及原因：重视程度不够。个别乡镇对改善农村人居环境工作没有真正重视起来，做表面功夫，导致村里重视不够的现状。宣传教育不到位。个别乡镇对改善农村人居环境工作宣传教育不够深入，还存在口号喊得响，行动未跟上，群众参与度、知晓率低。下一步改进措施：加强资金拨付力度。改善农村人居环境工作是乡村振兴工作的一项重要内容，建议请财政对这项工作给予支持，及时拨付资金。要加强组织领导。各乡镇要提高思想认识，进一步明确工作目标和责任，乡镇主要领导要亲自抓、分管领导要具体抓，进一步调动工作人员的积极性和主动性，落实好农村人居环境整治的相关工作。要加大宣传引导。充分利用现代媒体、群众喜闻乐见的方式开展农村人居环境整治宣传。广泛开展环境卫生评比和厕所革命宣传工作，充分调动广大群众参与的自觉性、主动性，引导群众自我管理。</w:t>
      </w:r>
    </w:p>
    <w:p>
      <w:pPr>
        <w:spacing w:line="570" w:lineRule="exact"/>
        <w:ind w:firstLine="640" w:firstLineChars="200"/>
        <w:rPr>
          <w:rFonts w:hint="default" w:ascii="宋体" w:hAnsi="宋体" w:cs="黑体" w:eastAsiaTheme="minorEastAsia"/>
          <w:color w:val="000000"/>
          <w:kern w:val="0"/>
          <w:sz w:val="32"/>
          <w:szCs w:val="32"/>
          <w:lang w:val="en-US" w:eastAsia="zh-CN" w:bidi="ar-SA"/>
        </w:rPr>
      </w:pPr>
      <w:r>
        <w:rPr>
          <w:rFonts w:hint="eastAsia" w:ascii="宋体" w:hAnsi="宋体" w:cs="黑体" w:eastAsiaTheme="minorEastAsia"/>
          <w:color w:val="000000"/>
          <w:kern w:val="0"/>
          <w:sz w:val="32"/>
          <w:szCs w:val="32"/>
          <w:lang w:val="en-US" w:eastAsia="zh-CN" w:bidi="ar-SA"/>
        </w:rPr>
        <w:t>10、“三社合一”项目资金20万元，绩效目标完成情况：项目的经济效益分析。将“三社合一”试点村柑橘、中药材、茶叶等产品纳入消费扶贫馆展销平台，组织召开消费扶贫产销对接会，畅通农产品销售渠道，不断增加村集体、合作社、入社农户的收入。项目的社会效益分析。提升“三社合一”试点村产业发展水平，提升农民获得感与幸福感，提高群众满意度。项目的生态效益分析。通过“三社合一”综合改革，带动产业发展，实现村庄环境绿化、美化。发现的主要问题及原因：无。下一步改进措施：无。</w:t>
      </w:r>
    </w:p>
    <w:p>
      <w:pPr>
        <w:spacing w:line="570" w:lineRule="exact"/>
        <w:ind w:firstLine="640" w:firstLineChars="200"/>
        <w:rPr>
          <w:rFonts w:hint="eastAsia" w:ascii="宋体" w:hAnsi="宋体" w:cs="黑体" w:eastAsiaTheme="minorEastAsia"/>
          <w:color w:val="000000"/>
          <w:kern w:val="0"/>
          <w:sz w:val="32"/>
          <w:szCs w:val="32"/>
          <w:lang w:val="en-US" w:eastAsia="zh-CN" w:bidi="ar-SA"/>
        </w:rPr>
      </w:pPr>
      <w:r>
        <w:rPr>
          <w:rFonts w:hint="eastAsia" w:ascii="宋体" w:hAnsi="宋体" w:cs="黑体" w:eastAsiaTheme="minorEastAsia"/>
          <w:color w:val="000000"/>
          <w:kern w:val="0"/>
          <w:sz w:val="32"/>
          <w:szCs w:val="32"/>
          <w:lang w:val="en-US" w:eastAsia="zh-CN" w:bidi="ar-SA"/>
        </w:rPr>
        <w:t>11、2021年上图入库县财政20万元，绩效目标完成情况：项目的经济性分析</w:t>
      </w:r>
      <w:r>
        <w:rPr>
          <w:rFonts w:hint="eastAsia" w:ascii="宋体" w:hAnsi="宋体" w:cs="黑体"/>
          <w:color w:val="000000"/>
          <w:kern w:val="0"/>
          <w:sz w:val="32"/>
          <w:szCs w:val="32"/>
          <w:lang w:val="en-US" w:eastAsia="zh-CN" w:bidi="ar-SA"/>
        </w:rPr>
        <w:t>，</w:t>
      </w:r>
      <w:r>
        <w:rPr>
          <w:rFonts w:hint="eastAsia" w:ascii="宋体" w:hAnsi="宋体" w:cs="黑体" w:eastAsiaTheme="minorEastAsia"/>
          <w:color w:val="000000"/>
          <w:kern w:val="0"/>
          <w:sz w:val="32"/>
          <w:szCs w:val="32"/>
          <w:lang w:val="en-US" w:eastAsia="zh-CN" w:bidi="ar-SA"/>
        </w:rPr>
        <w:t>上图入库为溆浦县2021年高标准农田建设项目重要工作内容，项目完成后将每年新增粮食4520万公斤，油料62万公斤，项目区年直接受益农户6560户，受益农业人口数达21240人，年纯收入1235.2万元。</w:t>
      </w:r>
    </w:p>
    <w:p>
      <w:pPr>
        <w:spacing w:line="570" w:lineRule="exact"/>
        <w:rPr>
          <w:rFonts w:hint="eastAsia" w:ascii="宋体" w:hAnsi="宋体" w:cs="黑体" w:eastAsiaTheme="minorEastAsia"/>
          <w:color w:val="000000"/>
          <w:kern w:val="0"/>
          <w:sz w:val="32"/>
          <w:szCs w:val="32"/>
          <w:lang w:val="en-US" w:eastAsia="zh-CN" w:bidi="ar-SA"/>
        </w:rPr>
      </w:pPr>
      <w:r>
        <w:rPr>
          <w:rFonts w:hint="eastAsia" w:ascii="宋体" w:hAnsi="宋体" w:cs="黑体" w:eastAsiaTheme="minorEastAsia"/>
          <w:color w:val="000000"/>
          <w:kern w:val="0"/>
          <w:sz w:val="32"/>
          <w:szCs w:val="32"/>
          <w:lang w:val="en-US" w:eastAsia="zh-CN" w:bidi="ar-SA"/>
        </w:rPr>
        <w:t>项目的效率性分析</w:t>
      </w:r>
      <w:r>
        <w:rPr>
          <w:rFonts w:hint="eastAsia" w:ascii="宋体" w:hAnsi="宋体" w:cs="黑体"/>
          <w:color w:val="000000"/>
          <w:kern w:val="0"/>
          <w:sz w:val="32"/>
          <w:szCs w:val="32"/>
          <w:lang w:val="en-US" w:eastAsia="zh-CN" w:bidi="ar-SA"/>
        </w:rPr>
        <w:t>，</w:t>
      </w:r>
      <w:r>
        <w:rPr>
          <w:rFonts w:hint="eastAsia" w:ascii="宋体" w:hAnsi="宋体" w:cs="黑体" w:eastAsiaTheme="minorEastAsia"/>
          <w:color w:val="000000"/>
          <w:kern w:val="0"/>
          <w:sz w:val="32"/>
          <w:szCs w:val="32"/>
          <w:lang w:val="en-US" w:eastAsia="zh-CN" w:bidi="ar-SA"/>
        </w:rPr>
        <w:t>截止目前，项目已全部完成，项目绩效目标已全部完成。项目的效益性分析</w:t>
      </w:r>
      <w:r>
        <w:rPr>
          <w:rFonts w:hint="eastAsia" w:ascii="宋体" w:hAnsi="宋体" w:cs="黑体"/>
          <w:color w:val="000000"/>
          <w:kern w:val="0"/>
          <w:sz w:val="32"/>
          <w:szCs w:val="32"/>
          <w:lang w:val="en-US" w:eastAsia="zh-CN" w:bidi="ar-SA"/>
        </w:rPr>
        <w:t>，</w:t>
      </w:r>
      <w:r>
        <w:rPr>
          <w:rFonts w:hint="eastAsia" w:ascii="宋体" w:hAnsi="宋体" w:cs="黑体" w:eastAsiaTheme="minorEastAsia"/>
          <w:color w:val="000000"/>
          <w:kern w:val="0"/>
          <w:sz w:val="32"/>
          <w:szCs w:val="32"/>
          <w:lang w:val="en-US" w:eastAsia="zh-CN" w:bidi="ar-SA"/>
        </w:rPr>
        <w:t>项目达到预期目标，对溆浦县经济和社会产生很好的效果，群众满意度为95%。发现的主要问题及原因：技术人员不足。从事项目管理人员专业技术、经验、年龄结构等参差不齐，更多的依靠第三方技术人员进行监督，很有可能监督不到位。投入严重不足。高标准农田建设项目投入标准严重偏低。上图入库是高标准农田建设项目重要环节，任务重、技术要求高，经费投入过低质量难以达到高标准。下一步改进措施：狠抓程进度，科学合理安排项目实施，加强督导，确保完成项目任务。加大投入，及时组织有关技术单位，顺利完成项目上图入库工作。</w:t>
      </w:r>
    </w:p>
    <w:p>
      <w:pPr>
        <w:spacing w:line="600" w:lineRule="atLeast"/>
        <w:ind w:firstLine="646" w:firstLineChars="202"/>
        <w:rPr>
          <w:rFonts w:hint="eastAsia" w:ascii="宋体" w:hAnsi="宋体" w:cs="黑体" w:eastAsiaTheme="minorEastAsia"/>
          <w:color w:val="000000"/>
          <w:kern w:val="0"/>
          <w:sz w:val="32"/>
          <w:szCs w:val="32"/>
          <w:lang w:val="en-US" w:eastAsia="zh-CN" w:bidi="ar-SA"/>
        </w:rPr>
      </w:pPr>
      <w:r>
        <w:rPr>
          <w:rFonts w:hint="eastAsia" w:ascii="宋体" w:hAnsi="宋体" w:cs="黑体" w:eastAsiaTheme="minorEastAsia"/>
          <w:color w:val="000000"/>
          <w:kern w:val="0"/>
          <w:sz w:val="32"/>
          <w:szCs w:val="32"/>
          <w:lang w:val="en-US" w:eastAsia="zh-CN" w:bidi="ar-SA"/>
        </w:rPr>
        <w:t>12、溆浦县2021年受污染耕地安全利用380.12万元，绩效目标完成情况：1.项目的经济性分析，2021年受污染耕地安全利用重点在严格管控区内耕地退出水稻种植，种植对重金属镉不敏感的粮食作物，是贯彻习总书记生态文明思想和考察湖南重要讲话精神，有效管控耕地土壤环境风险，提升农产品质量安全保障水平。年增产增收100多万元，提高土地产出效益。项目的效率性分析，按照计划，项目实施时间为12个月，我们严格按照时间节点开展工作，在12月份全面完成全年工作。项目的效益性分析，受污染耕地安全利用严格管控区实施结构调整，退出水稻种植是国家大略方针。对社会、经济、生态环境等具有深远的影响，社会效益方面，有效减少了重金属镉大米的出现，提高人们身体健康。通过生石灰治理，降低了土壤中重金属活性，减少了作物吸收量。生态环境方面，改良了土壤环境，提升了耕地质量，促进农业可持续发展。发现的主要问题及原因：我县受污染耕地面积较大，治理任务重，需要资金量大。今年7月26日省市下达我县严格管控区面积0.77万亩，而实际摸底数量为9503.415亩，均为农民口粮田，按省里要求自2021年起，该区域全部退出水稻种植，改种对镉吸收不敏感的作物。这项工作开展起来难度较大，县财政难以承受严格管控区退出水稻种植的补助资金。下一步改进措施：加大财政投入，寻找简便易懂的技术措施对大面积中、轻度受污染耕地进行有效治理与修复。县政府牵头整合各方面项目资金，对严格管控区退出水稻种植的同时，进行有效降镉治理与修复。</w:t>
      </w:r>
    </w:p>
    <w:p>
      <w:pPr>
        <w:spacing w:line="600" w:lineRule="atLeast"/>
        <w:ind w:firstLine="646" w:firstLineChars="202"/>
        <w:rPr>
          <w:rFonts w:hint="eastAsia" w:ascii="宋体" w:hAnsi="宋体" w:cs="黑体" w:eastAsiaTheme="minorEastAsia"/>
          <w:color w:val="000000"/>
          <w:kern w:val="0"/>
          <w:sz w:val="32"/>
          <w:szCs w:val="32"/>
          <w:lang w:val="en-US" w:eastAsia="zh-CN" w:bidi="ar-SA"/>
        </w:rPr>
      </w:pPr>
      <w:r>
        <w:rPr>
          <w:rFonts w:hint="eastAsia" w:ascii="宋体" w:hAnsi="宋体" w:cs="黑体" w:eastAsiaTheme="minorEastAsia"/>
          <w:color w:val="000000"/>
          <w:kern w:val="0"/>
          <w:sz w:val="32"/>
          <w:szCs w:val="32"/>
          <w:lang w:val="en-US" w:eastAsia="zh-CN" w:bidi="ar-SA"/>
        </w:rPr>
        <w:t>13、禁捕专项资金30万元，绩效目标完成情况：项目的经济性分析：资金使用安全、规范、合理。建立资金台账，资金严格按照项目要求使用，无挪用、截留和挤占等现象发生。项目的效率性分析：共使用资金30万元。制作禁捕宣传牌12万元；印发宣传单0.9万元；录制音频资料0.3万元；宣传车辆宣传6万元；执法装备10.8万元。项目的效益性分析：营造“四清四无”以及“水面不捕、市场不卖、餐馆不做、群众不吃”的良好禁捕态势，为打好“长江禁捕、打非断链”专项整治工作攻坚战，持久战奠定了基础。发现的主要问题及原因：少数乡镇存在重视程度不够的现象。少部分乡镇党委、政府等认识不到位，在禁捕工作部署，专题调度，落实措施方面还是不够得力，工作被动。下一步改进措施：强化组织领导，各乡镇要提高思想认识，进一步明确工作目标和责任，乡镇主要领导要亲自抓、分管领导要具体抓，进一步调动工作积极性和主动性。</w:t>
      </w:r>
    </w:p>
    <w:p>
      <w:pPr>
        <w:pStyle w:val="16"/>
        <w:spacing w:line="560" w:lineRule="exact"/>
        <w:ind w:left="1" w:firstLine="707" w:firstLineChars="221"/>
        <w:rPr>
          <w:rFonts w:hint="eastAsia" w:ascii="宋体" w:hAnsi="宋体" w:cs="黑体" w:eastAsiaTheme="minorEastAsia"/>
          <w:color w:val="000000"/>
          <w:kern w:val="0"/>
          <w:sz w:val="32"/>
          <w:szCs w:val="32"/>
          <w:lang w:val="en-US" w:eastAsia="zh-CN" w:bidi="ar-SA"/>
        </w:rPr>
      </w:pPr>
      <w:r>
        <w:rPr>
          <w:rFonts w:hint="eastAsia" w:ascii="宋体" w:hAnsi="宋体" w:cs="黑体" w:eastAsiaTheme="minorEastAsia"/>
          <w:color w:val="000000"/>
          <w:kern w:val="0"/>
          <w:sz w:val="32"/>
          <w:szCs w:val="32"/>
          <w:lang w:val="en-US" w:eastAsia="zh-CN" w:bidi="ar-SA"/>
        </w:rPr>
        <w:t>14、2021年外来入侵物种福寿螺防治工作10万元，绩效目标完成情况：项目的经济性分析，外来入侵物种福寿螺适应性和繁殖能力强，一枚母螺一年能乳化9000多个幼螺。2021年实际防治面积6000多亩，减少螺口密度，降低水稻为害达30%以上，减少经济损失达100多万元。项目的效率性分析，按照计划，项目实施时间为3个月，我们严格按照时间节点开展工作，在最佳时间的6-8月开展防治工作，全面完成全年工作。防治效果好，控制到位。项目的效益性分析，外来入侵物种福寿螺超强的适应性和繁殖能力，我县老百姓受害深，为害大，治理难度大，多年防治难以根除。通过这次集中防治，增强了百姓防治福寿螺的信心，对我县社会、生态和经济产生深远的影响。有效维护了农业生态平衡，社会经济效益十分显著。发现的主要问题及原因：我县外来入侵物种福寿螺螺口密度大，发生面积宽，整个县域内均有分布，治理任务重，需要资金量大。福寿螺防治难度较大，县财政难以承受福寿螺防治资金。下一步改进措施：加大财政投入，采取专业化技术措施大面积进行有效治理与修复。县政府牵头整合各部门和社会各界力量，参与到福寿螺的防治，动员全社会参与到福寿螺的防治当中来。</w:t>
      </w:r>
    </w:p>
    <w:p>
      <w:pPr>
        <w:spacing w:line="580" w:lineRule="exact"/>
        <w:ind w:firstLine="640" w:firstLineChars="200"/>
        <w:rPr>
          <w:rFonts w:hint="eastAsia" w:ascii="宋体" w:hAnsi="宋体" w:cs="黑体" w:eastAsiaTheme="minorEastAsia"/>
          <w:color w:val="000000"/>
          <w:kern w:val="0"/>
          <w:sz w:val="32"/>
          <w:szCs w:val="32"/>
          <w:lang w:val="en-US" w:eastAsia="zh-CN" w:bidi="ar-SA"/>
        </w:rPr>
      </w:pPr>
      <w:r>
        <w:rPr>
          <w:rFonts w:hint="eastAsia" w:ascii="宋体" w:hAnsi="宋体" w:cs="黑体" w:eastAsiaTheme="minorEastAsia"/>
          <w:color w:val="000000"/>
          <w:kern w:val="0"/>
          <w:sz w:val="32"/>
          <w:szCs w:val="32"/>
          <w:lang w:val="en-US" w:eastAsia="zh-CN" w:bidi="ar-SA"/>
        </w:rPr>
        <w:t>15、2021年度农业行政执法保障经费项目资金50万元，绩效目标完成情况：项目的经济性：农业执法保障经费项目的组织实施，带动了农业执法工作的积极性，降低了农业安全事件发生的概率，确保了农业生产和产业安全，促进了我县农业综合执法持续健康发展。项目的效率性：在项目组织的过程中我们做到有依有据，合理合法，监管与审核并重，项目组织程序有序，保障和提高了项目实施效果。项目的效益性：农业行政执法保障经费项目的实施，全面提升了农资监管信息化水平，推动了农资市场秩序持续好转，农民群众满意程度高。并取得了很好地社会经济效益，引领农民增收。发现的主要问题及原因：农业行政执法保障经费项目总体目标和绩效指标完成度较好，只存在执法覆盖面不广的问题。下一步改进措施：在2022年度工作中，加大宣传力度，提高工作强度，加大财务投入，保障全县人民权益。</w:t>
      </w:r>
    </w:p>
    <w:p>
      <w:pPr>
        <w:spacing w:line="580" w:lineRule="exact"/>
        <w:ind w:firstLine="640" w:firstLineChars="200"/>
        <w:rPr>
          <w:rFonts w:hint="eastAsia" w:ascii="宋体" w:hAnsi="宋体" w:cs="黑体" w:eastAsiaTheme="minorEastAsia"/>
          <w:color w:val="000000"/>
          <w:kern w:val="0"/>
          <w:sz w:val="32"/>
          <w:szCs w:val="32"/>
          <w:lang w:val="en-US" w:eastAsia="zh-CN" w:bidi="ar-SA"/>
        </w:rPr>
      </w:pPr>
      <w:r>
        <w:rPr>
          <w:rFonts w:hint="eastAsia" w:ascii="宋体" w:hAnsi="宋体" w:eastAsia="仿宋" w:cs="黑体"/>
          <w:color w:val="000000"/>
          <w:kern w:val="0"/>
          <w:sz w:val="32"/>
          <w:szCs w:val="32"/>
          <w:lang w:val="en-US" w:eastAsia="zh-CN" w:bidi="ar-SA"/>
        </w:rPr>
        <w:t xml:space="preserve"> </w:t>
      </w:r>
      <w:r>
        <w:rPr>
          <w:rFonts w:hint="eastAsia" w:ascii="宋体" w:hAnsi="宋体" w:cs="黑体" w:eastAsiaTheme="minorEastAsia"/>
          <w:color w:val="000000"/>
          <w:kern w:val="0"/>
          <w:sz w:val="32"/>
          <w:szCs w:val="32"/>
          <w:lang w:val="en-US" w:eastAsia="zh-CN" w:bidi="ar-SA"/>
        </w:rPr>
        <w:t xml:space="preserve"> 16、2021年农作物病虫害防治专项20万元，绩效目标完成情况：项目经济性分析，项目总投资20.0万元，实际完成投资20.0万元。开展柑桔黄龙病及木虱调查113次、培训8期、开展柑橘木虱防控示范2000亩，防控指导12次、防控处置率90%。举办柑橘绿色防控示范区1个，面积600亩。项目效率性分析，项目自2021年5月份实施以来，经过各方努力，在规定时间内全面完成建设任务，效率较高，完成质量较好。项目效益性分析，通过项目实施，开展柑橘木虱防控示范2000亩，防控指导12次、防控处置率90%，开展柑桔黄龙病及木虱调查113次、培训8期。举办柑橘绿色防控示范区1个，面积600亩。项目实施区社会、经济和环境效益明显提高，确保农作物生产安全和质量安全，实现农业可持续化发展。发现的主要问题及原因：一是项目资金缺口大，不能满足实际需要。二是资金拨付不及时，给项目实施增加困难。下一步改进措施：一是增加项目资金投入，加大项目实施范围。二是及时拨付资金，推进项目高质量发展。</w:t>
      </w:r>
    </w:p>
    <w:p>
      <w:pPr>
        <w:spacing w:line="580" w:lineRule="exact"/>
        <w:ind w:firstLine="960" w:firstLineChars="300"/>
        <w:rPr>
          <w:rFonts w:hint="eastAsia" w:ascii="宋体" w:hAnsi="宋体" w:cs="黑体" w:eastAsiaTheme="minorEastAsia"/>
          <w:color w:val="000000"/>
          <w:kern w:val="0"/>
          <w:sz w:val="32"/>
          <w:szCs w:val="32"/>
          <w:lang w:val="en-US" w:eastAsia="zh-CN" w:bidi="ar-SA"/>
        </w:rPr>
      </w:pPr>
      <w:r>
        <w:rPr>
          <w:rFonts w:hint="eastAsia" w:ascii="宋体" w:hAnsi="宋体" w:cs="黑体" w:eastAsiaTheme="minorEastAsia"/>
          <w:color w:val="000000"/>
          <w:kern w:val="0"/>
          <w:sz w:val="32"/>
          <w:szCs w:val="32"/>
          <w:lang w:val="en-US" w:eastAsia="zh-CN" w:bidi="ar-SA"/>
        </w:rPr>
        <w:t>17、2021年农作物病虫害绿色防控及专业化社会服务专项资金20万元，绩效目标完成情况：项目经济性分析，项目总投资20.0万元，实际完成投资20.0万元。创办水稻绿色防控示范面积500亩，辐射带动水稻绿色防控1.5万亩；创办柑桔绿色防控示范面积500亩，辐射带动柑桔绿色防控2.5万亩；水稻、柑桔病虫害防控处置率在90%以上，专业社会化（飞防）全程承包服务面积达到3.4万亩。据统计，示范区及水稻飞防区水稻增产85万公斤，新增产值129万元；柑桔增产4.0万公斤，新增产值8.0万元。项目效率性分析，项目自2021年5月份实施以来，经过各方努力，在规定时间内全面完成建设任务，效率较高，完成质量较好。项目效益性分析，通过项目实施，创办水稻绿色防控示范区1个，面积500亩；创办柑桔绿色防控示范区1个，面积500亩；确保水稻、柑桔病虫害防控处置率在90%以上；新增专业社会化服务组织1家，建设区域服务站1个，专业社会化（飞防）全程承包服务面积3.4万亩，农作物病虫害总损失率控制在5%以下。示范区及水稻飞防区水稻增产85万公斤，新增产值129万元；柑桔增产4.0万公斤，新增产值8.0万元。项目实施区社会、经济和环境效益明显提高，确保农作物生产安全和质量安全，实现农业可持续化发展。发现的主要问题及原因：一是项目资金缺口大，不能满足实际需要。二是资金拨付不及时，给项目实施增加困难。下一步改进措施：一是增加项目资金投入，加大项目实施范围。二是及时拨付资金，推进项目高质量发展。</w:t>
      </w:r>
    </w:p>
    <w:p>
      <w:pPr>
        <w:spacing w:line="580" w:lineRule="exact"/>
        <w:ind w:firstLine="960" w:firstLineChars="300"/>
        <w:rPr>
          <w:rFonts w:hint="eastAsia" w:ascii="宋体" w:hAnsi="宋体" w:cs="黑体" w:eastAsiaTheme="minorEastAsia"/>
          <w:color w:val="000000"/>
          <w:kern w:val="0"/>
          <w:sz w:val="32"/>
          <w:szCs w:val="32"/>
          <w:lang w:val="en-US" w:eastAsia="zh-CN" w:bidi="ar-SA"/>
        </w:rPr>
      </w:pPr>
      <w:r>
        <w:rPr>
          <w:rFonts w:hint="eastAsia" w:ascii="宋体" w:hAnsi="宋体" w:cs="黑体" w:eastAsiaTheme="minorEastAsia"/>
          <w:color w:val="000000"/>
          <w:kern w:val="0"/>
          <w:sz w:val="32"/>
          <w:szCs w:val="32"/>
          <w:lang w:val="en-US" w:eastAsia="zh-CN" w:bidi="ar-SA"/>
        </w:rPr>
        <w:t>18、2021年植物保护与植物检疫项目10万元，绩效目标完成情况：项目的经济性分析，项目总投资10.0万元，实际完成投资10.0万元。全年发布农作物病虫预报18期，完成水稻、柑桔等农作物病虫害防治873万亩次，挽回农作物损失12.39万吨。项目的效率性分析，项目自2021年3月份实施以来，经过各方努力，在规定时间内全面完成建设任务，效率较高，完成质量较好。项目的效益性分析，通过项目实施，发布农作物病虫害田间调查预报18期，完成农作物病虫害防治873万亩次，把我县主要农作物病虫害总损失率控制在5%以下，挽回农作物损失12.39万吨。项目实施经济和社会效益显著，促进农业可持续发展。发现的主要问题及原因：一是项目资金缺口大，不能满足实际需要。二是资金拨付不及时，给项目实施增加困难。下一步改进措施：一是增加项目资金投入，加大项目实施范围。二是及时拨付资金，推进项目高质量发展。</w:t>
      </w:r>
    </w:p>
    <w:p>
      <w:pPr>
        <w:spacing w:line="580" w:lineRule="exact"/>
        <w:ind w:firstLine="960" w:firstLineChars="300"/>
        <w:rPr>
          <w:rFonts w:hint="eastAsia" w:ascii="宋体" w:hAnsi="宋体" w:cs="黑体" w:eastAsiaTheme="minorEastAsia"/>
          <w:color w:val="000000"/>
          <w:kern w:val="0"/>
          <w:sz w:val="32"/>
          <w:szCs w:val="32"/>
          <w:lang w:val="en-US" w:eastAsia="zh-CN" w:bidi="ar-SA"/>
        </w:rPr>
      </w:pPr>
      <w:r>
        <w:rPr>
          <w:rFonts w:hint="eastAsia" w:ascii="宋体" w:hAnsi="宋体" w:cs="黑体" w:eastAsiaTheme="minorEastAsia"/>
          <w:color w:val="000000"/>
          <w:kern w:val="0"/>
          <w:sz w:val="32"/>
          <w:szCs w:val="32"/>
          <w:lang w:val="en-US" w:eastAsia="zh-CN" w:bidi="ar-SA"/>
        </w:rPr>
        <w:t>19、2021年示范村创建专项资金160万元，绩效目标完成情况：项目的经济性分析：开展示范村创建，建设小广场、小花园、小果园，污水治理、垃圾清运、废弃房屋拆除，家禽圈养等，乡村人居环境进一步提升。</w:t>
      </w:r>
    </w:p>
    <w:p>
      <w:pPr>
        <w:spacing w:line="580" w:lineRule="exact"/>
        <w:ind w:firstLine="960" w:firstLineChars="300"/>
        <w:rPr>
          <w:rFonts w:hint="eastAsia" w:ascii="宋体" w:hAnsi="宋体" w:cs="黑体" w:eastAsiaTheme="minorEastAsia"/>
          <w:color w:val="000000"/>
          <w:kern w:val="0"/>
          <w:sz w:val="32"/>
          <w:szCs w:val="32"/>
          <w:lang w:val="en-US" w:eastAsia="zh-CN" w:bidi="ar-SA"/>
        </w:rPr>
      </w:pPr>
      <w:r>
        <w:rPr>
          <w:rFonts w:hint="eastAsia" w:ascii="宋体" w:hAnsi="宋体" w:cs="黑体" w:eastAsiaTheme="minorEastAsia"/>
          <w:color w:val="000000"/>
          <w:kern w:val="0"/>
          <w:sz w:val="32"/>
          <w:szCs w:val="32"/>
          <w:lang w:val="en-US" w:eastAsia="zh-CN" w:bidi="ar-SA"/>
        </w:rPr>
        <w:t>项目的效率性分析：县人居办每月对乡镇村进行检查评比并通报，开展定期或不定期巡查，及时交办并督促整改到位。2021年排名前列的乡镇：龙潭镇、黄茅园镇、思蒙镇。排名落后的乡镇：舒溶溪乡、双井镇、大江口镇、油洋乡、龙庄湾乡。项目的效益性分析：通过落实示范村创建，改善了农村人居环境，提高了群众的幸福指数，初步实现了工作的预期目标。发现的主要问题及原因：重视程度不够。个别乡镇对改善农村人居环境工作没有真正重视起来，做表面功夫，导致村里普遍不重视的现状。筹资不力。乡镇示范村创建等靠要思想严重，筹资力度不大，资金筹措不到位。宣传教育不到位。个别乡镇对改善农村人居环境工作宣传教育不够深入，还存在口号喊得响，行动未跟上，群众参与度、知晓率低。下一步改进措施：要加强组织领导。各乡镇要提高思想认识，进一步明确工作目标和责任，乡镇主要领导要亲自抓、分管领导要具体抓，进一步调动工作人员的积极性和主动性，落实好农村人居环境整治的相关工作。要加大宣传引导。充分利用现代媒体、群众喜闻乐见的方式开展农村人居环境整治宣传。广泛开展环境卫生评比工作，充分调动广大群众参与垃圾治理的自觉性、主动性，引导群众自我管理。要突出工作重心。各乡镇要围绕县委县政府“六大工程、七大行动”的文件精神，认真开展农村人居环境整治工作，努力达到“房前屋后净、村庄院落净、集镇市场净、道路沿线净、溪河沟渠净、村部所在地带头净、乡镇政府大院所在地示范净”的七净工作目标。</w:t>
      </w:r>
    </w:p>
    <w:p>
      <w:pPr>
        <w:spacing w:line="560" w:lineRule="exact"/>
        <w:ind w:firstLine="640" w:firstLineChars="200"/>
        <w:rPr>
          <w:rFonts w:hint="eastAsia" w:ascii="宋体" w:hAnsi="宋体" w:cs="黑体"/>
          <w:color w:val="000000"/>
          <w:kern w:val="0"/>
          <w:sz w:val="32"/>
          <w:szCs w:val="32"/>
          <w:lang w:eastAsia="zh-CN"/>
        </w:rPr>
      </w:pPr>
      <w:r>
        <w:rPr>
          <w:rFonts w:hint="eastAsia" w:ascii="宋体" w:hAnsi="宋体" w:cs="黑体"/>
          <w:color w:val="000000"/>
          <w:kern w:val="0"/>
          <w:sz w:val="32"/>
          <w:szCs w:val="32"/>
          <w:lang w:val="en-US" w:eastAsia="zh-CN"/>
        </w:rPr>
        <w:t>本单位以上</w:t>
      </w:r>
      <w:r>
        <w:rPr>
          <w:rFonts w:hint="eastAsia" w:ascii="宋体" w:hAnsi="宋体" w:cs="黑体"/>
          <w:color w:val="000000"/>
          <w:kern w:val="0"/>
          <w:sz w:val="32"/>
          <w:szCs w:val="32"/>
          <w:lang w:eastAsia="zh-CN"/>
        </w:rPr>
        <w:t>项目绩效自评综述：20</w:t>
      </w:r>
      <w:r>
        <w:rPr>
          <w:rFonts w:hint="eastAsia" w:ascii="宋体" w:hAnsi="宋体" w:cs="黑体"/>
          <w:color w:val="000000"/>
          <w:kern w:val="0"/>
          <w:sz w:val="32"/>
          <w:szCs w:val="32"/>
          <w:lang w:val="en-US" w:eastAsia="zh-CN"/>
        </w:rPr>
        <w:t>21</w:t>
      </w:r>
      <w:r>
        <w:rPr>
          <w:rFonts w:hint="eastAsia" w:ascii="宋体" w:hAnsi="宋体" w:cs="黑体"/>
          <w:color w:val="000000"/>
          <w:kern w:val="0"/>
          <w:sz w:val="32"/>
          <w:szCs w:val="32"/>
          <w:lang w:eastAsia="zh-CN"/>
        </w:rPr>
        <w:t>年度，本单位在专项资金使用上，能够严格审核、审批、拨付、对账程序，资金使用规范有序，未出现差错，资金实行专款专用，未出现挤占、挪用、骗取、滞留项目资金的现象。</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w:t>
      </w:r>
      <w:r>
        <w:rPr>
          <w:rFonts w:cs="黑体" w:asciiTheme="minorEastAsia" w:hAnsiTheme="minorEastAsia"/>
          <w:b/>
          <w:color w:val="000000"/>
          <w:kern w:val="0"/>
          <w:sz w:val="32"/>
          <w:szCs w:val="32"/>
        </w:rPr>
        <w:t>3</w:t>
      </w:r>
      <w:r>
        <w:rPr>
          <w:rFonts w:hint="eastAsia" w:cs="黑体" w:asciiTheme="minorEastAsia" w:hAnsiTheme="minorEastAsia"/>
          <w:b/>
          <w:color w:val="000000"/>
          <w:kern w:val="0"/>
          <w:sz w:val="32"/>
          <w:szCs w:val="32"/>
        </w:rPr>
        <w:t>）部门评价项目绩效评价结果。</w:t>
      </w:r>
    </w:p>
    <w:p>
      <w:pPr>
        <w:spacing w:line="560" w:lineRule="exact"/>
        <w:ind w:firstLine="640" w:firstLineChars="200"/>
        <w:rPr>
          <w:rFonts w:hint="eastAsia" w:ascii="宋体" w:hAnsi="宋体" w:cs="黑体"/>
          <w:color w:val="000000"/>
          <w:kern w:val="0"/>
          <w:sz w:val="32"/>
          <w:szCs w:val="32"/>
          <w:lang w:eastAsia="zh-CN"/>
        </w:rPr>
      </w:pPr>
      <w:r>
        <w:rPr>
          <w:rFonts w:hint="eastAsia" w:ascii="宋体" w:hAnsi="宋体" w:cs="黑体"/>
          <w:color w:val="000000"/>
          <w:kern w:val="0"/>
          <w:sz w:val="32"/>
          <w:szCs w:val="32"/>
          <w:lang w:eastAsia="zh-CN"/>
        </w:rPr>
        <w:t>在省市县各级财政部门共同努力下，20</w:t>
      </w:r>
      <w:r>
        <w:rPr>
          <w:rFonts w:hint="eastAsia" w:ascii="宋体" w:hAnsi="宋体" w:cs="黑体"/>
          <w:color w:val="000000"/>
          <w:kern w:val="0"/>
          <w:sz w:val="32"/>
          <w:szCs w:val="32"/>
          <w:lang w:val="en-US" w:eastAsia="zh-CN"/>
        </w:rPr>
        <w:t>21</w:t>
      </w:r>
      <w:r>
        <w:rPr>
          <w:rFonts w:hint="eastAsia" w:ascii="宋体" w:hAnsi="宋体" w:cs="黑体"/>
          <w:color w:val="000000"/>
          <w:kern w:val="0"/>
          <w:sz w:val="32"/>
          <w:szCs w:val="32"/>
          <w:lang w:eastAsia="zh-CN"/>
        </w:rPr>
        <w:t>年度溆浦县</w:t>
      </w:r>
      <w:r>
        <w:rPr>
          <w:rFonts w:hint="eastAsia" w:ascii="宋体" w:hAnsi="宋体" w:cs="黑体"/>
          <w:color w:val="000000"/>
          <w:kern w:val="0"/>
          <w:sz w:val="32"/>
          <w:szCs w:val="32"/>
          <w:lang w:val="en-US" w:eastAsia="zh-CN"/>
        </w:rPr>
        <w:t>农业农村</w:t>
      </w:r>
      <w:r>
        <w:rPr>
          <w:rFonts w:hint="eastAsia" w:ascii="宋体" w:hAnsi="宋体" w:cs="黑体"/>
          <w:color w:val="000000"/>
          <w:kern w:val="0"/>
          <w:sz w:val="32"/>
          <w:szCs w:val="32"/>
          <w:lang w:eastAsia="zh-CN"/>
        </w:rPr>
        <w:t>工作基本完成。资金使用符合相关财务规定。通过专项资金的实施，全力推进</w:t>
      </w:r>
      <w:r>
        <w:rPr>
          <w:rFonts w:hint="eastAsia" w:ascii="宋体" w:hAnsi="宋体" w:cs="黑体"/>
          <w:color w:val="000000"/>
          <w:kern w:val="0"/>
          <w:sz w:val="32"/>
          <w:szCs w:val="32"/>
          <w:lang w:val="en-US" w:eastAsia="zh-CN"/>
        </w:rPr>
        <w:t>全县农业农村工作</w:t>
      </w:r>
      <w:r>
        <w:rPr>
          <w:rFonts w:hint="eastAsia" w:ascii="宋体" w:hAnsi="宋体" w:cs="黑体"/>
          <w:color w:val="000000"/>
          <w:kern w:val="0"/>
          <w:sz w:val="32"/>
          <w:szCs w:val="32"/>
          <w:lang w:eastAsia="zh-CN"/>
        </w:rPr>
        <w:t>，各项工作取得了明显成效。20</w:t>
      </w:r>
      <w:r>
        <w:rPr>
          <w:rFonts w:hint="eastAsia" w:ascii="宋体" w:hAnsi="宋体" w:cs="黑体"/>
          <w:color w:val="000000"/>
          <w:kern w:val="0"/>
          <w:sz w:val="32"/>
          <w:szCs w:val="32"/>
          <w:lang w:val="en-US" w:eastAsia="zh-CN"/>
        </w:rPr>
        <w:t>21</w:t>
      </w:r>
      <w:r>
        <w:rPr>
          <w:rFonts w:hint="eastAsia" w:ascii="宋体" w:hAnsi="宋体" w:cs="黑体"/>
          <w:color w:val="000000"/>
          <w:kern w:val="0"/>
          <w:sz w:val="32"/>
          <w:szCs w:val="32"/>
          <w:lang w:eastAsia="zh-CN"/>
        </w:rPr>
        <w:t>年度本单位项目资金绩效评价指标评分为</w:t>
      </w:r>
      <w:r>
        <w:rPr>
          <w:rFonts w:hint="eastAsia" w:ascii="宋体" w:hAnsi="宋体" w:cs="黑体"/>
          <w:color w:val="000000"/>
          <w:kern w:val="0"/>
          <w:sz w:val="32"/>
          <w:szCs w:val="32"/>
          <w:lang w:val="en-US" w:eastAsia="zh-CN"/>
        </w:rPr>
        <w:t>90</w:t>
      </w:r>
      <w:r>
        <w:rPr>
          <w:rFonts w:hint="eastAsia" w:ascii="宋体" w:hAnsi="宋体" w:cs="黑体"/>
          <w:color w:val="000000"/>
          <w:kern w:val="0"/>
          <w:sz w:val="32"/>
          <w:szCs w:val="32"/>
          <w:lang w:eastAsia="zh-CN"/>
        </w:rPr>
        <w:t>分。</w:t>
      </w:r>
    </w:p>
    <w:p>
      <w:pPr>
        <w:pStyle w:val="15"/>
        <w:jc w:val="center"/>
        <w:rPr>
          <w:sz w:val="72"/>
          <w:szCs w:val="72"/>
        </w:rPr>
      </w:pPr>
    </w:p>
    <w:p>
      <w:pPr>
        <w:pStyle w:val="15"/>
        <w:jc w:val="center"/>
        <w:rPr>
          <w:sz w:val="72"/>
          <w:szCs w:val="72"/>
        </w:rPr>
      </w:pPr>
    </w:p>
    <w:p>
      <w:pPr>
        <w:pStyle w:val="15"/>
        <w:jc w:val="center"/>
        <w:rPr>
          <w:sz w:val="72"/>
          <w:szCs w:val="72"/>
        </w:rPr>
      </w:pPr>
    </w:p>
    <w:p>
      <w:pPr>
        <w:pStyle w:val="15"/>
        <w:jc w:val="center"/>
        <w:rPr>
          <w:sz w:val="72"/>
          <w:szCs w:val="72"/>
        </w:rPr>
      </w:pPr>
    </w:p>
    <w:p>
      <w:pPr>
        <w:pStyle w:val="15"/>
        <w:jc w:val="center"/>
        <w:rPr>
          <w:sz w:val="72"/>
          <w:szCs w:val="72"/>
        </w:rPr>
      </w:pPr>
    </w:p>
    <w:p>
      <w:pPr>
        <w:pStyle w:val="15"/>
        <w:rPr>
          <w:sz w:val="72"/>
          <w:szCs w:val="72"/>
        </w:rPr>
      </w:pPr>
    </w:p>
    <w:p>
      <w:pPr>
        <w:pStyle w:val="15"/>
        <w:rPr>
          <w:sz w:val="72"/>
          <w:szCs w:val="72"/>
        </w:rPr>
      </w:pPr>
    </w:p>
    <w:p>
      <w:pPr>
        <w:pStyle w:val="15"/>
        <w:jc w:val="center"/>
        <w:rPr>
          <w:sz w:val="72"/>
          <w:szCs w:val="72"/>
        </w:rPr>
      </w:pPr>
    </w:p>
    <w:p>
      <w:pPr>
        <w:pStyle w:val="15"/>
        <w:jc w:val="center"/>
        <w:rPr>
          <w:sz w:val="72"/>
          <w:szCs w:val="72"/>
        </w:rPr>
      </w:pPr>
    </w:p>
    <w:p>
      <w:pPr>
        <w:pStyle w:val="15"/>
        <w:jc w:val="center"/>
        <w:rPr>
          <w:sz w:val="72"/>
          <w:szCs w:val="72"/>
        </w:rPr>
      </w:pPr>
    </w:p>
    <w:p>
      <w:pPr>
        <w:pStyle w:val="15"/>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0" w:firstLineChars="200"/>
        <w:rPr>
          <w:rFonts w:ascii="仿宋" w:hAnsi="仿宋" w:eastAsia="仿宋" w:cs="仿宋"/>
          <w:sz w:val="32"/>
          <w:szCs w:val="32"/>
        </w:rPr>
      </w:pPr>
      <w:r>
        <w:rPr>
          <w:rFonts w:hint="eastAsia" w:ascii="仿宋" w:hAnsi="仿宋" w:eastAsia="仿宋" w:cs="仿宋"/>
          <w:sz w:val="32"/>
          <w:szCs w:val="32"/>
        </w:rPr>
        <w:t>（一）、财政拨款收入：本年度从本级财政部门取得的财政拨款，包括一般公共预算财政拨款和政府性基金预算财政拨款。</w:t>
      </w:r>
    </w:p>
    <w:p>
      <w:pPr>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（二）事业收入：指事业单位开展专业业务活动及辅助活动所取得的收入。</w:t>
      </w:r>
    </w:p>
    <w:p>
      <w:pPr>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（三）其他收入：指除上述“财政拨款收入”、“事业收入”、“经营收入”等以外的收入。</w:t>
      </w:r>
    </w:p>
    <w:p>
      <w:pPr>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（四）年初结转和结余：指以前年度尚未完成、结转到本年仍按原规定用途继续使用的资金，或项目已完成等产生的结余资金。</w:t>
      </w:r>
    </w:p>
    <w:p>
      <w:pPr>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（五）年末结转和结余：指单位按有关规定结转到下年或以后年度继续使用的资金，或项目已完成等产生的结余资金。</w:t>
      </w:r>
    </w:p>
    <w:p>
      <w:pPr>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（六）基本支出：为保障机构正常运转、完成日常工作任务而发生的各项支出。</w:t>
      </w:r>
    </w:p>
    <w:p>
      <w:pPr>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（七）项目支出：为完成特定的行政工作任务或事业发展目标，在基本支出之外发生的各项支出</w:t>
      </w:r>
    </w:p>
    <w:p>
      <w:pPr>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八）“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租用费、燃料费、维修费、过路过桥费、保险费、安全奖励费用等支出；公务接待费反映单位按规定开支的各类公务接待（含外宾接待）支出。</w:t>
      </w:r>
    </w:p>
    <w:p>
      <w:pPr>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（九）其他交通费用：包括公务员交通补贴和租车费。</w:t>
      </w:r>
    </w:p>
    <w:p>
      <w:pPr>
        <w:ind w:firstLine="640" w:firstLineChars="200"/>
        <w:rPr>
          <w:rFonts w:cs="黑体" w:asciiTheme="minorEastAsia" w:hAnsiTheme="minorEastAsia"/>
          <w:color w:val="000000"/>
          <w:kern w:val="0"/>
          <w:sz w:val="32"/>
          <w:szCs w:val="32"/>
        </w:rPr>
      </w:pPr>
      <w:r>
        <w:rPr>
          <w:rFonts w:hint="eastAsia" w:ascii="仿宋" w:hAnsi="仿宋" w:eastAsia="仿宋" w:cs="仿宋"/>
          <w:color w:val="000000"/>
          <w:kern w:val="0"/>
          <w:sz w:val="32"/>
          <w:szCs w:val="32"/>
        </w:rPr>
        <w:t>（十） 机关运行经费：指为保障行政单位运行用于购 买货物和服务的各项资金，包括办公及印刷费、邮电费、差旅费、会议费、福利费、日常维修费、专用材料以及一般设备购置费、办公用房水电费、办公用房取暖费、办公用房物业管理费、公务用车运行维护费以及其他费用</w:t>
      </w:r>
    </w:p>
    <w:p>
      <w:pPr>
        <w:pStyle w:val="15"/>
        <w:ind w:firstLine="640" w:firstLineChars="20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（十一）农林水支出：反映政府农林水事务支出。</w:t>
      </w:r>
    </w:p>
    <w:p>
      <w:pPr>
        <w:widowControl/>
        <w:jc w:val="left"/>
        <w:rPr>
          <w:rFonts w:asciiTheme="minorEastAsia" w:hAnsiTheme="minorEastAsia"/>
          <w:i/>
          <w:color w:val="FF0000"/>
          <w:sz w:val="32"/>
          <w:szCs w:val="32"/>
        </w:rPr>
      </w:pPr>
    </w:p>
    <w:p>
      <w:pPr>
        <w:pStyle w:val="15"/>
        <w:jc w:val="center"/>
        <w:rPr>
          <w:sz w:val="72"/>
          <w:szCs w:val="72"/>
        </w:rPr>
      </w:pPr>
    </w:p>
    <w:p>
      <w:pPr>
        <w:pStyle w:val="15"/>
        <w:jc w:val="center"/>
        <w:rPr>
          <w:sz w:val="72"/>
          <w:szCs w:val="72"/>
        </w:rPr>
      </w:pPr>
    </w:p>
    <w:p>
      <w:pPr>
        <w:pStyle w:val="15"/>
        <w:jc w:val="center"/>
        <w:rPr>
          <w:sz w:val="72"/>
          <w:szCs w:val="72"/>
        </w:rPr>
      </w:pPr>
    </w:p>
    <w:p>
      <w:pPr>
        <w:pStyle w:val="15"/>
        <w:jc w:val="center"/>
        <w:rPr>
          <w:sz w:val="72"/>
          <w:szCs w:val="72"/>
        </w:rPr>
      </w:pPr>
    </w:p>
    <w:p>
      <w:pPr>
        <w:pStyle w:val="15"/>
        <w:jc w:val="center"/>
        <w:rPr>
          <w:sz w:val="72"/>
          <w:szCs w:val="72"/>
        </w:rPr>
      </w:pPr>
    </w:p>
    <w:p>
      <w:pPr>
        <w:pStyle w:val="15"/>
        <w:jc w:val="center"/>
        <w:rPr>
          <w:sz w:val="72"/>
          <w:szCs w:val="72"/>
        </w:rPr>
      </w:pPr>
    </w:p>
    <w:p>
      <w:pPr>
        <w:pStyle w:val="15"/>
        <w:jc w:val="center"/>
        <w:rPr>
          <w:sz w:val="72"/>
          <w:szCs w:val="72"/>
        </w:rPr>
      </w:pPr>
    </w:p>
    <w:p>
      <w:pPr>
        <w:pStyle w:val="15"/>
        <w:jc w:val="center"/>
        <w:rPr>
          <w:sz w:val="72"/>
          <w:szCs w:val="72"/>
        </w:rPr>
      </w:pPr>
    </w:p>
    <w:p>
      <w:pPr>
        <w:pStyle w:val="15"/>
        <w:jc w:val="center"/>
        <w:rPr>
          <w:sz w:val="72"/>
          <w:szCs w:val="72"/>
        </w:rPr>
      </w:pPr>
    </w:p>
    <w:p>
      <w:pPr>
        <w:pStyle w:val="15"/>
        <w:jc w:val="center"/>
        <w:rPr>
          <w:sz w:val="72"/>
          <w:szCs w:val="72"/>
        </w:rPr>
      </w:pPr>
    </w:p>
    <w:p>
      <w:pPr>
        <w:pStyle w:val="15"/>
        <w:jc w:val="center"/>
        <w:rPr>
          <w:sz w:val="72"/>
          <w:szCs w:val="72"/>
        </w:rPr>
      </w:pPr>
    </w:p>
    <w:p>
      <w:pPr>
        <w:pStyle w:val="15"/>
        <w:jc w:val="center"/>
        <w:rPr>
          <w:sz w:val="72"/>
          <w:szCs w:val="72"/>
        </w:rPr>
      </w:pPr>
    </w:p>
    <w:p>
      <w:pPr>
        <w:pStyle w:val="15"/>
        <w:jc w:val="center"/>
        <w:rPr>
          <w:sz w:val="72"/>
          <w:szCs w:val="72"/>
        </w:rPr>
      </w:pPr>
    </w:p>
    <w:p>
      <w:pPr>
        <w:pStyle w:val="15"/>
        <w:jc w:val="center"/>
        <w:rPr>
          <w:sz w:val="72"/>
          <w:szCs w:val="72"/>
        </w:rPr>
      </w:pPr>
    </w:p>
    <w:p>
      <w:pPr>
        <w:pStyle w:val="15"/>
        <w:jc w:val="center"/>
        <w:rPr>
          <w:sz w:val="72"/>
          <w:szCs w:val="72"/>
        </w:rPr>
      </w:pPr>
    </w:p>
    <w:p>
      <w:pPr>
        <w:pStyle w:val="15"/>
        <w:jc w:val="center"/>
        <w:rPr>
          <w:sz w:val="72"/>
          <w:szCs w:val="72"/>
        </w:rPr>
      </w:pPr>
    </w:p>
    <w:p>
      <w:pPr>
        <w:pStyle w:val="15"/>
        <w:jc w:val="center"/>
        <w:rPr>
          <w:sz w:val="72"/>
          <w:szCs w:val="72"/>
        </w:rPr>
      </w:pPr>
    </w:p>
    <w:p>
      <w:pPr>
        <w:pStyle w:val="15"/>
        <w:jc w:val="center"/>
        <w:rPr>
          <w:sz w:val="72"/>
          <w:szCs w:val="72"/>
        </w:rPr>
      </w:pPr>
    </w:p>
    <w:p>
      <w:pPr>
        <w:pStyle w:val="15"/>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spacing w:line="640" w:lineRule="exact"/>
        <w:jc w:val="center"/>
        <w:rPr>
          <w:rFonts w:hint="eastAsia" w:ascii="黑体" w:hAnsi="黑体" w:eastAsia="黑体"/>
          <w:sz w:val="44"/>
          <w:szCs w:val="44"/>
        </w:rPr>
      </w:pPr>
      <w:r>
        <w:rPr>
          <w:rFonts w:hint="eastAsia" w:ascii="黑体" w:hAnsi="黑体" w:eastAsia="黑体"/>
          <w:sz w:val="44"/>
          <w:szCs w:val="44"/>
        </w:rPr>
        <w:t>溆浦县农业农村局</w:t>
      </w:r>
    </w:p>
    <w:p>
      <w:pPr>
        <w:spacing w:line="640" w:lineRule="exact"/>
        <w:jc w:val="center"/>
        <w:rPr>
          <w:rFonts w:hint="eastAsia" w:ascii="黑体" w:hAnsi="黑体" w:eastAsia="黑体"/>
          <w:sz w:val="44"/>
          <w:szCs w:val="44"/>
        </w:rPr>
      </w:pPr>
      <w:r>
        <w:rPr>
          <w:rFonts w:hint="eastAsia" w:ascii="黑体" w:hAnsi="黑体" w:eastAsia="黑体"/>
          <w:sz w:val="44"/>
          <w:szCs w:val="44"/>
        </w:rPr>
        <w:t>202</w:t>
      </w:r>
      <w:r>
        <w:rPr>
          <w:rFonts w:ascii="黑体" w:hAnsi="黑体" w:eastAsia="黑体"/>
          <w:sz w:val="44"/>
          <w:szCs w:val="44"/>
        </w:rPr>
        <w:t>1</w:t>
      </w:r>
      <w:r>
        <w:rPr>
          <w:rFonts w:hint="eastAsia" w:ascii="黑体" w:hAnsi="黑体" w:eastAsia="黑体"/>
          <w:sz w:val="44"/>
          <w:szCs w:val="44"/>
        </w:rPr>
        <w:t>年度部门整体支出绩效自评报告</w:t>
      </w:r>
    </w:p>
    <w:p>
      <w:pPr>
        <w:pStyle w:val="9"/>
        <w:spacing w:before="0" w:beforeAutospacing="0" w:after="0" w:afterAutospacing="0" w:line="560" w:lineRule="exact"/>
        <w:ind w:firstLine="640" w:firstLineChars="200"/>
        <w:jc w:val="both"/>
        <w:rPr>
          <w:rFonts w:hint="eastAsia" w:ascii="黑体" w:hAnsi="黑体" w:eastAsia="黑体"/>
          <w:sz w:val="32"/>
          <w:szCs w:val="32"/>
        </w:rPr>
      </w:pPr>
    </w:p>
    <w:p>
      <w:pPr>
        <w:spacing w:line="610" w:lineRule="exact"/>
        <w:ind w:firstLine="640" w:firstLineChars="200"/>
        <w:rPr>
          <w:rFonts w:hint="eastAsia" w:ascii="仿宋" w:hAnsi="仿宋" w:eastAsia="仿宋"/>
          <w:sz w:val="32"/>
          <w:szCs w:val="32"/>
        </w:rPr>
      </w:pPr>
      <w:r>
        <w:rPr>
          <w:rFonts w:hint="eastAsia" w:ascii="仿宋" w:hAnsi="仿宋" w:eastAsia="仿宋"/>
          <w:sz w:val="32"/>
          <w:szCs w:val="32"/>
        </w:rPr>
        <w:t>根据《中共湖南省委办公厅 湖南省人民政府办公厅关于全面实施预算绩效管理的实施意见》（湘办发〔2019〕10号）、</w:t>
      </w:r>
      <w:r>
        <w:rPr>
          <w:rFonts w:ascii="仿宋" w:hAnsi="仿宋" w:eastAsia="仿宋"/>
          <w:sz w:val="32"/>
          <w:szCs w:val="32"/>
        </w:rPr>
        <w:t>《湖南省预算支出绩效评价管理办法》</w:t>
      </w:r>
      <w:r>
        <w:rPr>
          <w:rFonts w:hint="eastAsia" w:ascii="仿宋" w:hAnsi="仿宋" w:eastAsia="仿宋"/>
          <w:sz w:val="32"/>
          <w:szCs w:val="32"/>
        </w:rPr>
        <w:t>、《溆浦县预算绩效评价管理办法》（溆政办发〔2016〕69号）、部门职能、规划、年度工作计划、部门预算资金、项目管理规定和财务会计制度、财政部门预算批复、部门年度预算执行情况、年度决算报告等文件、规章制度，编制绩效自评报告。现将202</w:t>
      </w:r>
      <w:r>
        <w:rPr>
          <w:rFonts w:ascii="仿宋" w:hAnsi="仿宋" w:eastAsia="仿宋"/>
          <w:sz w:val="32"/>
          <w:szCs w:val="32"/>
        </w:rPr>
        <w:t>1</w:t>
      </w:r>
      <w:r>
        <w:rPr>
          <w:rFonts w:hint="eastAsia" w:ascii="仿宋" w:hAnsi="仿宋" w:eastAsia="仿宋"/>
          <w:sz w:val="32"/>
          <w:szCs w:val="32"/>
        </w:rPr>
        <w:t>年部门整体支出绩效评价情况及评价结果报告如下：</w:t>
      </w:r>
    </w:p>
    <w:p>
      <w:pPr>
        <w:pStyle w:val="9"/>
        <w:widowControl w:val="0"/>
        <w:spacing w:before="0" w:beforeAutospacing="0" w:after="0" w:afterAutospacing="0" w:line="580" w:lineRule="exact"/>
        <w:ind w:firstLine="640" w:firstLineChars="200"/>
        <w:jc w:val="both"/>
        <w:rPr>
          <w:rFonts w:hint="eastAsia" w:ascii="黑体" w:hAnsi="黑体" w:eastAsia="黑体"/>
          <w:sz w:val="32"/>
          <w:szCs w:val="32"/>
        </w:rPr>
      </w:pPr>
      <w:r>
        <w:rPr>
          <w:rFonts w:hint="eastAsia" w:ascii="黑体" w:hAnsi="黑体" w:eastAsia="黑体"/>
          <w:sz w:val="32"/>
          <w:szCs w:val="32"/>
        </w:rPr>
        <w:t>一、部门概况</w:t>
      </w:r>
    </w:p>
    <w:p>
      <w:pPr>
        <w:pStyle w:val="9"/>
        <w:widowControl w:val="0"/>
        <w:spacing w:before="0" w:beforeAutospacing="0" w:after="0" w:afterAutospacing="0" w:line="580" w:lineRule="exact"/>
        <w:ind w:firstLine="640" w:firstLineChars="200"/>
        <w:jc w:val="both"/>
        <w:rPr>
          <w:rFonts w:hint="eastAsia" w:ascii="仿宋" w:hAnsi="仿宋" w:eastAsia="仿宋"/>
          <w:b/>
          <w:sz w:val="32"/>
          <w:szCs w:val="32"/>
        </w:rPr>
      </w:pPr>
      <w:r>
        <w:rPr>
          <w:rFonts w:hint="eastAsia" w:ascii="仿宋" w:hAnsi="仿宋" w:eastAsia="仿宋"/>
          <w:b/>
          <w:sz w:val="32"/>
          <w:szCs w:val="32"/>
        </w:rPr>
        <w:t>（一）部门基本情况</w:t>
      </w:r>
    </w:p>
    <w:p>
      <w:pPr>
        <w:widowControl/>
        <w:spacing w:line="600" w:lineRule="exact"/>
        <w:ind w:firstLine="640" w:firstLineChars="200"/>
        <w:rPr>
          <w:rFonts w:hint="eastAsia" w:ascii="仿宋" w:hAnsi="仿宋" w:eastAsia="仿宋" w:cs="宋体"/>
          <w:color w:val="333333"/>
          <w:kern w:val="0"/>
          <w:sz w:val="32"/>
          <w:szCs w:val="32"/>
        </w:rPr>
      </w:pPr>
      <w:r>
        <w:rPr>
          <w:rFonts w:hint="eastAsia" w:ascii="仿宋" w:hAnsi="仿宋" w:eastAsia="仿宋" w:cs="宋体"/>
          <w:color w:val="333333"/>
          <w:kern w:val="0"/>
          <w:sz w:val="32"/>
          <w:szCs w:val="32"/>
        </w:rPr>
        <w:t xml:space="preserve"> 本单位属财政全额拨款行政单位，内设机构10个，分别是办公室、综合调研股、人事股、财务股、乡村产业发展股、农村社会事业促进股、农产品质量安全监管股、种植业管理股、养殖业管理股、农田建设和农业机械化管理股。下属全额拨款行政事业单位8个。核定全额拨款行政事业编制 105名，实有在编在岗人员 109人，其中行政在职人员22人，事业在职人员85人，行政工勤在职人员2人，离退休人员101人。二级预算单位4个，分别是：溆浦县农业综合服务中心 、溆浦县畜牧水产事务中心 、溆浦县农机事务中心、溆浦县农村经营服务站。其中，溆浦县农业综合服务中心核定编制13人，实有人数6人；溆浦县畜牧水产事务中心核定编制54人，实有人数42人，室、畜禽水产品质量安全室、动物疫病预防控制室、动物检疫室、畜禽屠宰室；核定编制54名，实有在职人员42人：公务员8人、事业人员34人；离退休人员84人、遗属40人；临聘人员19人。溆浦县农机事务中心全额拨款事业编制33名,实有人数26人,其中:行政人员9人、事业人员17人、提前退休3人、离退休人员35人；溆浦县农村经营服务站核定事业编制18人,实有在职人员16人。离休人员1人，退休人员19人，提前退休3人，遗属补助16人</w:t>
      </w:r>
    </w:p>
    <w:p>
      <w:pPr>
        <w:pStyle w:val="9"/>
        <w:widowControl w:val="0"/>
        <w:spacing w:before="0" w:beforeAutospacing="0" w:after="0" w:afterAutospacing="0" w:line="580" w:lineRule="exact"/>
        <w:ind w:firstLine="640" w:firstLineChars="200"/>
        <w:jc w:val="both"/>
        <w:rPr>
          <w:rFonts w:ascii="仿宋" w:hAnsi="仿宋" w:eastAsia="仿宋"/>
          <w:sz w:val="32"/>
          <w:szCs w:val="32"/>
        </w:rPr>
      </w:pPr>
      <w:r>
        <w:rPr>
          <w:rFonts w:hint="eastAsia" w:ascii="仿宋" w:hAnsi="仿宋" w:eastAsia="仿宋"/>
          <w:sz w:val="32"/>
          <w:szCs w:val="32"/>
        </w:rPr>
        <w:t>溆浦县农业农村局主要职责有：</w:t>
      </w:r>
    </w:p>
    <w:p>
      <w:pPr>
        <w:pStyle w:val="9"/>
        <w:widowControl w:val="0"/>
        <w:spacing w:before="0" w:beforeAutospacing="0" w:after="0" w:afterAutospacing="0" w:line="580" w:lineRule="exact"/>
        <w:ind w:firstLine="640" w:firstLineChars="200"/>
        <w:jc w:val="both"/>
        <w:rPr>
          <w:rFonts w:hint="eastAsia" w:ascii="仿宋" w:hAnsi="仿宋" w:eastAsia="仿宋"/>
          <w:sz w:val="32"/>
          <w:szCs w:val="32"/>
        </w:rPr>
      </w:pPr>
      <w:r>
        <w:rPr>
          <w:rFonts w:hint="eastAsia" w:ascii="仿宋" w:hAnsi="仿宋" w:eastAsia="仿宋"/>
          <w:sz w:val="32"/>
          <w:szCs w:val="32"/>
        </w:rPr>
        <w:t>贯彻落实党中央关于“三农”工作的方针政策和决策部署，全面落实省委、市委、县委关于“三农”工作的部署要求，在履行职责过程中坚持和加强党对“三农”工作的集中统一领导。统筹推动发展农村社会事业、农村公共服务、农村文化、农村基础设施和乡村治理。牵头实施改善农村人居环境。指导农村精神文明和优秀农耕文化建设。指导农业行业安全生产工作。指导、监督减轻农民负担和村民筹资筹劳管理工作，负责农民承包地、农村宅基地改革和管理有关工作。负责农村集体产权制度改革，指导农村集体经济组织发展和集体资产管理工作。指导农民合作经济组织、农业社会化服务体系、新型农业经营主体建设与发展指导乡村特色产业、农产品加工业、休闲农业发展工作。负责种植业、畜牧业、渔业、农业机械化等农业各产业的监督管理。负责农产品质量安全监督管理。指导农用地、渔业水域以及农业生物物种资源的保护与管理，负责有关农业生产资料和农业投入品的监督管理。负责农业防灾减灾、农作物重大病虫害防控和动植物重大疫病防治工作。负责农业投资管理，负责农业转基因生物安全监督管理和农业植物新品种保护。承担农业综合开发项目、农田整治项目、农田水利建设项目管理工作。完成县委、县政府和县委农村工作领导小组交办的其他任务。</w:t>
      </w:r>
    </w:p>
    <w:p>
      <w:pPr>
        <w:pStyle w:val="9"/>
        <w:widowControl w:val="0"/>
        <w:spacing w:before="0" w:beforeAutospacing="0" w:after="0" w:afterAutospacing="0" w:line="580" w:lineRule="exact"/>
        <w:ind w:firstLine="640" w:firstLineChars="200"/>
        <w:jc w:val="both"/>
        <w:rPr>
          <w:rFonts w:hint="eastAsia" w:ascii="仿宋" w:hAnsi="仿宋" w:eastAsia="仿宋"/>
          <w:b/>
          <w:sz w:val="32"/>
          <w:szCs w:val="32"/>
        </w:rPr>
      </w:pPr>
      <w:r>
        <w:rPr>
          <w:rFonts w:hint="eastAsia" w:ascii="仿宋" w:hAnsi="仿宋" w:eastAsia="仿宋"/>
          <w:b/>
          <w:sz w:val="32"/>
          <w:szCs w:val="32"/>
        </w:rPr>
        <w:t>（二）部门整体收支概况</w:t>
      </w:r>
    </w:p>
    <w:p>
      <w:pPr>
        <w:spacing w:line="580" w:lineRule="exact"/>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202</w:t>
      </w:r>
      <w:r>
        <w:rPr>
          <w:rFonts w:ascii="仿宋" w:hAnsi="仿宋" w:eastAsia="仿宋" w:cs="宋体"/>
          <w:kern w:val="0"/>
          <w:sz w:val="32"/>
          <w:szCs w:val="32"/>
        </w:rPr>
        <w:t>1</w:t>
      </w:r>
      <w:r>
        <w:rPr>
          <w:rFonts w:hint="eastAsia" w:ascii="仿宋" w:hAnsi="仿宋" w:eastAsia="仿宋" w:cs="宋体"/>
          <w:kern w:val="0"/>
          <w:sz w:val="32"/>
          <w:szCs w:val="32"/>
        </w:rPr>
        <w:t>年决算总收入</w:t>
      </w:r>
      <w:r>
        <w:rPr>
          <w:rFonts w:ascii="仿宋" w:hAnsi="仿宋" w:eastAsia="仿宋" w:cs="宋体"/>
          <w:kern w:val="0"/>
          <w:sz w:val="32"/>
          <w:szCs w:val="32"/>
        </w:rPr>
        <w:t>31975.7</w:t>
      </w:r>
      <w:r>
        <w:rPr>
          <w:rFonts w:hint="eastAsia" w:ascii="仿宋" w:hAnsi="仿宋" w:eastAsia="仿宋" w:cs="宋体"/>
          <w:kern w:val="0"/>
          <w:sz w:val="32"/>
          <w:szCs w:val="32"/>
        </w:rPr>
        <w:t>7万元，其中一般公共预算财政拨款收入</w:t>
      </w:r>
      <w:r>
        <w:rPr>
          <w:rFonts w:ascii="仿宋" w:hAnsi="仿宋" w:eastAsia="仿宋" w:cs="宋体"/>
          <w:kern w:val="0"/>
          <w:sz w:val="32"/>
          <w:szCs w:val="32"/>
        </w:rPr>
        <w:t>31855.88</w:t>
      </w:r>
      <w:r>
        <w:rPr>
          <w:rFonts w:hint="eastAsia" w:ascii="仿宋" w:hAnsi="仿宋" w:eastAsia="仿宋" w:cs="宋体"/>
          <w:kern w:val="0"/>
          <w:sz w:val="32"/>
          <w:szCs w:val="32"/>
        </w:rPr>
        <w:t>万元，上年结转1</w:t>
      </w:r>
      <w:r>
        <w:rPr>
          <w:rFonts w:ascii="仿宋" w:hAnsi="仿宋" w:eastAsia="仿宋" w:cs="宋体"/>
          <w:kern w:val="0"/>
          <w:sz w:val="32"/>
          <w:szCs w:val="32"/>
        </w:rPr>
        <w:t>19.89</w:t>
      </w:r>
      <w:r>
        <w:rPr>
          <w:rFonts w:hint="eastAsia" w:ascii="仿宋" w:hAnsi="仿宋" w:eastAsia="仿宋" w:cs="宋体"/>
          <w:kern w:val="0"/>
          <w:sz w:val="32"/>
          <w:szCs w:val="32"/>
        </w:rPr>
        <w:t>。总支出</w:t>
      </w:r>
      <w:r>
        <w:rPr>
          <w:rFonts w:ascii="仿宋" w:hAnsi="仿宋" w:eastAsia="仿宋" w:cs="宋体"/>
          <w:kern w:val="0"/>
          <w:sz w:val="32"/>
          <w:szCs w:val="32"/>
        </w:rPr>
        <w:t>31975.77</w:t>
      </w:r>
      <w:r>
        <w:rPr>
          <w:rFonts w:hint="eastAsia" w:ascii="仿宋" w:hAnsi="仿宋" w:eastAsia="仿宋" w:cs="宋体"/>
          <w:kern w:val="0"/>
          <w:sz w:val="32"/>
          <w:szCs w:val="32"/>
        </w:rPr>
        <w:t>万元，其中：工资福利支出</w:t>
      </w:r>
      <w:r>
        <w:rPr>
          <w:rFonts w:ascii="仿宋" w:hAnsi="仿宋" w:eastAsia="仿宋" w:cs="宋体"/>
          <w:kern w:val="0"/>
          <w:sz w:val="32"/>
          <w:szCs w:val="32"/>
        </w:rPr>
        <w:t>943.63</w:t>
      </w:r>
      <w:r>
        <w:rPr>
          <w:rFonts w:hint="eastAsia" w:ascii="仿宋" w:hAnsi="仿宋" w:eastAsia="仿宋" w:cs="宋体"/>
          <w:kern w:val="0"/>
          <w:sz w:val="32"/>
          <w:szCs w:val="32"/>
        </w:rPr>
        <w:t>万元、商品和服务支出</w:t>
      </w:r>
      <w:r>
        <w:rPr>
          <w:rFonts w:ascii="仿宋" w:hAnsi="仿宋" w:eastAsia="仿宋" w:cs="宋体"/>
          <w:kern w:val="0"/>
          <w:sz w:val="32"/>
          <w:szCs w:val="32"/>
        </w:rPr>
        <w:t>1311.9</w:t>
      </w:r>
      <w:r>
        <w:rPr>
          <w:rFonts w:hint="eastAsia" w:ascii="仿宋" w:hAnsi="仿宋" w:eastAsia="仿宋" w:cs="宋体"/>
          <w:kern w:val="0"/>
          <w:sz w:val="32"/>
          <w:szCs w:val="32"/>
        </w:rPr>
        <w:t>万元、对个人和家庭的补助支出</w:t>
      </w:r>
      <w:r>
        <w:rPr>
          <w:rFonts w:ascii="仿宋" w:hAnsi="仿宋" w:eastAsia="仿宋" w:cs="宋体"/>
          <w:kern w:val="0"/>
          <w:sz w:val="32"/>
          <w:szCs w:val="32"/>
        </w:rPr>
        <w:t>3091.56</w:t>
      </w:r>
      <w:r>
        <w:rPr>
          <w:rFonts w:hint="eastAsia" w:ascii="仿宋" w:hAnsi="仿宋" w:eastAsia="仿宋" w:cs="宋体"/>
          <w:kern w:val="0"/>
          <w:sz w:val="32"/>
          <w:szCs w:val="32"/>
        </w:rPr>
        <w:t>万元、对企事业单位补助</w:t>
      </w:r>
      <w:r>
        <w:rPr>
          <w:rFonts w:ascii="仿宋" w:hAnsi="仿宋" w:eastAsia="仿宋" w:cs="宋体"/>
          <w:kern w:val="0"/>
          <w:sz w:val="32"/>
          <w:szCs w:val="32"/>
        </w:rPr>
        <w:t>5463.75</w:t>
      </w:r>
      <w:r>
        <w:rPr>
          <w:rFonts w:hint="eastAsia" w:ascii="仿宋" w:hAnsi="仿宋" w:eastAsia="仿宋" w:cs="宋体"/>
          <w:kern w:val="0"/>
          <w:sz w:val="32"/>
          <w:szCs w:val="32"/>
        </w:rPr>
        <w:t>万元，基本建设资本性支出</w:t>
      </w:r>
      <w:r>
        <w:rPr>
          <w:rFonts w:ascii="仿宋" w:hAnsi="仿宋" w:eastAsia="仿宋" w:cs="宋体"/>
          <w:kern w:val="0"/>
          <w:sz w:val="32"/>
          <w:szCs w:val="32"/>
        </w:rPr>
        <w:t>21164.93</w:t>
      </w:r>
      <w:r>
        <w:rPr>
          <w:rFonts w:hint="eastAsia" w:ascii="仿宋" w:hAnsi="仿宋" w:eastAsia="仿宋" w:cs="宋体"/>
          <w:kern w:val="0"/>
          <w:sz w:val="32"/>
          <w:szCs w:val="32"/>
        </w:rPr>
        <w:t>万元。</w:t>
      </w:r>
    </w:p>
    <w:p>
      <w:pPr>
        <w:pStyle w:val="9"/>
        <w:widowControl w:val="0"/>
        <w:spacing w:before="0" w:beforeAutospacing="0" w:after="0" w:afterAutospacing="0" w:line="580" w:lineRule="exact"/>
        <w:ind w:firstLine="640" w:firstLineChars="200"/>
        <w:jc w:val="both"/>
        <w:rPr>
          <w:rFonts w:hint="eastAsia" w:ascii="黑体" w:hAnsi="黑体" w:eastAsia="黑体"/>
          <w:sz w:val="32"/>
          <w:szCs w:val="32"/>
        </w:rPr>
      </w:pPr>
      <w:r>
        <w:rPr>
          <w:rFonts w:hint="eastAsia" w:ascii="黑体" w:hAnsi="黑体" w:eastAsia="黑体"/>
          <w:sz w:val="32"/>
          <w:szCs w:val="32"/>
        </w:rPr>
        <w:t>二、部门整体支出管理及使用情况</w:t>
      </w:r>
    </w:p>
    <w:p>
      <w:pPr>
        <w:spacing w:line="58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我局根据《会计法》、《预算法》、《行政单位财务规则》等法律和其他有关财务规章的规定，完善了《溆浦县农业农村局机关财务管理办法》制度，明确了经费审批权限及程序，资产购置与处置、财务监督等。还单独制订了《溆浦县农业农村局机关车辆管理制度》等财务制度，明确了相应原则和要求、开支范围、程序、办法及标准、审批权限等。上述制度规定基本得到执行。</w:t>
      </w:r>
    </w:p>
    <w:p>
      <w:pPr>
        <w:spacing w:line="580" w:lineRule="exact"/>
        <w:ind w:firstLine="640" w:firstLineChars="200"/>
        <w:rPr>
          <w:rFonts w:hint="eastAsia" w:ascii="仿宋" w:hAnsi="仿宋" w:eastAsia="仿宋" w:cs="宋体"/>
          <w:b/>
          <w:kern w:val="0"/>
          <w:sz w:val="32"/>
          <w:szCs w:val="32"/>
        </w:rPr>
      </w:pPr>
      <w:r>
        <w:rPr>
          <w:rFonts w:hint="eastAsia" w:ascii="仿宋" w:hAnsi="仿宋" w:eastAsia="仿宋"/>
          <w:b/>
          <w:sz w:val="32"/>
          <w:szCs w:val="32"/>
        </w:rPr>
        <w:t>（一）基本支出情况</w:t>
      </w:r>
    </w:p>
    <w:p>
      <w:pPr>
        <w:pStyle w:val="9"/>
        <w:widowControl w:val="0"/>
        <w:spacing w:before="0" w:beforeAutospacing="0" w:after="0" w:afterAutospacing="0" w:line="580" w:lineRule="exact"/>
        <w:ind w:firstLine="640" w:firstLineChars="200"/>
        <w:jc w:val="both"/>
        <w:rPr>
          <w:rFonts w:hint="eastAsia" w:ascii="仿宋" w:hAnsi="仿宋" w:eastAsia="仿宋"/>
          <w:sz w:val="32"/>
          <w:szCs w:val="32"/>
        </w:rPr>
      </w:pPr>
      <w:r>
        <w:rPr>
          <w:rFonts w:hint="eastAsia" w:ascii="仿宋" w:hAnsi="仿宋" w:eastAsia="仿宋"/>
          <w:sz w:val="32"/>
          <w:szCs w:val="32"/>
        </w:rPr>
        <w:t>基本支出用于为保障局机关及二级单位正常运转、完成日常工作任务而发生的支出，包括人员经费和公用经费。</w:t>
      </w:r>
    </w:p>
    <w:p>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202</w:t>
      </w:r>
      <w:r>
        <w:rPr>
          <w:rFonts w:ascii="仿宋" w:hAnsi="仿宋" w:eastAsia="仿宋"/>
          <w:sz w:val="32"/>
          <w:szCs w:val="32"/>
        </w:rPr>
        <w:t>1</w:t>
      </w:r>
      <w:r>
        <w:rPr>
          <w:rFonts w:hint="eastAsia" w:ascii="仿宋" w:hAnsi="仿宋" w:eastAsia="仿宋"/>
          <w:sz w:val="32"/>
          <w:szCs w:val="32"/>
        </w:rPr>
        <w:t>决算基本支出</w:t>
      </w:r>
      <w:r>
        <w:rPr>
          <w:rFonts w:ascii="仿宋" w:hAnsi="仿宋" w:eastAsia="仿宋"/>
          <w:sz w:val="32"/>
          <w:szCs w:val="32"/>
        </w:rPr>
        <w:t>3071.47</w:t>
      </w:r>
      <w:r>
        <w:rPr>
          <w:rFonts w:hint="eastAsia" w:ascii="仿宋" w:hAnsi="仿宋" w:eastAsia="仿宋"/>
          <w:sz w:val="32"/>
          <w:szCs w:val="32"/>
        </w:rPr>
        <w:t>万元，其中人员经费</w:t>
      </w:r>
      <w:r>
        <w:rPr>
          <w:rFonts w:ascii="仿宋" w:hAnsi="仿宋" w:eastAsia="仿宋"/>
          <w:sz w:val="32"/>
          <w:szCs w:val="32"/>
        </w:rPr>
        <w:t>1759.57</w:t>
      </w:r>
      <w:r>
        <w:rPr>
          <w:rFonts w:hint="eastAsia" w:ascii="仿宋" w:hAnsi="仿宋" w:eastAsia="仿宋"/>
          <w:sz w:val="32"/>
          <w:szCs w:val="32"/>
        </w:rPr>
        <w:t>万元，含工资福利性支出</w:t>
      </w:r>
      <w:r>
        <w:rPr>
          <w:rFonts w:ascii="仿宋" w:hAnsi="仿宋" w:eastAsia="仿宋"/>
          <w:sz w:val="32"/>
          <w:szCs w:val="32"/>
        </w:rPr>
        <w:t>943.63</w:t>
      </w:r>
      <w:r>
        <w:rPr>
          <w:rFonts w:hint="eastAsia" w:ascii="仿宋" w:hAnsi="仿宋" w:eastAsia="仿宋"/>
          <w:sz w:val="32"/>
          <w:szCs w:val="32"/>
        </w:rPr>
        <w:t>万元，对个人和家庭的补助</w:t>
      </w:r>
      <w:r>
        <w:rPr>
          <w:rFonts w:ascii="仿宋" w:hAnsi="仿宋" w:eastAsia="仿宋"/>
          <w:sz w:val="32"/>
          <w:szCs w:val="32"/>
        </w:rPr>
        <w:t>815.95</w:t>
      </w:r>
      <w:r>
        <w:rPr>
          <w:rFonts w:hint="eastAsia" w:ascii="仿宋" w:hAnsi="仿宋" w:eastAsia="仿宋"/>
          <w:sz w:val="32"/>
          <w:szCs w:val="32"/>
        </w:rPr>
        <w:t>万，公用经费支出</w:t>
      </w:r>
      <w:r>
        <w:rPr>
          <w:rFonts w:ascii="仿宋" w:hAnsi="仿宋" w:eastAsia="仿宋"/>
          <w:sz w:val="32"/>
          <w:szCs w:val="32"/>
        </w:rPr>
        <w:t>1311.9</w:t>
      </w:r>
      <w:r>
        <w:rPr>
          <w:rFonts w:hint="eastAsia" w:ascii="仿宋" w:hAnsi="仿宋" w:eastAsia="仿宋"/>
          <w:sz w:val="32"/>
          <w:szCs w:val="32"/>
        </w:rPr>
        <w:t>万元，包含办公费用类</w:t>
      </w:r>
      <w:r>
        <w:rPr>
          <w:rFonts w:ascii="仿宋" w:hAnsi="仿宋" w:eastAsia="仿宋"/>
          <w:sz w:val="32"/>
          <w:szCs w:val="32"/>
        </w:rPr>
        <w:t>108.9</w:t>
      </w:r>
      <w:r>
        <w:rPr>
          <w:rFonts w:hint="eastAsia" w:ascii="仿宋" w:hAnsi="仿宋" w:eastAsia="仿宋"/>
          <w:sz w:val="32"/>
          <w:szCs w:val="32"/>
        </w:rPr>
        <w:t>万元，公务接待费5.9</w:t>
      </w:r>
      <w:r>
        <w:rPr>
          <w:rFonts w:ascii="仿宋" w:hAnsi="仿宋" w:eastAsia="仿宋"/>
          <w:sz w:val="32"/>
          <w:szCs w:val="32"/>
        </w:rPr>
        <w:t>3</w:t>
      </w:r>
      <w:r>
        <w:rPr>
          <w:rFonts w:hint="eastAsia" w:ascii="仿宋" w:hAnsi="仿宋" w:eastAsia="仿宋"/>
          <w:sz w:val="32"/>
          <w:szCs w:val="32"/>
        </w:rPr>
        <w:t>万元，专用材料费</w:t>
      </w:r>
      <w:r>
        <w:rPr>
          <w:rFonts w:ascii="仿宋" w:hAnsi="仿宋" w:eastAsia="仿宋"/>
          <w:sz w:val="32"/>
          <w:szCs w:val="32"/>
        </w:rPr>
        <w:t>174.29</w:t>
      </w:r>
      <w:r>
        <w:rPr>
          <w:rFonts w:hint="eastAsia" w:ascii="仿宋" w:hAnsi="仿宋" w:eastAsia="仿宋"/>
          <w:sz w:val="32"/>
          <w:szCs w:val="32"/>
        </w:rPr>
        <w:t>万元，公务用车6.</w:t>
      </w:r>
      <w:r>
        <w:rPr>
          <w:rFonts w:ascii="仿宋" w:hAnsi="仿宋" w:eastAsia="仿宋"/>
          <w:sz w:val="32"/>
          <w:szCs w:val="32"/>
        </w:rPr>
        <w:t>2</w:t>
      </w:r>
      <w:r>
        <w:rPr>
          <w:rFonts w:hint="eastAsia" w:ascii="仿宋" w:hAnsi="仿宋" w:eastAsia="仿宋"/>
          <w:sz w:val="32"/>
          <w:szCs w:val="32"/>
        </w:rPr>
        <w:t>万元，劳务费</w:t>
      </w:r>
      <w:r>
        <w:rPr>
          <w:rFonts w:ascii="仿宋" w:hAnsi="仿宋" w:eastAsia="仿宋"/>
          <w:sz w:val="32"/>
          <w:szCs w:val="32"/>
        </w:rPr>
        <w:t>58.63</w:t>
      </w:r>
      <w:r>
        <w:rPr>
          <w:rFonts w:hint="eastAsia" w:ascii="仿宋" w:hAnsi="仿宋" w:eastAsia="仿宋"/>
          <w:sz w:val="32"/>
          <w:szCs w:val="32"/>
        </w:rPr>
        <w:t>万元，其他支出</w:t>
      </w:r>
      <w:r>
        <w:rPr>
          <w:rFonts w:ascii="仿宋" w:hAnsi="仿宋" w:eastAsia="仿宋"/>
          <w:sz w:val="32"/>
          <w:szCs w:val="32"/>
        </w:rPr>
        <w:t>957.95</w:t>
      </w:r>
      <w:r>
        <w:rPr>
          <w:rFonts w:hint="eastAsia" w:ascii="仿宋" w:hAnsi="仿宋" w:eastAsia="仿宋"/>
          <w:sz w:val="32"/>
          <w:szCs w:val="32"/>
        </w:rPr>
        <w:t>万元。</w:t>
      </w:r>
    </w:p>
    <w:p>
      <w:pPr>
        <w:spacing w:line="580" w:lineRule="exact"/>
        <w:ind w:firstLine="640" w:firstLineChars="200"/>
        <w:rPr>
          <w:rFonts w:hint="eastAsia" w:ascii="仿宋" w:hAnsi="仿宋" w:eastAsia="仿宋"/>
          <w:b/>
          <w:sz w:val="32"/>
          <w:szCs w:val="32"/>
        </w:rPr>
      </w:pPr>
      <w:r>
        <w:rPr>
          <w:rFonts w:hint="eastAsia" w:ascii="仿宋" w:hAnsi="仿宋" w:eastAsia="仿宋"/>
          <w:b/>
          <w:sz w:val="32"/>
          <w:szCs w:val="32"/>
        </w:rPr>
        <w:t>（二）项目支出情况。</w:t>
      </w:r>
    </w:p>
    <w:p>
      <w:pPr>
        <w:pStyle w:val="9"/>
        <w:widowControl w:val="0"/>
        <w:spacing w:before="0" w:beforeAutospacing="0" w:after="0" w:afterAutospacing="0" w:line="580" w:lineRule="exact"/>
        <w:ind w:firstLine="640" w:firstLineChars="200"/>
        <w:jc w:val="both"/>
        <w:rPr>
          <w:rFonts w:hint="eastAsia" w:ascii="仿宋" w:hAnsi="仿宋" w:eastAsia="仿宋"/>
          <w:sz w:val="32"/>
          <w:szCs w:val="32"/>
        </w:rPr>
      </w:pPr>
      <w:r>
        <w:rPr>
          <w:rFonts w:hint="eastAsia" w:ascii="仿宋" w:hAnsi="仿宋" w:eastAsia="仿宋"/>
          <w:sz w:val="32"/>
          <w:szCs w:val="32"/>
        </w:rPr>
        <w:t>项目支出是在基本支出之外为完成其特定的行政工作任务而发生的支出，主要用于业务工作专项、专项调研和课题研究、业务培训等专项工作。</w:t>
      </w:r>
    </w:p>
    <w:p>
      <w:pPr>
        <w:pStyle w:val="9"/>
        <w:widowControl w:val="0"/>
        <w:spacing w:before="0" w:beforeAutospacing="0" w:after="0" w:afterAutospacing="0" w:line="580" w:lineRule="exact"/>
        <w:ind w:firstLine="640" w:firstLineChars="200"/>
        <w:jc w:val="both"/>
        <w:rPr>
          <w:rFonts w:hint="eastAsia" w:ascii="仿宋" w:hAnsi="仿宋" w:eastAsia="仿宋"/>
          <w:sz w:val="32"/>
          <w:szCs w:val="32"/>
        </w:rPr>
      </w:pPr>
      <w:r>
        <w:rPr>
          <w:rFonts w:hint="eastAsia" w:ascii="仿宋" w:hAnsi="仿宋" w:eastAsia="仿宋"/>
          <w:sz w:val="32"/>
          <w:szCs w:val="32"/>
        </w:rPr>
        <w:t>202</w:t>
      </w:r>
      <w:r>
        <w:rPr>
          <w:rFonts w:ascii="仿宋" w:hAnsi="仿宋" w:eastAsia="仿宋"/>
          <w:sz w:val="32"/>
          <w:szCs w:val="32"/>
        </w:rPr>
        <w:t>1</w:t>
      </w:r>
      <w:r>
        <w:rPr>
          <w:rFonts w:hint="eastAsia" w:ascii="仿宋" w:hAnsi="仿宋" w:eastAsia="仿宋"/>
          <w:sz w:val="32"/>
          <w:szCs w:val="32"/>
        </w:rPr>
        <w:t>年决算的专项项目支出为</w:t>
      </w:r>
      <w:r>
        <w:rPr>
          <w:rFonts w:ascii="仿宋" w:hAnsi="仿宋" w:eastAsia="仿宋"/>
          <w:sz w:val="32"/>
          <w:szCs w:val="32"/>
        </w:rPr>
        <w:t>28784.41</w:t>
      </w:r>
      <w:r>
        <w:rPr>
          <w:rFonts w:hint="eastAsia" w:ascii="仿宋" w:hAnsi="仿宋" w:eastAsia="仿宋"/>
          <w:sz w:val="32"/>
          <w:szCs w:val="32"/>
        </w:rPr>
        <w:t>万元，其中：商品和服务支出3</w:t>
      </w:r>
      <w:r>
        <w:rPr>
          <w:rFonts w:ascii="仿宋" w:hAnsi="仿宋" w:eastAsia="仿宋"/>
          <w:sz w:val="32"/>
          <w:szCs w:val="32"/>
        </w:rPr>
        <w:t>02.2</w:t>
      </w:r>
      <w:r>
        <w:rPr>
          <w:rFonts w:hint="eastAsia" w:ascii="仿宋" w:hAnsi="仿宋" w:eastAsia="仿宋"/>
          <w:sz w:val="32"/>
          <w:szCs w:val="32"/>
        </w:rPr>
        <w:t>万元，对个人和家庭的补助</w:t>
      </w:r>
      <w:r>
        <w:rPr>
          <w:rFonts w:ascii="仿宋" w:hAnsi="仿宋" w:eastAsia="仿宋"/>
          <w:sz w:val="32"/>
          <w:szCs w:val="32"/>
        </w:rPr>
        <w:t>2275.61</w:t>
      </w:r>
      <w:r>
        <w:rPr>
          <w:rFonts w:hint="eastAsia" w:ascii="仿宋" w:hAnsi="仿宋" w:eastAsia="仿宋"/>
          <w:sz w:val="32"/>
          <w:szCs w:val="32"/>
        </w:rPr>
        <w:t>万元、基本建设性支出</w:t>
      </w:r>
      <w:r>
        <w:rPr>
          <w:rFonts w:ascii="仿宋" w:hAnsi="仿宋" w:eastAsia="仿宋"/>
          <w:sz w:val="32"/>
          <w:szCs w:val="32"/>
        </w:rPr>
        <w:t>20742.85</w:t>
      </w:r>
      <w:r>
        <w:rPr>
          <w:rFonts w:hint="eastAsia" w:ascii="仿宋" w:hAnsi="仿宋" w:eastAsia="仿宋"/>
          <w:sz w:val="32"/>
          <w:szCs w:val="32"/>
        </w:rPr>
        <w:t>万元，对企业补助</w:t>
      </w:r>
      <w:r>
        <w:rPr>
          <w:rFonts w:ascii="仿宋" w:hAnsi="仿宋" w:eastAsia="仿宋"/>
          <w:sz w:val="32"/>
          <w:szCs w:val="32"/>
        </w:rPr>
        <w:t>5463.75</w:t>
      </w:r>
      <w:r>
        <w:rPr>
          <w:rFonts w:hint="eastAsia" w:ascii="仿宋" w:hAnsi="仿宋" w:eastAsia="仿宋"/>
          <w:sz w:val="32"/>
          <w:szCs w:val="32"/>
        </w:rPr>
        <w:t>万元。</w:t>
      </w:r>
    </w:p>
    <w:p>
      <w:pPr>
        <w:spacing w:line="580" w:lineRule="exact"/>
        <w:ind w:firstLine="640" w:firstLineChars="200"/>
        <w:rPr>
          <w:rFonts w:hint="eastAsia" w:ascii="仿宋" w:hAnsi="仿宋" w:eastAsia="仿宋"/>
          <w:b/>
          <w:sz w:val="32"/>
          <w:szCs w:val="32"/>
        </w:rPr>
      </w:pPr>
      <w:r>
        <w:rPr>
          <w:rFonts w:hint="eastAsia" w:ascii="仿宋" w:hAnsi="仿宋" w:eastAsia="仿宋"/>
          <w:b/>
          <w:sz w:val="32"/>
          <w:szCs w:val="32"/>
        </w:rPr>
        <w:t>（三）“三公”经费情况。</w:t>
      </w:r>
    </w:p>
    <w:p>
      <w:pPr>
        <w:pStyle w:val="9"/>
        <w:widowControl w:val="0"/>
        <w:spacing w:before="0" w:beforeAutospacing="0" w:after="0" w:afterAutospacing="0" w:line="580" w:lineRule="exact"/>
        <w:ind w:firstLine="640" w:firstLineChars="200"/>
        <w:jc w:val="both"/>
        <w:rPr>
          <w:rFonts w:hint="eastAsia" w:ascii="仿宋" w:hAnsi="仿宋" w:eastAsia="仿宋"/>
          <w:sz w:val="32"/>
          <w:szCs w:val="32"/>
        </w:rPr>
      </w:pPr>
      <w:r>
        <w:rPr>
          <w:rFonts w:hint="eastAsia" w:ascii="仿宋" w:hAnsi="仿宋" w:eastAsia="仿宋"/>
          <w:sz w:val="32"/>
          <w:szCs w:val="32"/>
        </w:rPr>
        <w:t>全年“三公”经费12.</w:t>
      </w:r>
      <w:r>
        <w:rPr>
          <w:rFonts w:ascii="仿宋" w:hAnsi="仿宋" w:eastAsia="仿宋"/>
          <w:sz w:val="32"/>
          <w:szCs w:val="32"/>
        </w:rPr>
        <w:t>13</w:t>
      </w:r>
      <w:r>
        <w:rPr>
          <w:rFonts w:hint="eastAsia" w:ascii="仿宋" w:hAnsi="仿宋" w:eastAsia="仿宋"/>
          <w:sz w:val="32"/>
          <w:szCs w:val="32"/>
        </w:rPr>
        <w:t>万元，其中公务接待费</w:t>
      </w:r>
      <w:r>
        <w:rPr>
          <w:rFonts w:ascii="仿宋" w:hAnsi="仿宋" w:eastAsia="仿宋"/>
          <w:sz w:val="32"/>
          <w:szCs w:val="32"/>
        </w:rPr>
        <w:t>5.93</w:t>
      </w:r>
      <w:r>
        <w:rPr>
          <w:rFonts w:hint="eastAsia" w:ascii="仿宋" w:hAnsi="仿宋" w:eastAsia="仿宋"/>
          <w:sz w:val="32"/>
          <w:szCs w:val="32"/>
        </w:rPr>
        <w:t>万元,公务用车运行费6.3万元。较20</w:t>
      </w:r>
      <w:r>
        <w:rPr>
          <w:rFonts w:ascii="仿宋" w:hAnsi="仿宋" w:eastAsia="仿宋"/>
          <w:sz w:val="32"/>
          <w:szCs w:val="32"/>
        </w:rPr>
        <w:t>20</w:t>
      </w:r>
      <w:r>
        <w:rPr>
          <w:rFonts w:hint="eastAsia" w:ascii="仿宋" w:hAnsi="仿宋" w:eastAsia="仿宋"/>
          <w:sz w:val="32"/>
          <w:szCs w:val="32"/>
        </w:rPr>
        <w:t>年</w:t>
      </w:r>
      <w:r>
        <w:rPr>
          <w:rFonts w:ascii="仿宋" w:hAnsi="仿宋" w:eastAsia="仿宋"/>
          <w:sz w:val="32"/>
          <w:szCs w:val="32"/>
        </w:rPr>
        <w:t>12.28</w:t>
      </w:r>
      <w:r>
        <w:rPr>
          <w:rFonts w:hint="eastAsia" w:ascii="仿宋" w:hAnsi="仿宋" w:eastAsia="仿宋"/>
          <w:sz w:val="32"/>
          <w:szCs w:val="32"/>
        </w:rPr>
        <w:t>万元总额减少</w:t>
      </w:r>
      <w:r>
        <w:rPr>
          <w:rFonts w:ascii="仿宋" w:hAnsi="仿宋" w:eastAsia="仿宋"/>
          <w:sz w:val="32"/>
          <w:szCs w:val="32"/>
        </w:rPr>
        <w:t>0.15</w:t>
      </w:r>
      <w:r>
        <w:rPr>
          <w:rFonts w:hint="eastAsia" w:ascii="仿宋" w:hAnsi="仿宋" w:eastAsia="仿宋"/>
          <w:sz w:val="32"/>
          <w:szCs w:val="32"/>
        </w:rPr>
        <w:t>万元；具体情况如下：</w:t>
      </w:r>
    </w:p>
    <w:p>
      <w:pPr>
        <w:pStyle w:val="9"/>
        <w:widowControl w:val="0"/>
        <w:spacing w:before="0" w:beforeAutospacing="0" w:after="0" w:afterAutospacing="0" w:line="580" w:lineRule="exact"/>
        <w:ind w:firstLine="640" w:firstLineChars="200"/>
        <w:jc w:val="both"/>
        <w:rPr>
          <w:rFonts w:ascii="仿宋" w:hAnsi="仿宋" w:eastAsia="仿宋"/>
          <w:sz w:val="32"/>
          <w:szCs w:val="32"/>
        </w:rPr>
      </w:pPr>
      <w:r>
        <w:rPr>
          <w:rFonts w:hint="eastAsia" w:ascii="仿宋" w:hAnsi="仿宋" w:eastAsia="仿宋"/>
          <w:sz w:val="32"/>
          <w:szCs w:val="32"/>
        </w:rPr>
        <w:t>（1）公务接待费。全年决算支出公务接待费5.9</w:t>
      </w:r>
      <w:r>
        <w:rPr>
          <w:rFonts w:ascii="仿宋" w:hAnsi="仿宋" w:eastAsia="仿宋"/>
          <w:sz w:val="32"/>
          <w:szCs w:val="32"/>
        </w:rPr>
        <w:t>3</w:t>
      </w:r>
      <w:r>
        <w:rPr>
          <w:rFonts w:hint="eastAsia" w:ascii="仿宋" w:hAnsi="仿宋" w:eastAsia="仿宋"/>
          <w:sz w:val="32"/>
          <w:szCs w:val="32"/>
        </w:rPr>
        <w:t>万元，比上年度公务接待费</w:t>
      </w:r>
      <w:r>
        <w:rPr>
          <w:rFonts w:ascii="仿宋" w:hAnsi="仿宋" w:eastAsia="仿宋"/>
          <w:sz w:val="32"/>
          <w:szCs w:val="32"/>
        </w:rPr>
        <w:t>5.98</w:t>
      </w:r>
      <w:r>
        <w:rPr>
          <w:rFonts w:hint="eastAsia" w:ascii="仿宋" w:hAnsi="仿宋" w:eastAsia="仿宋"/>
          <w:sz w:val="32"/>
          <w:szCs w:val="32"/>
        </w:rPr>
        <w:t>万元减少了</w:t>
      </w:r>
      <w:r>
        <w:rPr>
          <w:rFonts w:ascii="仿宋" w:hAnsi="仿宋" w:eastAsia="仿宋"/>
          <w:sz w:val="32"/>
          <w:szCs w:val="32"/>
        </w:rPr>
        <w:t>0.05</w:t>
      </w:r>
      <w:r>
        <w:rPr>
          <w:rFonts w:hint="eastAsia" w:ascii="仿宋" w:hAnsi="仿宋" w:eastAsia="仿宋"/>
          <w:sz w:val="32"/>
          <w:szCs w:val="32"/>
        </w:rPr>
        <w:t>万元，降低了</w:t>
      </w:r>
      <w:r>
        <w:rPr>
          <w:rFonts w:ascii="仿宋" w:hAnsi="仿宋" w:eastAsia="仿宋"/>
          <w:sz w:val="32"/>
          <w:szCs w:val="32"/>
        </w:rPr>
        <w:t>0.84</w:t>
      </w:r>
      <w:r>
        <w:rPr>
          <w:rFonts w:hint="eastAsia" w:ascii="仿宋" w:hAnsi="仿宋" w:eastAsia="仿宋"/>
          <w:sz w:val="32"/>
          <w:szCs w:val="32"/>
        </w:rPr>
        <w:t>%。基本和上年持平，</w:t>
      </w:r>
    </w:p>
    <w:p>
      <w:pPr>
        <w:pStyle w:val="9"/>
        <w:widowControl w:val="0"/>
        <w:spacing w:before="0" w:beforeAutospacing="0" w:after="0" w:afterAutospacing="0" w:line="580" w:lineRule="exact"/>
        <w:ind w:firstLine="640" w:firstLineChars="200"/>
        <w:jc w:val="both"/>
        <w:rPr>
          <w:rFonts w:ascii="仿宋" w:hAnsi="仿宋" w:eastAsia="仿宋"/>
          <w:sz w:val="32"/>
          <w:szCs w:val="32"/>
        </w:rPr>
      </w:pPr>
      <w:r>
        <w:rPr>
          <w:rFonts w:hint="eastAsia" w:ascii="仿宋" w:hAnsi="仿宋" w:eastAsia="仿宋"/>
          <w:sz w:val="32"/>
          <w:szCs w:val="32"/>
        </w:rPr>
        <w:t>（2）公务用车购置及运行费。全年公务用车购置及运行费为6.</w:t>
      </w:r>
      <w:r>
        <w:rPr>
          <w:rFonts w:ascii="仿宋" w:hAnsi="仿宋" w:eastAsia="仿宋"/>
          <w:sz w:val="32"/>
          <w:szCs w:val="32"/>
        </w:rPr>
        <w:t>2</w:t>
      </w:r>
      <w:r>
        <w:rPr>
          <w:rFonts w:hint="eastAsia" w:ascii="仿宋" w:hAnsi="仿宋" w:eastAsia="仿宋"/>
          <w:sz w:val="32"/>
          <w:szCs w:val="32"/>
        </w:rPr>
        <w:t>万元，比上年度</w:t>
      </w:r>
      <w:r>
        <w:rPr>
          <w:rFonts w:ascii="仿宋" w:hAnsi="仿宋" w:eastAsia="仿宋"/>
          <w:sz w:val="32"/>
          <w:szCs w:val="32"/>
        </w:rPr>
        <w:t>6.3</w:t>
      </w:r>
      <w:r>
        <w:rPr>
          <w:rFonts w:hint="eastAsia" w:ascii="仿宋" w:hAnsi="仿宋" w:eastAsia="仿宋"/>
          <w:sz w:val="32"/>
          <w:szCs w:val="32"/>
        </w:rPr>
        <w:t>万元减少了</w:t>
      </w:r>
      <w:r>
        <w:rPr>
          <w:rFonts w:ascii="仿宋" w:hAnsi="仿宋" w:eastAsia="仿宋"/>
          <w:sz w:val="32"/>
          <w:szCs w:val="32"/>
        </w:rPr>
        <w:t>0.1</w:t>
      </w:r>
      <w:r>
        <w:rPr>
          <w:rFonts w:hint="eastAsia" w:ascii="仿宋" w:hAnsi="仿宋" w:eastAsia="仿宋"/>
          <w:sz w:val="32"/>
          <w:szCs w:val="32"/>
        </w:rPr>
        <w:t>7万元，下降</w:t>
      </w:r>
      <w:r>
        <w:rPr>
          <w:rFonts w:ascii="仿宋" w:hAnsi="仿宋" w:eastAsia="仿宋"/>
          <w:sz w:val="32"/>
          <w:szCs w:val="32"/>
        </w:rPr>
        <w:t>1.6</w:t>
      </w:r>
      <w:r>
        <w:rPr>
          <w:rFonts w:hint="eastAsia" w:ascii="仿宋" w:hAnsi="仿宋" w:eastAsia="仿宋"/>
          <w:sz w:val="32"/>
          <w:szCs w:val="32"/>
        </w:rPr>
        <w:t>%，基本持平</w:t>
      </w:r>
    </w:p>
    <w:p>
      <w:pPr>
        <w:pStyle w:val="9"/>
        <w:widowControl w:val="0"/>
        <w:spacing w:before="0" w:beforeAutospacing="0" w:after="0" w:afterAutospacing="0" w:line="580" w:lineRule="exact"/>
        <w:ind w:firstLine="640" w:firstLineChars="200"/>
        <w:jc w:val="both"/>
        <w:rPr>
          <w:rFonts w:hint="eastAsia" w:ascii="仿宋" w:hAnsi="仿宋" w:eastAsia="仿宋"/>
          <w:sz w:val="32"/>
          <w:szCs w:val="32"/>
        </w:rPr>
      </w:pPr>
      <w:r>
        <w:rPr>
          <w:rFonts w:hint="eastAsia" w:ascii="仿宋" w:hAnsi="仿宋" w:eastAsia="仿宋"/>
          <w:sz w:val="32"/>
          <w:szCs w:val="32"/>
        </w:rPr>
        <w:t>三、绩效评级工作实施情况</w:t>
      </w:r>
    </w:p>
    <w:p>
      <w:pPr>
        <w:widowControl/>
        <w:spacing w:line="640" w:lineRule="exact"/>
        <w:ind w:firstLine="640" w:firstLineChars="200"/>
        <w:rPr>
          <w:rFonts w:hint="eastAsia" w:ascii="仿宋" w:hAnsi="仿宋" w:eastAsia="仿宋" w:cs="宋体"/>
          <w:color w:val="000000"/>
          <w:kern w:val="0"/>
          <w:sz w:val="32"/>
          <w:szCs w:val="32"/>
        </w:rPr>
      </w:pPr>
      <w:r>
        <w:rPr>
          <w:rFonts w:hint="eastAsia" w:ascii="仿宋" w:hAnsi="仿宋" w:eastAsia="仿宋"/>
          <w:kern w:val="0"/>
          <w:sz w:val="32"/>
          <w:szCs w:val="32"/>
        </w:rPr>
        <w:t>根据《</w:t>
      </w:r>
      <w:r>
        <w:rPr>
          <w:rFonts w:hint="eastAsia" w:ascii="仿宋" w:hAnsi="仿宋" w:eastAsia="仿宋" w:cs="宋体"/>
          <w:color w:val="000000"/>
          <w:kern w:val="0"/>
          <w:sz w:val="32"/>
          <w:szCs w:val="32"/>
        </w:rPr>
        <w:t>溆浦县财政局关于开展2021年度部门整体支出绩效评价工作的通知&gt;</w:t>
      </w:r>
      <w:r>
        <w:rPr>
          <w:rFonts w:hint="eastAsia" w:ascii="仿宋" w:hAnsi="仿宋" w:eastAsia="仿宋"/>
          <w:sz w:val="32"/>
          <w:szCs w:val="32"/>
        </w:rPr>
        <w:t>（溆财绩函[2022]12号文件规定</w:t>
      </w:r>
      <w:r>
        <w:rPr>
          <w:rFonts w:hint="eastAsia" w:ascii="仿宋" w:hAnsi="仿宋" w:eastAsia="仿宋"/>
          <w:kern w:val="0"/>
          <w:sz w:val="32"/>
          <w:szCs w:val="32"/>
        </w:rPr>
        <w:t>，我局成立了绩效评价工作领导小组，负责绩效评价工作的组织领导和具体实施。评价小组通过检查基本支出、项目支出有关账目，收集整理支出相关资料，对单位的预算执行情况、预算管理、职责履行、履职效益、基本支出、项目支出、机构编制和厉行节约保障措施等方面的执行情况进行了分析自评，形成评价结论。</w:t>
      </w:r>
    </w:p>
    <w:p>
      <w:pPr>
        <w:pStyle w:val="9"/>
        <w:widowControl w:val="0"/>
        <w:spacing w:before="0" w:beforeAutospacing="0" w:after="0" w:afterAutospacing="0" w:line="580" w:lineRule="exact"/>
        <w:ind w:firstLine="640" w:firstLineChars="200"/>
        <w:jc w:val="both"/>
        <w:rPr>
          <w:rFonts w:hint="eastAsia" w:ascii="仿宋" w:hAnsi="仿宋" w:eastAsia="仿宋"/>
          <w:sz w:val="32"/>
          <w:szCs w:val="32"/>
        </w:rPr>
      </w:pPr>
      <w:r>
        <w:rPr>
          <w:rFonts w:hint="eastAsia" w:ascii="仿宋" w:hAnsi="仿宋" w:eastAsia="仿宋"/>
          <w:sz w:val="32"/>
          <w:szCs w:val="32"/>
        </w:rPr>
        <w:t>四、资产管理情况</w:t>
      </w:r>
    </w:p>
    <w:p>
      <w:pPr>
        <w:pStyle w:val="9"/>
        <w:widowControl w:val="0"/>
        <w:spacing w:before="0" w:beforeAutospacing="0" w:after="0" w:afterAutospacing="0" w:line="580" w:lineRule="exact"/>
        <w:ind w:firstLine="640" w:firstLineChars="200"/>
        <w:jc w:val="both"/>
        <w:rPr>
          <w:rFonts w:hint="eastAsia" w:ascii="仿宋" w:hAnsi="仿宋" w:eastAsia="仿宋"/>
          <w:sz w:val="32"/>
          <w:szCs w:val="32"/>
        </w:rPr>
      </w:pPr>
      <w:r>
        <w:rPr>
          <w:rFonts w:hint="eastAsia" w:ascii="仿宋" w:hAnsi="仿宋" w:eastAsia="仿宋"/>
          <w:sz w:val="32"/>
          <w:szCs w:val="32"/>
        </w:rPr>
        <w:t>1、管理制度完善性，我局根据上级文件精神和单位实际情况，制定了固定资产管理制度和资金管理制度。</w:t>
      </w:r>
    </w:p>
    <w:p>
      <w:pPr>
        <w:pStyle w:val="9"/>
        <w:widowControl w:val="0"/>
        <w:spacing w:before="0" w:beforeAutospacing="0" w:after="0" w:afterAutospacing="0" w:line="580" w:lineRule="exact"/>
        <w:ind w:firstLine="640" w:firstLineChars="200"/>
        <w:jc w:val="both"/>
        <w:rPr>
          <w:rFonts w:hint="eastAsia" w:ascii="仿宋" w:hAnsi="仿宋" w:eastAsia="仿宋"/>
          <w:sz w:val="32"/>
          <w:szCs w:val="32"/>
        </w:rPr>
      </w:pPr>
      <w:r>
        <w:rPr>
          <w:rFonts w:hint="eastAsia" w:ascii="仿宋" w:hAnsi="仿宋" w:eastAsia="仿宋"/>
          <w:sz w:val="32"/>
          <w:szCs w:val="32"/>
        </w:rPr>
        <w:t>2、资产管理安全性，我局在日常工作中，严格按照规章制度执行资产管理制度，保证资产完整，使用合规。</w:t>
      </w:r>
    </w:p>
    <w:p>
      <w:pPr>
        <w:pStyle w:val="9"/>
        <w:widowControl w:val="0"/>
        <w:spacing w:before="0" w:beforeAutospacing="0" w:after="0" w:afterAutospacing="0" w:line="580" w:lineRule="exact"/>
        <w:ind w:firstLine="640" w:firstLineChars="200"/>
        <w:jc w:val="both"/>
        <w:rPr>
          <w:rFonts w:hint="eastAsia" w:ascii="仿宋" w:hAnsi="仿宋" w:eastAsia="仿宋"/>
          <w:sz w:val="32"/>
          <w:szCs w:val="32"/>
        </w:rPr>
      </w:pPr>
      <w:r>
        <w:rPr>
          <w:rFonts w:hint="eastAsia" w:ascii="仿宋" w:hAnsi="仿宋" w:eastAsia="仿宋"/>
          <w:sz w:val="32"/>
          <w:szCs w:val="32"/>
        </w:rPr>
        <w:t>3、固定资产利用率，我局固定资产总额</w:t>
      </w:r>
      <w:r>
        <w:rPr>
          <w:rFonts w:ascii="仿宋" w:hAnsi="仿宋" w:eastAsia="仿宋"/>
          <w:sz w:val="32"/>
          <w:szCs w:val="32"/>
        </w:rPr>
        <w:t>1532.46</w:t>
      </w:r>
      <w:r>
        <w:rPr>
          <w:rFonts w:hint="eastAsia" w:ascii="仿宋" w:hAnsi="仿宋" w:eastAsia="仿宋"/>
          <w:sz w:val="32"/>
          <w:szCs w:val="32"/>
        </w:rPr>
        <w:t>万元，实际在用固定资产总额</w:t>
      </w:r>
      <w:r>
        <w:rPr>
          <w:rFonts w:ascii="仿宋" w:hAnsi="仿宋" w:eastAsia="仿宋"/>
          <w:sz w:val="32"/>
          <w:szCs w:val="32"/>
        </w:rPr>
        <w:t>1532.46</w:t>
      </w:r>
      <w:r>
        <w:rPr>
          <w:rFonts w:hint="eastAsia" w:ascii="仿宋" w:hAnsi="仿宋" w:eastAsia="仿宋"/>
          <w:sz w:val="32"/>
          <w:szCs w:val="32"/>
        </w:rPr>
        <w:t>元，利用率100%。</w:t>
      </w:r>
    </w:p>
    <w:p>
      <w:pPr>
        <w:pStyle w:val="9"/>
        <w:widowControl w:val="0"/>
        <w:spacing w:before="0" w:beforeAutospacing="0" w:after="0" w:afterAutospacing="0" w:line="580" w:lineRule="exact"/>
        <w:ind w:firstLine="640" w:firstLineChars="200"/>
        <w:jc w:val="both"/>
        <w:rPr>
          <w:rFonts w:hint="eastAsia" w:ascii="仿宋" w:hAnsi="仿宋" w:eastAsia="仿宋"/>
          <w:sz w:val="32"/>
          <w:szCs w:val="32"/>
        </w:rPr>
      </w:pPr>
      <w:r>
        <w:rPr>
          <w:rFonts w:hint="eastAsia" w:ascii="仿宋" w:hAnsi="仿宋" w:eastAsia="仿宋"/>
          <w:sz w:val="32"/>
          <w:szCs w:val="32"/>
        </w:rPr>
        <w:t>五、部门整体支出绩效情况</w:t>
      </w:r>
    </w:p>
    <w:p>
      <w:pPr>
        <w:pStyle w:val="9"/>
        <w:widowControl w:val="0"/>
        <w:spacing w:before="0" w:beforeAutospacing="0" w:after="0" w:afterAutospacing="0" w:line="580" w:lineRule="exact"/>
        <w:ind w:firstLine="640" w:firstLineChars="200"/>
        <w:jc w:val="both"/>
        <w:rPr>
          <w:rFonts w:hint="eastAsia" w:ascii="仿宋" w:hAnsi="仿宋" w:eastAsia="仿宋"/>
          <w:sz w:val="32"/>
          <w:szCs w:val="32"/>
        </w:rPr>
      </w:pPr>
      <w:r>
        <w:rPr>
          <w:rFonts w:hint="eastAsia" w:ascii="仿宋" w:hAnsi="仿宋" w:eastAsia="仿宋"/>
          <w:sz w:val="32"/>
          <w:szCs w:val="32"/>
        </w:rPr>
        <w:t>202</w:t>
      </w:r>
      <w:r>
        <w:rPr>
          <w:rFonts w:ascii="仿宋" w:hAnsi="仿宋" w:eastAsia="仿宋"/>
          <w:sz w:val="32"/>
          <w:szCs w:val="32"/>
        </w:rPr>
        <w:t>1</w:t>
      </w:r>
      <w:r>
        <w:rPr>
          <w:rFonts w:hint="eastAsia" w:ascii="仿宋" w:hAnsi="仿宋" w:eastAsia="仿宋"/>
          <w:sz w:val="32"/>
          <w:szCs w:val="32"/>
        </w:rPr>
        <w:t>年，我局根据年初工作计划及重点推进农业项目工作，结合我县三农工作环境，认真履行职责，较好地完成了年初确定的各项工作任务，根据《部门整体支出绩效评价指标》评分，得分9</w:t>
      </w:r>
      <w:r>
        <w:rPr>
          <w:rFonts w:ascii="仿宋" w:hAnsi="仿宋" w:eastAsia="仿宋"/>
          <w:sz w:val="32"/>
          <w:szCs w:val="32"/>
        </w:rPr>
        <w:t>0</w:t>
      </w:r>
      <w:r>
        <w:rPr>
          <w:rFonts w:hint="eastAsia" w:ascii="仿宋" w:hAnsi="仿宋" w:eastAsia="仿宋"/>
          <w:sz w:val="32"/>
          <w:szCs w:val="32"/>
        </w:rPr>
        <w:t>分（详见附表2），财政支出绩效为“优”。主要绩效如下：</w:t>
      </w:r>
    </w:p>
    <w:p>
      <w:pPr>
        <w:pStyle w:val="9"/>
        <w:widowControl w:val="0"/>
        <w:spacing w:before="0" w:beforeAutospacing="0" w:after="0" w:afterAutospacing="0" w:line="580" w:lineRule="exact"/>
        <w:ind w:firstLine="640" w:firstLineChars="200"/>
        <w:jc w:val="both"/>
        <w:rPr>
          <w:rFonts w:hint="eastAsia" w:ascii="仿宋" w:hAnsi="仿宋" w:eastAsia="仿宋"/>
          <w:sz w:val="32"/>
          <w:szCs w:val="32"/>
        </w:rPr>
      </w:pPr>
      <w:r>
        <w:rPr>
          <w:rFonts w:hint="eastAsia" w:ascii="仿宋" w:hAnsi="仿宋" w:eastAsia="仿宋"/>
          <w:b/>
          <w:sz w:val="32"/>
          <w:szCs w:val="32"/>
        </w:rPr>
        <w:t>（一）执行预算控制，厉行节约，实现预算收支平衡。</w:t>
      </w:r>
      <w:r>
        <w:rPr>
          <w:rFonts w:hint="eastAsia" w:ascii="仿宋" w:hAnsi="仿宋" w:eastAsia="仿宋"/>
          <w:sz w:val="32"/>
          <w:szCs w:val="32"/>
        </w:rPr>
        <w:t>坚持财务收支两条线的科学化管理方法，所有收入全部纳入部门预算，单位财务统一核算。所有支出遵循先有预算、后有支出的原则，有效杜绝了超预算或无预算安排支出。从经济性分析来看，</w:t>
      </w:r>
      <w:bookmarkStart w:id="2" w:name="_Hlk103959929"/>
      <w:r>
        <w:rPr>
          <w:rFonts w:hint="eastAsia" w:ascii="仿宋" w:hAnsi="仿宋" w:eastAsia="仿宋"/>
          <w:sz w:val="32"/>
          <w:szCs w:val="32"/>
        </w:rPr>
        <w:t>202</w:t>
      </w:r>
      <w:r>
        <w:rPr>
          <w:rFonts w:ascii="仿宋" w:hAnsi="仿宋" w:eastAsia="仿宋"/>
          <w:sz w:val="32"/>
          <w:szCs w:val="32"/>
        </w:rPr>
        <w:t>1</w:t>
      </w:r>
      <w:r>
        <w:rPr>
          <w:rFonts w:hint="eastAsia" w:ascii="仿宋" w:hAnsi="仿宋" w:eastAsia="仿宋"/>
          <w:sz w:val="32"/>
          <w:szCs w:val="32"/>
        </w:rPr>
        <w:t>年基本支出</w:t>
      </w:r>
      <w:r>
        <w:rPr>
          <w:rFonts w:ascii="仿宋" w:hAnsi="仿宋" w:eastAsia="仿宋"/>
          <w:sz w:val="32"/>
          <w:szCs w:val="32"/>
        </w:rPr>
        <w:t>3071.47</w:t>
      </w:r>
      <w:r>
        <w:rPr>
          <w:rFonts w:hint="eastAsia" w:ascii="仿宋" w:hAnsi="仿宋" w:eastAsia="仿宋"/>
          <w:sz w:val="32"/>
          <w:szCs w:val="32"/>
        </w:rPr>
        <w:t>万元，相对于20</w:t>
      </w:r>
      <w:r>
        <w:rPr>
          <w:rFonts w:ascii="仿宋" w:hAnsi="仿宋" w:eastAsia="仿宋"/>
          <w:sz w:val="32"/>
          <w:szCs w:val="32"/>
        </w:rPr>
        <w:t>20</w:t>
      </w:r>
      <w:r>
        <w:rPr>
          <w:rFonts w:hint="eastAsia" w:ascii="仿宋" w:hAnsi="仿宋" w:eastAsia="仿宋"/>
          <w:sz w:val="32"/>
          <w:szCs w:val="32"/>
        </w:rPr>
        <w:t>年支出</w:t>
      </w:r>
      <w:r>
        <w:rPr>
          <w:rFonts w:ascii="仿宋" w:hAnsi="仿宋" w:eastAsia="仿宋"/>
          <w:sz w:val="32"/>
          <w:szCs w:val="32"/>
        </w:rPr>
        <w:t>2411.39</w:t>
      </w:r>
      <w:r>
        <w:rPr>
          <w:rFonts w:hint="eastAsia" w:ascii="仿宋" w:hAnsi="仿宋" w:eastAsia="仿宋"/>
          <w:sz w:val="32"/>
          <w:szCs w:val="32"/>
        </w:rPr>
        <w:t>万元，202</w:t>
      </w:r>
      <w:r>
        <w:rPr>
          <w:rFonts w:ascii="仿宋" w:hAnsi="仿宋" w:eastAsia="仿宋"/>
          <w:sz w:val="32"/>
          <w:szCs w:val="32"/>
        </w:rPr>
        <w:t>1</w:t>
      </w:r>
      <w:r>
        <w:rPr>
          <w:rFonts w:hint="eastAsia" w:ascii="仿宋" w:hAnsi="仿宋" w:eastAsia="仿宋"/>
          <w:sz w:val="32"/>
          <w:szCs w:val="32"/>
        </w:rPr>
        <w:t>年增加支出</w:t>
      </w:r>
      <w:r>
        <w:rPr>
          <w:rFonts w:ascii="仿宋" w:hAnsi="仿宋" w:eastAsia="仿宋"/>
          <w:sz w:val="32"/>
          <w:szCs w:val="32"/>
        </w:rPr>
        <w:t>660.08</w:t>
      </w:r>
      <w:r>
        <w:rPr>
          <w:rFonts w:hint="eastAsia" w:ascii="仿宋" w:hAnsi="仿宋" w:eastAsia="仿宋"/>
          <w:sz w:val="32"/>
          <w:szCs w:val="32"/>
        </w:rPr>
        <w:t>万元，主要是工作业务范围增加，新增人居环境、禁捕退捕、宅基地审批、农业执法等工作，工作人员增加</w:t>
      </w:r>
      <w:r>
        <w:rPr>
          <w:rFonts w:ascii="仿宋" w:hAnsi="仿宋" w:eastAsia="仿宋"/>
          <w:sz w:val="32"/>
          <w:szCs w:val="32"/>
        </w:rPr>
        <w:t>14</w:t>
      </w:r>
      <w:r>
        <w:rPr>
          <w:rFonts w:hint="eastAsia" w:ascii="仿宋" w:hAnsi="仿宋" w:eastAsia="仿宋"/>
          <w:sz w:val="32"/>
          <w:szCs w:val="32"/>
        </w:rPr>
        <w:t>人，增加人员支出</w:t>
      </w:r>
      <w:r>
        <w:rPr>
          <w:rFonts w:ascii="仿宋" w:hAnsi="仿宋" w:eastAsia="仿宋"/>
          <w:sz w:val="32"/>
          <w:szCs w:val="32"/>
        </w:rPr>
        <w:t>147.02</w:t>
      </w:r>
      <w:r>
        <w:rPr>
          <w:rFonts w:hint="eastAsia" w:ascii="仿宋" w:hAnsi="仿宋" w:eastAsia="仿宋"/>
          <w:sz w:val="32"/>
          <w:szCs w:val="32"/>
        </w:rPr>
        <w:t>万元，商品服务支出减少7</w:t>
      </w:r>
      <w:r>
        <w:rPr>
          <w:rFonts w:ascii="仿宋" w:hAnsi="仿宋" w:eastAsia="仿宋"/>
          <w:sz w:val="32"/>
          <w:szCs w:val="32"/>
        </w:rPr>
        <w:t>0.97</w:t>
      </w:r>
      <w:r>
        <w:rPr>
          <w:rFonts w:hint="eastAsia" w:ascii="仿宋" w:hAnsi="仿宋" w:eastAsia="仿宋"/>
          <w:sz w:val="32"/>
          <w:szCs w:val="32"/>
        </w:rPr>
        <w:t>万元</w:t>
      </w:r>
      <w:bookmarkEnd w:id="2"/>
      <w:r>
        <w:rPr>
          <w:rFonts w:hint="eastAsia" w:ascii="仿宋" w:hAnsi="仿宋" w:eastAsia="仿宋"/>
          <w:sz w:val="32"/>
          <w:szCs w:val="32"/>
        </w:rPr>
        <w:t>,对个人和家庭补助支出增加5</w:t>
      </w:r>
      <w:r>
        <w:rPr>
          <w:rFonts w:ascii="仿宋" w:hAnsi="仿宋" w:eastAsia="仿宋"/>
          <w:sz w:val="32"/>
          <w:szCs w:val="32"/>
        </w:rPr>
        <w:t>84.04</w:t>
      </w:r>
      <w:r>
        <w:rPr>
          <w:rFonts w:hint="eastAsia" w:ascii="仿宋" w:hAnsi="仿宋" w:eastAsia="仿宋"/>
          <w:sz w:val="32"/>
          <w:szCs w:val="32"/>
        </w:rPr>
        <w:t>万元。</w:t>
      </w:r>
    </w:p>
    <w:p>
      <w:pPr>
        <w:spacing w:line="580" w:lineRule="exact"/>
        <w:ind w:firstLine="640" w:firstLineChars="200"/>
        <w:rPr>
          <w:rFonts w:hint="eastAsia" w:ascii="仿宋" w:hAnsi="仿宋" w:eastAsia="仿宋" w:cs="宋体"/>
          <w:b/>
          <w:kern w:val="0"/>
          <w:sz w:val="32"/>
          <w:szCs w:val="32"/>
        </w:rPr>
      </w:pPr>
      <w:r>
        <w:rPr>
          <w:rFonts w:hint="eastAsia" w:ascii="仿宋" w:hAnsi="仿宋" w:eastAsia="仿宋" w:cs="宋体"/>
          <w:b/>
          <w:kern w:val="0"/>
          <w:sz w:val="32"/>
          <w:szCs w:val="32"/>
        </w:rPr>
        <w:t>（二）履职尽责，完成全年工作任务。</w:t>
      </w:r>
    </w:p>
    <w:p>
      <w:pPr>
        <w:spacing w:line="610" w:lineRule="exact"/>
        <w:ind w:firstLine="627" w:firstLineChars="196"/>
        <w:rPr>
          <w:rFonts w:hint="eastAsia" w:ascii="仿宋" w:hAnsi="仿宋" w:eastAsia="仿宋" w:cs="仿宋"/>
          <w:sz w:val="32"/>
          <w:szCs w:val="32"/>
        </w:rPr>
      </w:pPr>
      <w:r>
        <w:rPr>
          <w:rFonts w:hint="eastAsia" w:ascii="仿宋" w:hAnsi="仿宋" w:eastAsia="仿宋" w:cs="仿宋"/>
          <w:sz w:val="32"/>
          <w:szCs w:val="32"/>
        </w:rPr>
        <w:t>一、主要指标完成情况</w:t>
      </w:r>
    </w:p>
    <w:p>
      <w:pPr>
        <w:spacing w:line="610" w:lineRule="exact"/>
        <w:ind w:firstLine="640" w:firstLineChars="200"/>
        <w:rPr>
          <w:rFonts w:hint="eastAsia" w:ascii="仿宋" w:hAnsi="仿宋" w:eastAsia="仿宋" w:cs="仿宋"/>
          <w:kern w:val="0"/>
          <w:sz w:val="32"/>
          <w:szCs w:val="32"/>
        </w:rPr>
      </w:pPr>
      <w:r>
        <w:rPr>
          <w:rFonts w:hint="eastAsia" w:ascii="仿宋" w:hAnsi="仿宋" w:eastAsia="仿宋"/>
          <w:bCs/>
          <w:color w:val="000000"/>
          <w:sz w:val="32"/>
          <w:szCs w:val="32"/>
        </w:rPr>
        <w:t>2021年全</w:t>
      </w:r>
      <w:r>
        <w:rPr>
          <w:rFonts w:hint="eastAsia" w:ascii="仿宋" w:hAnsi="仿宋" w:eastAsia="仿宋"/>
          <w:color w:val="000000"/>
          <w:sz w:val="32"/>
          <w:szCs w:val="32"/>
        </w:rPr>
        <w:t>县完成农林牧副渔总产值</w:t>
      </w:r>
      <w:r>
        <w:rPr>
          <w:rFonts w:ascii="仿宋" w:hAnsi="仿宋" w:eastAsia="仿宋"/>
          <w:color w:val="000000"/>
          <w:sz w:val="32"/>
          <w:szCs w:val="32"/>
        </w:rPr>
        <w:t>85.03</w:t>
      </w:r>
      <w:r>
        <w:rPr>
          <w:rFonts w:hint="eastAsia" w:ascii="仿宋" w:hAnsi="仿宋" w:eastAsia="仿宋"/>
          <w:color w:val="000000"/>
          <w:sz w:val="32"/>
          <w:szCs w:val="32"/>
        </w:rPr>
        <w:t>亿元，较</w:t>
      </w:r>
      <w:r>
        <w:rPr>
          <w:rFonts w:ascii="仿宋" w:hAnsi="仿宋" w:eastAsia="仿宋"/>
          <w:color w:val="000000"/>
          <w:sz w:val="32"/>
          <w:szCs w:val="32"/>
        </w:rPr>
        <w:t>2020</w:t>
      </w:r>
      <w:r>
        <w:rPr>
          <w:rFonts w:hint="eastAsia" w:ascii="仿宋" w:hAnsi="仿宋" w:eastAsia="仿宋"/>
          <w:color w:val="000000"/>
          <w:sz w:val="32"/>
          <w:szCs w:val="32"/>
        </w:rPr>
        <w:t>年增长</w:t>
      </w:r>
      <w:r>
        <w:rPr>
          <w:rFonts w:ascii="仿宋" w:hAnsi="仿宋" w:eastAsia="仿宋"/>
          <w:color w:val="000000"/>
          <w:sz w:val="32"/>
          <w:szCs w:val="32"/>
        </w:rPr>
        <w:t>11 %</w:t>
      </w:r>
      <w:r>
        <w:rPr>
          <w:rFonts w:hint="eastAsia" w:ascii="仿宋" w:hAnsi="仿宋" w:eastAsia="仿宋"/>
          <w:color w:val="000000"/>
          <w:sz w:val="32"/>
          <w:szCs w:val="32"/>
        </w:rPr>
        <w:t>，农村居民人均可支配收入15238元，较</w:t>
      </w:r>
      <w:r>
        <w:rPr>
          <w:rFonts w:ascii="仿宋" w:hAnsi="仿宋" w:eastAsia="仿宋"/>
          <w:color w:val="000000"/>
          <w:sz w:val="32"/>
          <w:szCs w:val="32"/>
        </w:rPr>
        <w:t>2020</w:t>
      </w:r>
      <w:r>
        <w:rPr>
          <w:rFonts w:hint="eastAsia" w:ascii="仿宋" w:hAnsi="仿宋" w:eastAsia="仿宋"/>
          <w:color w:val="000000"/>
          <w:sz w:val="32"/>
          <w:szCs w:val="32"/>
        </w:rPr>
        <w:t>年增长</w:t>
      </w:r>
      <w:r>
        <w:rPr>
          <w:rFonts w:ascii="仿宋" w:hAnsi="仿宋" w:eastAsia="仿宋"/>
          <w:color w:val="000000"/>
          <w:sz w:val="32"/>
          <w:szCs w:val="32"/>
        </w:rPr>
        <w:t>1</w:t>
      </w:r>
      <w:r>
        <w:rPr>
          <w:rFonts w:hint="eastAsia" w:ascii="仿宋" w:hAnsi="仿宋" w:eastAsia="仿宋"/>
          <w:color w:val="000000"/>
          <w:sz w:val="32"/>
          <w:szCs w:val="32"/>
        </w:rPr>
        <w:t>0.8</w:t>
      </w:r>
      <w:r>
        <w:rPr>
          <w:rFonts w:ascii="仿宋" w:hAnsi="仿宋" w:eastAsia="仿宋"/>
          <w:color w:val="000000"/>
          <w:sz w:val="32"/>
          <w:szCs w:val="32"/>
        </w:rPr>
        <w:t xml:space="preserve"> %</w:t>
      </w:r>
    </w:p>
    <w:p>
      <w:pPr>
        <w:spacing w:line="610" w:lineRule="exact"/>
        <w:ind w:firstLine="627" w:firstLineChars="196"/>
        <w:rPr>
          <w:rFonts w:ascii="仿宋" w:hAnsi="仿宋" w:eastAsia="仿宋" w:cs="仿宋"/>
          <w:sz w:val="32"/>
          <w:szCs w:val="32"/>
        </w:rPr>
      </w:pPr>
      <w:r>
        <w:rPr>
          <w:rFonts w:hint="eastAsia" w:ascii="仿宋" w:hAnsi="仿宋" w:eastAsia="仿宋" w:cs="仿宋"/>
          <w:sz w:val="32"/>
          <w:szCs w:val="32"/>
        </w:rPr>
        <w:t>二、所做的主要工作</w:t>
      </w:r>
    </w:p>
    <w:p>
      <w:pPr>
        <w:adjustRightInd w:val="0"/>
        <w:snapToGrid w:val="0"/>
        <w:spacing w:line="61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、稳定粮食生产面积,保障粮食产量。完成粮食播面</w:t>
      </w:r>
      <w:r>
        <w:rPr>
          <w:rFonts w:ascii="仿宋" w:hAnsi="仿宋" w:eastAsia="仿宋"/>
          <w:sz w:val="32"/>
          <w:szCs w:val="32"/>
        </w:rPr>
        <w:t>82.52</w:t>
      </w:r>
      <w:r>
        <w:rPr>
          <w:rFonts w:hint="eastAsia" w:ascii="仿宋" w:hAnsi="仿宋" w:eastAsia="仿宋"/>
          <w:sz w:val="32"/>
          <w:szCs w:val="32"/>
        </w:rPr>
        <w:t>万亩，其中优质稻</w:t>
      </w:r>
      <w:r>
        <w:rPr>
          <w:rFonts w:ascii="仿宋" w:hAnsi="仿宋" w:eastAsia="仿宋"/>
          <w:sz w:val="32"/>
          <w:szCs w:val="32"/>
        </w:rPr>
        <w:t>39</w:t>
      </w:r>
      <w:r>
        <w:rPr>
          <w:rFonts w:hint="eastAsia" w:ascii="仿宋" w:hAnsi="仿宋" w:eastAsia="仿宋"/>
          <w:sz w:val="32"/>
          <w:szCs w:val="32"/>
        </w:rPr>
        <w:t>万亩，恢复早稻面积</w:t>
      </w:r>
      <w:r>
        <w:rPr>
          <w:rFonts w:ascii="仿宋" w:hAnsi="仿宋" w:eastAsia="仿宋"/>
          <w:sz w:val="32"/>
          <w:szCs w:val="32"/>
        </w:rPr>
        <w:t>720</w:t>
      </w:r>
      <w:r>
        <w:rPr>
          <w:rFonts w:hint="eastAsia" w:ascii="仿宋" w:hAnsi="仿宋" w:eastAsia="仿宋"/>
          <w:sz w:val="32"/>
          <w:szCs w:val="32"/>
        </w:rPr>
        <w:t>亩、再生稻面积</w:t>
      </w:r>
      <w:r>
        <w:rPr>
          <w:rFonts w:ascii="仿宋" w:hAnsi="仿宋" w:eastAsia="仿宋"/>
          <w:sz w:val="32"/>
          <w:szCs w:val="32"/>
        </w:rPr>
        <w:t>4200</w:t>
      </w:r>
      <w:r>
        <w:rPr>
          <w:rFonts w:hint="eastAsia" w:ascii="仿宋" w:hAnsi="仿宋" w:eastAsia="仿宋"/>
          <w:sz w:val="32"/>
          <w:szCs w:val="32"/>
        </w:rPr>
        <w:t>亩，全年粮食总产</w:t>
      </w:r>
      <w:r>
        <w:rPr>
          <w:rFonts w:ascii="仿宋" w:hAnsi="仿宋" w:eastAsia="仿宋"/>
          <w:sz w:val="32"/>
          <w:szCs w:val="32"/>
        </w:rPr>
        <w:t>36.64</w:t>
      </w:r>
      <w:r>
        <w:rPr>
          <w:rFonts w:hint="eastAsia" w:ascii="仿宋" w:hAnsi="仿宋" w:eastAsia="仿宋"/>
          <w:sz w:val="32"/>
          <w:szCs w:val="32"/>
        </w:rPr>
        <w:t>万吨，播面和总产分别超年初任务</w:t>
      </w:r>
      <w:r>
        <w:rPr>
          <w:rFonts w:ascii="仿宋" w:hAnsi="仿宋" w:eastAsia="仿宋"/>
          <w:sz w:val="32"/>
          <w:szCs w:val="32"/>
        </w:rPr>
        <w:t>0.62</w:t>
      </w:r>
      <w:r>
        <w:rPr>
          <w:rFonts w:hint="eastAsia" w:ascii="仿宋" w:hAnsi="仿宋" w:eastAsia="仿宋"/>
          <w:sz w:val="32"/>
          <w:szCs w:val="32"/>
        </w:rPr>
        <w:t>万亩、</w:t>
      </w:r>
      <w:r>
        <w:rPr>
          <w:rFonts w:ascii="仿宋" w:hAnsi="仿宋" w:eastAsia="仿宋"/>
          <w:sz w:val="32"/>
          <w:szCs w:val="32"/>
        </w:rPr>
        <w:t>0.64</w:t>
      </w:r>
      <w:r>
        <w:rPr>
          <w:rFonts w:hint="eastAsia" w:ascii="仿宋" w:hAnsi="仿宋" w:eastAsia="仿宋"/>
          <w:sz w:val="32"/>
          <w:szCs w:val="32"/>
        </w:rPr>
        <w:t>万吨。</w:t>
      </w:r>
    </w:p>
    <w:p>
      <w:pPr>
        <w:autoSpaceDE w:val="0"/>
        <w:spacing w:line="610" w:lineRule="exact"/>
        <w:ind w:firstLine="640" w:firstLineChars="200"/>
        <w:rPr>
          <w:rFonts w:ascii="仿宋" w:hAnsi="仿宋" w:eastAsia="仿宋"/>
          <w:sz w:val="32"/>
          <w:szCs w:val="32"/>
        </w:rPr>
      </w:pPr>
      <w:r>
        <w:rPr>
          <w:rFonts w:hint="eastAsia" w:ascii="仿宋" w:hAnsi="仿宋" w:eastAsia="仿宋"/>
          <w:sz w:val="32"/>
          <w:szCs w:val="32"/>
        </w:rPr>
        <w:t>2、培育新型农业经营主体市级以上龙头企业</w:t>
      </w:r>
      <w:r>
        <w:rPr>
          <w:rFonts w:ascii="仿宋" w:hAnsi="仿宋" w:eastAsia="仿宋"/>
          <w:sz w:val="32"/>
          <w:szCs w:val="32"/>
        </w:rPr>
        <w:t>2</w:t>
      </w:r>
      <w:r>
        <w:rPr>
          <w:rFonts w:hint="eastAsia" w:ascii="仿宋" w:hAnsi="仿宋" w:eastAsia="仿宋"/>
          <w:sz w:val="32"/>
          <w:szCs w:val="32"/>
        </w:rPr>
        <w:t>家。积极发展六大“十亿产业”。新建柑橘基地</w:t>
      </w:r>
      <w:r>
        <w:rPr>
          <w:rFonts w:ascii="仿宋" w:hAnsi="仿宋" w:eastAsia="仿宋"/>
          <w:sz w:val="32"/>
          <w:szCs w:val="32"/>
        </w:rPr>
        <w:t>4000</w:t>
      </w:r>
      <w:r>
        <w:rPr>
          <w:rFonts w:hint="eastAsia" w:ascii="仿宋" w:hAnsi="仿宋" w:eastAsia="仿宋"/>
          <w:sz w:val="32"/>
          <w:szCs w:val="32"/>
        </w:rPr>
        <w:t>亩、品改</w:t>
      </w:r>
      <w:r>
        <w:rPr>
          <w:rFonts w:ascii="仿宋" w:hAnsi="仿宋" w:eastAsia="仿宋"/>
          <w:sz w:val="32"/>
          <w:szCs w:val="32"/>
        </w:rPr>
        <w:t>8200</w:t>
      </w:r>
      <w:r>
        <w:rPr>
          <w:rFonts w:hint="eastAsia" w:ascii="仿宋" w:hAnsi="仿宋" w:eastAsia="仿宋"/>
          <w:sz w:val="32"/>
          <w:szCs w:val="32"/>
        </w:rPr>
        <w:t>亩，柑橘面积发展到</w:t>
      </w:r>
      <w:r>
        <w:rPr>
          <w:rFonts w:ascii="仿宋" w:hAnsi="仿宋" w:eastAsia="仿宋"/>
          <w:sz w:val="32"/>
          <w:szCs w:val="32"/>
        </w:rPr>
        <w:t>20</w:t>
      </w:r>
      <w:r>
        <w:rPr>
          <w:rFonts w:hint="eastAsia" w:ascii="仿宋" w:hAnsi="仿宋" w:eastAsia="仿宋"/>
          <w:sz w:val="32"/>
          <w:szCs w:val="32"/>
        </w:rPr>
        <w:t>万亩。新建山银花、玉竹、黄精等中药材基地</w:t>
      </w:r>
      <w:r>
        <w:rPr>
          <w:rFonts w:ascii="仿宋" w:hAnsi="仿宋" w:eastAsia="仿宋"/>
          <w:sz w:val="32"/>
          <w:szCs w:val="32"/>
        </w:rPr>
        <w:t>8000</w:t>
      </w:r>
      <w:r>
        <w:rPr>
          <w:rFonts w:hint="eastAsia" w:ascii="仿宋" w:hAnsi="仿宋" w:eastAsia="仿宋"/>
          <w:sz w:val="32"/>
          <w:szCs w:val="32"/>
        </w:rPr>
        <w:t>亩，发展杂交水稻制种</w:t>
      </w:r>
      <w:r>
        <w:rPr>
          <w:rFonts w:ascii="仿宋" w:hAnsi="仿宋" w:eastAsia="仿宋"/>
          <w:sz w:val="32"/>
          <w:szCs w:val="32"/>
        </w:rPr>
        <w:t xml:space="preserve">3.135 </w:t>
      </w:r>
      <w:r>
        <w:rPr>
          <w:rFonts w:hint="eastAsia" w:ascii="仿宋" w:hAnsi="仿宋" w:eastAsia="仿宋"/>
          <w:sz w:val="32"/>
          <w:szCs w:val="32"/>
        </w:rPr>
        <w:t>万亩。</w:t>
      </w:r>
      <w:r>
        <w:rPr>
          <w:rFonts w:hint="eastAsia" w:ascii="仿宋" w:hAnsi="仿宋" w:eastAsia="仿宋" w:cs="仿宋_GB2312"/>
          <w:sz w:val="32"/>
          <w:szCs w:val="32"/>
        </w:rPr>
        <w:t>完成冬种油菜</w:t>
      </w:r>
      <w:r>
        <w:rPr>
          <w:rFonts w:ascii="仿宋" w:hAnsi="仿宋" w:eastAsia="仿宋" w:cs="仿宋_GB2312"/>
          <w:sz w:val="32"/>
          <w:szCs w:val="32"/>
        </w:rPr>
        <w:t>32</w:t>
      </w:r>
      <w:r>
        <w:rPr>
          <w:rFonts w:hint="eastAsia" w:ascii="仿宋" w:hAnsi="仿宋" w:eastAsia="仿宋" w:cs="仿宋_GB2312"/>
          <w:sz w:val="32"/>
          <w:szCs w:val="32"/>
        </w:rPr>
        <w:t>万亩，绿肥</w:t>
      </w:r>
      <w:r>
        <w:rPr>
          <w:rFonts w:ascii="仿宋" w:hAnsi="仿宋" w:eastAsia="仿宋" w:cs="仿宋_GB2312"/>
          <w:sz w:val="32"/>
          <w:szCs w:val="32"/>
        </w:rPr>
        <w:t>16</w:t>
      </w:r>
      <w:r>
        <w:rPr>
          <w:rFonts w:hint="eastAsia" w:ascii="仿宋" w:hAnsi="仿宋" w:eastAsia="仿宋" w:cs="仿宋_GB2312"/>
          <w:sz w:val="32"/>
          <w:szCs w:val="32"/>
        </w:rPr>
        <w:t>万亩，蔬菜</w:t>
      </w:r>
      <w:r>
        <w:rPr>
          <w:rFonts w:ascii="仿宋" w:hAnsi="仿宋" w:eastAsia="仿宋" w:cs="仿宋_GB2312"/>
          <w:sz w:val="32"/>
          <w:szCs w:val="32"/>
        </w:rPr>
        <w:t>7.4</w:t>
      </w:r>
      <w:r>
        <w:rPr>
          <w:rFonts w:hint="eastAsia" w:ascii="仿宋" w:hAnsi="仿宋" w:eastAsia="仿宋" w:cs="仿宋_GB2312"/>
          <w:sz w:val="32"/>
          <w:szCs w:val="32"/>
        </w:rPr>
        <w:t>万亩，冬粮作物</w:t>
      </w:r>
      <w:r>
        <w:rPr>
          <w:rFonts w:ascii="仿宋" w:hAnsi="仿宋" w:eastAsia="仿宋" w:cs="仿宋_GB2312"/>
          <w:sz w:val="32"/>
          <w:szCs w:val="32"/>
        </w:rPr>
        <w:t>5.4</w:t>
      </w:r>
      <w:r>
        <w:rPr>
          <w:rFonts w:hint="eastAsia" w:ascii="仿宋" w:hAnsi="仿宋" w:eastAsia="仿宋" w:cs="仿宋_GB2312"/>
          <w:sz w:val="32"/>
          <w:szCs w:val="32"/>
        </w:rPr>
        <w:t>万亩。</w:t>
      </w:r>
      <w:r>
        <w:rPr>
          <w:rFonts w:hint="eastAsia" w:ascii="仿宋" w:hAnsi="仿宋" w:eastAsia="仿宋"/>
          <w:sz w:val="32"/>
          <w:szCs w:val="32"/>
        </w:rPr>
        <w:t>创建水东镇柑桔省级农业特色产业园</w:t>
      </w:r>
      <w:r>
        <w:rPr>
          <w:rFonts w:ascii="仿宋" w:hAnsi="仿宋" w:eastAsia="仿宋"/>
          <w:sz w:val="32"/>
          <w:szCs w:val="32"/>
        </w:rPr>
        <w:t>1</w:t>
      </w:r>
      <w:r>
        <w:rPr>
          <w:rFonts w:hint="eastAsia" w:ascii="仿宋" w:hAnsi="仿宋" w:eastAsia="仿宋"/>
          <w:sz w:val="32"/>
          <w:szCs w:val="32"/>
        </w:rPr>
        <w:t>个。加大品牌创建力度。“溆浦白丝糯”地标产品申报通过农业部专家评审，“龙潭猪”国家地理标志证明商标申报成功，新增绿色食品认证</w:t>
      </w:r>
      <w:r>
        <w:rPr>
          <w:rFonts w:ascii="仿宋" w:hAnsi="仿宋" w:eastAsia="仿宋"/>
          <w:sz w:val="32"/>
          <w:szCs w:val="32"/>
        </w:rPr>
        <w:t>6</w:t>
      </w:r>
      <w:r>
        <w:rPr>
          <w:rFonts w:hint="eastAsia" w:ascii="仿宋" w:hAnsi="仿宋" w:eastAsia="仿宋"/>
          <w:sz w:val="32"/>
          <w:szCs w:val="32"/>
        </w:rPr>
        <w:t>个，正在报批</w:t>
      </w:r>
      <w:r>
        <w:rPr>
          <w:rFonts w:ascii="仿宋" w:hAnsi="仿宋" w:eastAsia="仿宋"/>
          <w:sz w:val="32"/>
          <w:szCs w:val="32"/>
        </w:rPr>
        <w:t>5</w:t>
      </w:r>
      <w:r>
        <w:rPr>
          <w:rFonts w:hint="eastAsia" w:ascii="仿宋" w:hAnsi="仿宋" w:eastAsia="仿宋"/>
          <w:sz w:val="32"/>
          <w:szCs w:val="32"/>
        </w:rPr>
        <w:t>个。加大“溆浦脐橙”品牌宣传，与湖南农大合作，进行品牌包装设计与策划推广，央视农业频道正在我县拍摄溆浦脐橙专题片并将在央视免费推介宣传，制作溆浦脐橙宣传片，将在湖南电视台、芒果</w:t>
      </w:r>
      <w:r>
        <w:rPr>
          <w:rFonts w:ascii="仿宋" w:hAnsi="仿宋" w:eastAsia="仿宋"/>
          <w:sz w:val="32"/>
          <w:szCs w:val="32"/>
        </w:rPr>
        <w:t>TV</w:t>
      </w:r>
      <w:r>
        <w:rPr>
          <w:rFonts w:hint="eastAsia" w:ascii="仿宋" w:hAnsi="仿宋" w:eastAsia="仿宋"/>
          <w:sz w:val="32"/>
          <w:szCs w:val="32"/>
        </w:rPr>
        <w:t>等全方位宣传、报道。</w:t>
      </w:r>
      <w:r>
        <w:rPr>
          <w:rFonts w:ascii="仿宋" w:hAnsi="仿宋" w:eastAsia="仿宋"/>
          <w:sz w:val="32"/>
          <w:szCs w:val="32"/>
        </w:rPr>
        <w:t>12</w:t>
      </w:r>
      <w:r>
        <w:rPr>
          <w:rFonts w:hint="eastAsia" w:ascii="仿宋" w:hAnsi="仿宋" w:eastAsia="仿宋"/>
          <w:sz w:val="32"/>
          <w:szCs w:val="32"/>
        </w:rPr>
        <w:t>月</w:t>
      </w:r>
      <w:r>
        <w:rPr>
          <w:rFonts w:ascii="仿宋" w:hAnsi="仿宋" w:eastAsia="仿宋"/>
          <w:sz w:val="32"/>
          <w:szCs w:val="32"/>
        </w:rPr>
        <w:t>14</w:t>
      </w:r>
      <w:r>
        <w:rPr>
          <w:rFonts w:hint="eastAsia" w:ascii="仿宋" w:hAnsi="仿宋" w:eastAsia="仿宋"/>
          <w:sz w:val="32"/>
          <w:szCs w:val="32"/>
        </w:rPr>
        <w:t>日“红色溆浦·锦绣前‘橙’”溆浦脐橙采摘节成功举办。</w:t>
      </w:r>
    </w:p>
    <w:p>
      <w:pPr>
        <w:autoSpaceDE w:val="0"/>
        <w:spacing w:line="610" w:lineRule="exact"/>
        <w:ind w:firstLine="640" w:firstLineChars="200"/>
        <w:rPr>
          <w:rFonts w:ascii="仿宋" w:hAnsi="仿宋" w:eastAsia="仿宋"/>
          <w:sz w:val="32"/>
          <w:szCs w:val="32"/>
        </w:rPr>
      </w:pPr>
      <w:r>
        <w:rPr>
          <w:rFonts w:hint="eastAsia" w:ascii="仿宋" w:hAnsi="仿宋" w:eastAsia="仿宋"/>
          <w:sz w:val="32"/>
          <w:szCs w:val="32"/>
        </w:rPr>
        <w:t>3、农产品质量安全监管。开展“春、秋季”农资打假、“夏季农药专项整治百日行动”、冬季农资打假行动等整治行动，重点加强农药专项整治力度。对全县农资经营企业和蔬菜种植合作社全面检查，通过“进门店”、“进基地”发放农产品质量安全知识宣传手册、农业标准化明白纸等宣传方式，大力宣传绿色农产品生产技术和农产品质量安全知识，提高全县人民的农产品质量安全意识。全年共巡查农产品生产基地</w:t>
      </w:r>
      <w:r>
        <w:rPr>
          <w:rFonts w:ascii="仿宋" w:hAnsi="仿宋" w:eastAsia="仿宋"/>
          <w:sz w:val="32"/>
          <w:szCs w:val="32"/>
        </w:rPr>
        <w:t>110</w:t>
      </w:r>
      <w:r>
        <w:rPr>
          <w:rFonts w:hint="eastAsia" w:ascii="仿宋" w:hAnsi="仿宋" w:eastAsia="仿宋"/>
          <w:sz w:val="32"/>
          <w:szCs w:val="32"/>
        </w:rPr>
        <w:t>个，农资门店</w:t>
      </w:r>
      <w:r>
        <w:rPr>
          <w:rFonts w:ascii="仿宋" w:hAnsi="仿宋" w:eastAsia="仿宋"/>
          <w:sz w:val="32"/>
          <w:szCs w:val="32"/>
        </w:rPr>
        <w:t>220</w:t>
      </w:r>
      <w:r>
        <w:rPr>
          <w:rFonts w:hint="eastAsia" w:ascii="仿宋" w:hAnsi="仿宋" w:eastAsia="仿宋"/>
          <w:sz w:val="32"/>
          <w:szCs w:val="32"/>
        </w:rPr>
        <w:t>余家，发放各类宣传资料</w:t>
      </w:r>
      <w:r>
        <w:rPr>
          <w:rFonts w:ascii="仿宋" w:hAnsi="仿宋" w:eastAsia="仿宋"/>
          <w:sz w:val="32"/>
          <w:szCs w:val="32"/>
        </w:rPr>
        <w:t>2000</w:t>
      </w:r>
      <w:r>
        <w:rPr>
          <w:rFonts w:hint="eastAsia" w:ascii="仿宋" w:hAnsi="仿宋" w:eastAsia="仿宋"/>
          <w:sz w:val="32"/>
          <w:szCs w:val="32"/>
        </w:rPr>
        <w:t>余份。共抽检蔬菜、水果样品</w:t>
      </w:r>
      <w:r>
        <w:rPr>
          <w:rFonts w:ascii="仿宋" w:hAnsi="仿宋" w:eastAsia="仿宋"/>
          <w:sz w:val="32"/>
          <w:szCs w:val="32"/>
        </w:rPr>
        <w:t xml:space="preserve"> 3116</w:t>
      </w:r>
      <w:r>
        <w:rPr>
          <w:rFonts w:hint="eastAsia" w:ascii="仿宋" w:hAnsi="仿宋" w:eastAsia="仿宋"/>
          <w:sz w:val="32"/>
          <w:szCs w:val="32"/>
        </w:rPr>
        <w:t>批次，合格</w:t>
      </w:r>
      <w:r>
        <w:rPr>
          <w:rFonts w:ascii="仿宋" w:hAnsi="仿宋" w:eastAsia="仿宋"/>
          <w:sz w:val="32"/>
          <w:szCs w:val="32"/>
        </w:rPr>
        <w:t xml:space="preserve">3116 </w:t>
      </w:r>
      <w:r>
        <w:rPr>
          <w:rFonts w:hint="eastAsia" w:ascii="仿宋" w:hAnsi="仿宋" w:eastAsia="仿宋"/>
          <w:sz w:val="32"/>
          <w:szCs w:val="32"/>
        </w:rPr>
        <w:t>批次，合格率</w:t>
      </w:r>
      <w:r>
        <w:rPr>
          <w:rFonts w:ascii="仿宋" w:hAnsi="仿宋" w:eastAsia="仿宋"/>
          <w:sz w:val="32"/>
          <w:szCs w:val="32"/>
        </w:rPr>
        <w:t>100%</w:t>
      </w:r>
      <w:r>
        <w:rPr>
          <w:rFonts w:hint="eastAsia" w:ascii="仿宋" w:hAnsi="仿宋" w:eastAsia="仿宋"/>
          <w:sz w:val="32"/>
          <w:szCs w:val="32"/>
        </w:rPr>
        <w:t>。</w:t>
      </w:r>
    </w:p>
    <w:p>
      <w:pPr>
        <w:adjustRightInd w:val="0"/>
        <w:snapToGrid w:val="0"/>
        <w:spacing w:line="610" w:lineRule="exact"/>
        <w:ind w:firstLine="640" w:firstLineChars="200"/>
        <w:rPr>
          <w:rFonts w:ascii="仿宋" w:hAnsi="仿宋" w:eastAsia="仿宋"/>
          <w:sz w:val="32"/>
          <w:szCs w:val="32"/>
        </w:rPr>
      </w:pPr>
      <w:r>
        <w:rPr>
          <w:rFonts w:hint="eastAsia" w:ascii="仿宋" w:hAnsi="仿宋" w:eastAsia="仿宋"/>
          <w:sz w:val="32"/>
          <w:szCs w:val="32"/>
        </w:rPr>
        <w:t>4、严格落实生猪稳产保供各项措施。下发了《关于印发</w:t>
      </w:r>
      <w:r>
        <w:rPr>
          <w:rFonts w:ascii="仿宋" w:hAnsi="仿宋" w:eastAsia="仿宋"/>
          <w:sz w:val="32"/>
          <w:szCs w:val="32"/>
        </w:rPr>
        <w:t>2021</w:t>
      </w:r>
      <w:r>
        <w:rPr>
          <w:rFonts w:hint="eastAsia" w:ascii="仿宋" w:hAnsi="仿宋" w:eastAsia="仿宋"/>
          <w:sz w:val="32"/>
          <w:szCs w:val="32"/>
        </w:rPr>
        <w:t>年生猪稳产保供任务目标的通知》（溆防重病指</w:t>
      </w:r>
      <w:r>
        <w:rPr>
          <w:rFonts w:ascii="仿宋" w:hAnsi="仿宋" w:eastAsia="仿宋"/>
          <w:sz w:val="32"/>
          <w:szCs w:val="32"/>
        </w:rPr>
        <w:t>[2021]3</w:t>
      </w:r>
      <w:r>
        <w:rPr>
          <w:rFonts w:hint="eastAsia" w:ascii="仿宋" w:hAnsi="仿宋" w:eastAsia="仿宋"/>
          <w:sz w:val="32"/>
          <w:szCs w:val="32"/>
        </w:rPr>
        <w:t>号），将生猪稳产保供任务分解至各乡镇，确保完成省、市下达的生猪生产任务。开展动物防疫，认真完成“春、秋”两防工作。全县猪、牛、羊、家禽国家普免疫苗免疫密度</w:t>
      </w:r>
      <w:r>
        <w:rPr>
          <w:rFonts w:ascii="仿宋" w:hAnsi="仿宋" w:eastAsia="仿宋"/>
          <w:sz w:val="32"/>
          <w:szCs w:val="32"/>
        </w:rPr>
        <w:t>100%</w:t>
      </w:r>
      <w:r>
        <w:rPr>
          <w:rFonts w:hint="eastAsia" w:ascii="仿宋" w:hAnsi="仿宋" w:eastAsia="仿宋"/>
          <w:sz w:val="32"/>
          <w:szCs w:val="32"/>
        </w:rPr>
        <w:t>，群体免疫抗体水平</w:t>
      </w:r>
      <w:r>
        <w:rPr>
          <w:rFonts w:ascii="仿宋" w:hAnsi="仿宋" w:eastAsia="仿宋"/>
          <w:sz w:val="32"/>
          <w:szCs w:val="32"/>
        </w:rPr>
        <w:t>75%</w:t>
      </w:r>
      <w:r>
        <w:rPr>
          <w:rFonts w:hint="eastAsia" w:ascii="仿宋" w:hAnsi="仿宋" w:eastAsia="仿宋"/>
          <w:sz w:val="32"/>
          <w:szCs w:val="32"/>
        </w:rPr>
        <w:t>，均达到省、市要求；非洲猪瘟防控常态化，严格落实疫情排查、基础疫苗补注、违规调运监管等重大动物疫病防控措施。引进杨翔、正大等生猪龙产业化龙头企业到我县开展“生猪代养”合作，新建（改扩建）年出栏</w:t>
      </w:r>
      <w:r>
        <w:rPr>
          <w:rFonts w:ascii="仿宋" w:hAnsi="仿宋" w:eastAsia="仿宋"/>
          <w:sz w:val="32"/>
          <w:szCs w:val="32"/>
        </w:rPr>
        <w:t>1</w:t>
      </w:r>
      <w:r>
        <w:rPr>
          <w:rFonts w:hint="eastAsia" w:ascii="仿宋" w:hAnsi="仿宋" w:eastAsia="仿宋"/>
          <w:sz w:val="32"/>
          <w:szCs w:val="32"/>
        </w:rPr>
        <w:t>万头以上育肥场</w:t>
      </w:r>
      <w:r>
        <w:rPr>
          <w:rFonts w:ascii="仿宋" w:hAnsi="仿宋" w:eastAsia="仿宋"/>
          <w:sz w:val="32"/>
          <w:szCs w:val="32"/>
        </w:rPr>
        <w:t>16</w:t>
      </w:r>
      <w:r>
        <w:rPr>
          <w:rFonts w:hint="eastAsia" w:ascii="仿宋" w:hAnsi="仿宋" w:eastAsia="仿宋"/>
          <w:sz w:val="32"/>
          <w:szCs w:val="32"/>
        </w:rPr>
        <w:t>个。全县受疫情影响停产的养殖场（户）</w:t>
      </w:r>
      <w:r>
        <w:rPr>
          <w:rFonts w:ascii="仿宋" w:hAnsi="仿宋" w:eastAsia="仿宋"/>
          <w:sz w:val="32"/>
          <w:szCs w:val="32"/>
        </w:rPr>
        <w:t>220</w:t>
      </w:r>
      <w:r>
        <w:rPr>
          <w:rFonts w:hint="eastAsia" w:ascii="仿宋" w:hAnsi="仿宋" w:eastAsia="仿宋"/>
          <w:sz w:val="32"/>
          <w:szCs w:val="32"/>
        </w:rPr>
        <w:t>个，已复养</w:t>
      </w:r>
      <w:r>
        <w:rPr>
          <w:rFonts w:ascii="仿宋" w:hAnsi="仿宋" w:eastAsia="仿宋"/>
          <w:sz w:val="32"/>
          <w:szCs w:val="32"/>
        </w:rPr>
        <w:t>187</w:t>
      </w:r>
      <w:r>
        <w:rPr>
          <w:rFonts w:hint="eastAsia" w:ascii="仿宋" w:hAnsi="仿宋" w:eastAsia="仿宋"/>
          <w:sz w:val="32"/>
          <w:szCs w:val="32"/>
        </w:rPr>
        <w:t>个。年生猪饲养量</w:t>
      </w:r>
      <w:r>
        <w:rPr>
          <w:rFonts w:ascii="仿宋" w:hAnsi="仿宋" w:eastAsia="仿宋"/>
          <w:sz w:val="32"/>
          <w:szCs w:val="32"/>
        </w:rPr>
        <w:t>132.2</w:t>
      </w:r>
      <w:r>
        <w:rPr>
          <w:rFonts w:hint="eastAsia" w:ascii="仿宋" w:hAnsi="仿宋" w:eastAsia="仿宋"/>
          <w:sz w:val="32"/>
          <w:szCs w:val="32"/>
        </w:rPr>
        <w:t>万头，其中存栏</w:t>
      </w:r>
      <w:r>
        <w:rPr>
          <w:rFonts w:ascii="仿宋" w:hAnsi="仿宋" w:eastAsia="仿宋"/>
          <w:sz w:val="32"/>
          <w:szCs w:val="32"/>
        </w:rPr>
        <w:t>62.0615</w:t>
      </w:r>
      <w:r>
        <w:rPr>
          <w:rFonts w:hint="eastAsia" w:ascii="仿宋" w:hAnsi="仿宋" w:eastAsia="仿宋"/>
          <w:sz w:val="32"/>
          <w:szCs w:val="32"/>
        </w:rPr>
        <w:t>万头，能繁母猪</w:t>
      </w:r>
      <w:r>
        <w:rPr>
          <w:rFonts w:ascii="仿宋" w:hAnsi="仿宋" w:eastAsia="仿宋"/>
          <w:sz w:val="32"/>
          <w:szCs w:val="32"/>
        </w:rPr>
        <w:t>5.378</w:t>
      </w:r>
      <w:r>
        <w:rPr>
          <w:rFonts w:hint="eastAsia" w:ascii="仿宋" w:hAnsi="仿宋" w:eastAsia="仿宋"/>
          <w:sz w:val="32"/>
          <w:szCs w:val="32"/>
        </w:rPr>
        <w:t>万头，出栏</w:t>
      </w:r>
      <w:r>
        <w:rPr>
          <w:rFonts w:ascii="仿宋" w:hAnsi="仿宋" w:eastAsia="仿宋"/>
          <w:sz w:val="32"/>
          <w:szCs w:val="32"/>
        </w:rPr>
        <w:t>81.88</w:t>
      </w:r>
      <w:r>
        <w:rPr>
          <w:rFonts w:hint="eastAsia" w:ascii="仿宋" w:hAnsi="仿宋" w:eastAsia="仿宋"/>
          <w:sz w:val="32"/>
          <w:szCs w:val="32"/>
        </w:rPr>
        <w:t>万头。</w:t>
      </w:r>
    </w:p>
    <w:p>
      <w:pPr>
        <w:spacing w:line="560" w:lineRule="exact"/>
        <w:rPr>
          <w:rFonts w:ascii="仿宋" w:hAnsi="仿宋" w:eastAsia="仿宋"/>
          <w:sz w:val="32"/>
          <w:szCs w:val="32"/>
        </w:rPr>
      </w:pPr>
      <w:r>
        <w:rPr>
          <w:rFonts w:ascii="仿宋" w:hAnsi="仿宋" w:eastAsia="仿宋"/>
          <w:bCs/>
          <w:sz w:val="32"/>
          <w:szCs w:val="32"/>
        </w:rPr>
        <w:t>5</w:t>
      </w:r>
      <w:r>
        <w:rPr>
          <w:rFonts w:hint="eastAsia" w:ascii="仿宋" w:hAnsi="仿宋" w:eastAsia="仿宋"/>
          <w:bCs/>
          <w:sz w:val="32"/>
          <w:szCs w:val="32"/>
        </w:rPr>
        <w:t>、加强农村宅基地管理和改革。</w:t>
      </w:r>
      <w:r>
        <w:rPr>
          <w:rFonts w:hint="eastAsia" w:ascii="仿宋" w:hAnsi="仿宋" w:eastAsia="仿宋"/>
          <w:sz w:val="32"/>
          <w:szCs w:val="32"/>
        </w:rPr>
        <w:t>召开县级培训</w:t>
      </w:r>
      <w:r>
        <w:rPr>
          <w:rFonts w:ascii="仿宋" w:hAnsi="仿宋" w:eastAsia="仿宋"/>
          <w:sz w:val="32"/>
          <w:szCs w:val="32"/>
        </w:rPr>
        <w:t>2</w:t>
      </w:r>
      <w:r>
        <w:rPr>
          <w:rFonts w:hint="eastAsia" w:ascii="仿宋" w:hAnsi="仿宋" w:eastAsia="仿宋"/>
          <w:sz w:val="32"/>
          <w:szCs w:val="32"/>
        </w:rPr>
        <w:t>次，指导各乡镇建立健全联审联办办公室，相关部门各司其职。县农村宅基地管理与改革工作领导小组办公室不定期组织人员对全县</w:t>
      </w:r>
      <w:r>
        <w:rPr>
          <w:rFonts w:ascii="仿宋" w:hAnsi="仿宋" w:eastAsia="仿宋"/>
          <w:sz w:val="32"/>
          <w:szCs w:val="32"/>
        </w:rPr>
        <w:t>25</w:t>
      </w:r>
      <w:r>
        <w:rPr>
          <w:rFonts w:hint="eastAsia" w:ascii="仿宋" w:hAnsi="仿宋" w:eastAsia="仿宋"/>
          <w:sz w:val="32"/>
          <w:szCs w:val="32"/>
        </w:rPr>
        <w:t>个乡镇的农村宅基地联审联办情况进行专项督查。督查中发现违规建法建房</w:t>
      </w:r>
      <w:r>
        <w:rPr>
          <w:rFonts w:ascii="仿宋" w:hAnsi="仿宋" w:eastAsia="仿宋"/>
          <w:sz w:val="32"/>
          <w:szCs w:val="32"/>
        </w:rPr>
        <w:t>27</w:t>
      </w:r>
      <w:r>
        <w:rPr>
          <w:rFonts w:hint="eastAsia" w:ascii="仿宋" w:hAnsi="仿宋" w:eastAsia="仿宋"/>
          <w:sz w:val="32"/>
          <w:szCs w:val="32"/>
        </w:rPr>
        <w:t>起，并对督查中存在的问题对相关乡镇进行了督办。</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根据全县农村村民建房用地需求，结合全县总体用地计划，</w:t>
      </w:r>
      <w:r>
        <w:rPr>
          <w:rFonts w:ascii="仿宋" w:hAnsi="仿宋" w:eastAsia="仿宋"/>
          <w:sz w:val="32"/>
          <w:szCs w:val="32"/>
        </w:rPr>
        <w:t>2021</w:t>
      </w:r>
      <w:r>
        <w:rPr>
          <w:rFonts w:hint="eastAsia" w:ascii="仿宋" w:hAnsi="仿宋" w:eastAsia="仿宋"/>
          <w:sz w:val="32"/>
          <w:szCs w:val="32"/>
        </w:rPr>
        <w:t>年</w:t>
      </w:r>
      <w:r>
        <w:rPr>
          <w:rFonts w:ascii="仿宋" w:hAnsi="仿宋" w:eastAsia="仿宋"/>
          <w:sz w:val="32"/>
          <w:szCs w:val="32"/>
        </w:rPr>
        <w:t>1</w:t>
      </w:r>
      <w:r>
        <w:rPr>
          <w:rFonts w:hint="eastAsia" w:ascii="仿宋" w:hAnsi="仿宋" w:eastAsia="仿宋"/>
          <w:sz w:val="32"/>
          <w:szCs w:val="32"/>
        </w:rPr>
        <w:t>月</w:t>
      </w:r>
      <w:r>
        <w:rPr>
          <w:rFonts w:ascii="仿宋" w:hAnsi="仿宋" w:eastAsia="仿宋"/>
          <w:sz w:val="32"/>
          <w:szCs w:val="32"/>
        </w:rPr>
        <w:t>5</w:t>
      </w:r>
      <w:r>
        <w:rPr>
          <w:rFonts w:hint="eastAsia" w:ascii="仿宋" w:hAnsi="仿宋" w:eastAsia="仿宋"/>
          <w:sz w:val="32"/>
          <w:szCs w:val="32"/>
        </w:rPr>
        <w:t>日，已向各乡镇下达了</w:t>
      </w:r>
      <w:r>
        <w:rPr>
          <w:rFonts w:ascii="仿宋" w:hAnsi="仿宋" w:eastAsia="仿宋"/>
          <w:sz w:val="32"/>
          <w:szCs w:val="32"/>
        </w:rPr>
        <w:t>2021</w:t>
      </w:r>
      <w:r>
        <w:rPr>
          <w:rFonts w:hint="eastAsia" w:ascii="仿宋" w:hAnsi="仿宋" w:eastAsia="仿宋"/>
          <w:sz w:val="32"/>
          <w:szCs w:val="32"/>
        </w:rPr>
        <w:t>年农村村民建房用地计划</w:t>
      </w:r>
      <w:r>
        <w:rPr>
          <w:rFonts w:ascii="仿宋" w:hAnsi="仿宋" w:eastAsia="仿宋"/>
          <w:sz w:val="32"/>
          <w:szCs w:val="32"/>
        </w:rPr>
        <w:t>254.5</w:t>
      </w:r>
      <w:r>
        <w:rPr>
          <w:rFonts w:hint="eastAsia" w:ascii="仿宋" w:hAnsi="仿宋" w:eastAsia="仿宋"/>
          <w:sz w:val="32"/>
          <w:szCs w:val="32"/>
        </w:rPr>
        <w:t>亩，切实保障农民建房刚性需求、疏通农民建房渠道。</w:t>
      </w:r>
    </w:p>
    <w:p>
      <w:pPr>
        <w:autoSpaceDE w:val="0"/>
        <w:spacing w:line="610" w:lineRule="exact"/>
        <w:ind w:firstLine="640" w:firstLineChars="200"/>
        <w:rPr>
          <w:rFonts w:ascii="仿宋" w:hAnsi="仿宋" w:eastAsia="仿宋"/>
          <w:sz w:val="32"/>
          <w:szCs w:val="32"/>
        </w:rPr>
      </w:pPr>
      <w:r>
        <w:rPr>
          <w:rFonts w:ascii="仿宋" w:hAnsi="仿宋" w:eastAsia="仿宋" w:cs="仿宋"/>
          <w:bCs/>
          <w:sz w:val="32"/>
          <w:szCs w:val="32"/>
        </w:rPr>
        <w:t>6</w:t>
      </w:r>
      <w:r>
        <w:rPr>
          <w:rFonts w:hint="eastAsia" w:ascii="仿宋" w:hAnsi="仿宋" w:eastAsia="仿宋" w:cs="仿宋"/>
          <w:bCs/>
          <w:sz w:val="32"/>
          <w:szCs w:val="32"/>
        </w:rPr>
        <w:t>、</w:t>
      </w:r>
      <w:r>
        <w:rPr>
          <w:rFonts w:hint="eastAsia" w:ascii="仿宋" w:hAnsi="仿宋" w:eastAsia="仿宋"/>
          <w:sz w:val="32"/>
          <w:szCs w:val="32"/>
        </w:rPr>
        <w:t>创新机制，融资建设，引导社会资本</w:t>
      </w:r>
      <w:r>
        <w:rPr>
          <w:rFonts w:ascii="仿宋" w:hAnsi="仿宋" w:eastAsia="仿宋"/>
          <w:sz w:val="32"/>
          <w:szCs w:val="32"/>
        </w:rPr>
        <w:t>1</w:t>
      </w:r>
      <w:r>
        <w:rPr>
          <w:rFonts w:hint="eastAsia" w:ascii="仿宋" w:hAnsi="仿宋" w:eastAsia="仿宋"/>
          <w:sz w:val="32"/>
          <w:szCs w:val="32"/>
        </w:rPr>
        <w:t>个亿投资高标准农田建设。坚持高点定位，高标建管，高效服务，跟踪审计，高标准农田建设项目有力推进，</w:t>
      </w:r>
      <w:r>
        <w:rPr>
          <w:rFonts w:ascii="仿宋" w:hAnsi="仿宋" w:eastAsia="仿宋"/>
          <w:sz w:val="32"/>
          <w:szCs w:val="32"/>
        </w:rPr>
        <w:t>2020</w:t>
      </w:r>
      <w:r>
        <w:rPr>
          <w:rFonts w:hint="eastAsia" w:ascii="仿宋" w:hAnsi="仿宋" w:eastAsia="仿宋"/>
          <w:sz w:val="32"/>
          <w:szCs w:val="32"/>
        </w:rPr>
        <w:t>年度</w:t>
      </w:r>
      <w:r>
        <w:rPr>
          <w:rFonts w:ascii="仿宋" w:hAnsi="仿宋" w:eastAsia="仿宋"/>
          <w:sz w:val="32"/>
          <w:szCs w:val="32"/>
        </w:rPr>
        <w:t>4.63</w:t>
      </w:r>
      <w:r>
        <w:rPr>
          <w:rFonts w:hint="eastAsia" w:ascii="仿宋" w:hAnsi="仿宋" w:eastAsia="仿宋"/>
          <w:sz w:val="32"/>
          <w:szCs w:val="32"/>
        </w:rPr>
        <w:t>万亩高标准农田建设任务全面竣工，</w:t>
      </w:r>
      <w:r>
        <w:rPr>
          <w:rFonts w:ascii="仿宋" w:hAnsi="仿宋" w:eastAsia="仿宋"/>
          <w:sz w:val="32"/>
          <w:szCs w:val="32"/>
        </w:rPr>
        <w:t>2021</w:t>
      </w:r>
      <w:r>
        <w:rPr>
          <w:rFonts w:hint="eastAsia" w:ascii="仿宋" w:hAnsi="仿宋" w:eastAsia="仿宋"/>
          <w:sz w:val="32"/>
          <w:szCs w:val="32"/>
        </w:rPr>
        <w:t>年度</w:t>
      </w:r>
      <w:r>
        <w:rPr>
          <w:rFonts w:ascii="仿宋" w:hAnsi="仿宋" w:eastAsia="仿宋"/>
          <w:sz w:val="32"/>
          <w:szCs w:val="32"/>
        </w:rPr>
        <w:t>5.12</w:t>
      </w:r>
      <w:r>
        <w:rPr>
          <w:rFonts w:hint="eastAsia" w:ascii="仿宋" w:hAnsi="仿宋" w:eastAsia="仿宋"/>
          <w:sz w:val="32"/>
          <w:szCs w:val="32"/>
        </w:rPr>
        <w:t>万亩高标准农田建设已基本完工，项目进度位居全市第一全省第二，省高标准农田建设真抓实干现场考核组给予充分肯定，有望获得真抓实干奖励。</w:t>
      </w:r>
    </w:p>
    <w:p>
      <w:pPr>
        <w:spacing w:line="560" w:lineRule="exact"/>
        <w:ind w:firstLine="640" w:firstLineChars="200"/>
        <w:rPr>
          <w:rFonts w:ascii="仿宋" w:hAnsi="仿宋" w:eastAsia="仿宋" w:cs="仿宋"/>
          <w:sz w:val="32"/>
          <w:szCs w:val="32"/>
        </w:rPr>
      </w:pPr>
      <w:r>
        <w:rPr>
          <w:rFonts w:ascii="仿宋" w:hAnsi="仿宋" w:eastAsia="仿宋" w:cs="Arial"/>
          <w:bCs/>
          <w:color w:val="000000"/>
          <w:kern w:val="0"/>
          <w:sz w:val="32"/>
          <w:szCs w:val="32"/>
        </w:rPr>
        <w:t>7</w:t>
      </w:r>
      <w:r>
        <w:rPr>
          <w:rFonts w:hint="eastAsia" w:ascii="仿宋" w:hAnsi="仿宋" w:eastAsia="仿宋" w:cs="Arial"/>
          <w:bCs/>
          <w:color w:val="000000"/>
          <w:kern w:val="0"/>
          <w:sz w:val="32"/>
          <w:szCs w:val="32"/>
        </w:rPr>
        <w:t>、</w:t>
      </w:r>
      <w:r>
        <w:rPr>
          <w:rFonts w:ascii="仿宋" w:hAnsi="仿宋" w:eastAsia="仿宋" w:cs="仿宋"/>
          <w:sz w:val="32"/>
          <w:szCs w:val="32"/>
        </w:rPr>
        <w:t>2021-2022</w:t>
      </w:r>
      <w:r>
        <w:rPr>
          <w:rFonts w:hint="eastAsia" w:ascii="仿宋" w:hAnsi="仿宋" w:eastAsia="仿宋" w:cs="仿宋"/>
          <w:sz w:val="32"/>
          <w:szCs w:val="32"/>
        </w:rPr>
        <w:t>年我县农村改厕任务</w:t>
      </w:r>
      <w:r>
        <w:rPr>
          <w:rFonts w:ascii="仿宋" w:hAnsi="仿宋" w:eastAsia="仿宋" w:cs="仿宋"/>
          <w:sz w:val="32"/>
          <w:szCs w:val="32"/>
        </w:rPr>
        <w:t>10000</w:t>
      </w:r>
      <w:r>
        <w:rPr>
          <w:rFonts w:hint="eastAsia" w:ascii="仿宋" w:hAnsi="仿宋" w:eastAsia="仿宋" w:cs="仿宋"/>
          <w:sz w:val="32"/>
          <w:szCs w:val="32"/>
        </w:rPr>
        <w:t>座，为把这一民生实事办好，我们坚持政府引导、农民主体，规划先行、统筹兼顾、质量优先的原则，通过农户自建、多户联建、整村推进等方式，有序推进农村改厕工作。目前</w:t>
      </w:r>
      <w:r>
        <w:rPr>
          <w:rFonts w:hint="eastAsia" w:ascii="仿宋" w:hAnsi="仿宋" w:eastAsia="仿宋"/>
          <w:sz w:val="32"/>
          <w:szCs w:val="32"/>
        </w:rPr>
        <w:t>完成农村户用无害化卫生厕所建设</w:t>
      </w:r>
      <w:r>
        <w:rPr>
          <w:rFonts w:ascii="仿宋" w:hAnsi="仿宋" w:eastAsia="仿宋"/>
          <w:sz w:val="32"/>
          <w:szCs w:val="32"/>
        </w:rPr>
        <w:t>5842</w:t>
      </w:r>
      <w:r>
        <w:rPr>
          <w:rFonts w:hint="eastAsia" w:ascii="仿宋" w:hAnsi="仿宋" w:eastAsia="仿宋"/>
          <w:sz w:val="32"/>
          <w:szCs w:val="32"/>
        </w:rPr>
        <w:t>座，质量全部达标。</w:t>
      </w:r>
      <w:r>
        <w:rPr>
          <w:rFonts w:hint="eastAsia" w:ascii="仿宋" w:hAnsi="仿宋" w:eastAsia="仿宋" w:cs="仿宋"/>
          <w:sz w:val="32"/>
          <w:szCs w:val="32"/>
        </w:rPr>
        <w:t>召开了全县农村改厕现场培训会，学习了“首厕过关制”流程，下发了</w:t>
      </w:r>
      <w:r>
        <w:rPr>
          <w:rFonts w:ascii="仿宋" w:hAnsi="仿宋" w:eastAsia="仿宋" w:cs="仿宋"/>
          <w:sz w:val="32"/>
          <w:szCs w:val="32"/>
        </w:rPr>
        <w:t>15000</w:t>
      </w:r>
      <w:r>
        <w:rPr>
          <w:rFonts w:hint="eastAsia" w:ascii="仿宋" w:hAnsi="仿宋" w:eastAsia="仿宋" w:cs="仿宋"/>
          <w:sz w:val="32"/>
          <w:szCs w:val="32"/>
        </w:rPr>
        <w:t>册“首厕过关制”宣传手册，严格落实“首厕过关制”，以首厕过关带动每厕过关。全县</w:t>
      </w:r>
      <w:r>
        <w:rPr>
          <w:rFonts w:ascii="仿宋" w:hAnsi="仿宋" w:eastAsia="仿宋" w:cs="仿宋"/>
          <w:sz w:val="32"/>
          <w:szCs w:val="32"/>
        </w:rPr>
        <w:t>25</w:t>
      </w:r>
      <w:r>
        <w:rPr>
          <w:rFonts w:hint="eastAsia" w:ascii="仿宋" w:hAnsi="仿宋" w:eastAsia="仿宋" w:cs="仿宋"/>
          <w:sz w:val="32"/>
          <w:szCs w:val="32"/>
        </w:rPr>
        <w:t>个乡镇的首厕都已通过县人居办验收过关</w:t>
      </w:r>
      <w:r>
        <w:rPr>
          <w:rFonts w:hint="eastAsia" w:ascii="仿宋" w:hAnsi="仿宋" w:eastAsia="仿宋" w:cs="??_GB2312"/>
          <w:color w:val="000000"/>
          <w:sz w:val="32"/>
          <w:szCs w:val="32"/>
        </w:rPr>
        <w:t>，加强改厕施工现场质量巡查与指导监督。落实工程质量和安全责任制，施工队伍要承担工程保修和返修责任，确保工程质量符合验收标准。</w:t>
      </w:r>
      <w:r>
        <w:rPr>
          <w:rFonts w:hint="eastAsia" w:ascii="仿宋" w:hAnsi="仿宋" w:eastAsia="仿宋"/>
          <w:sz w:val="32"/>
          <w:szCs w:val="32"/>
        </w:rPr>
        <w:t>创建市级人居环境整治示范村</w:t>
      </w:r>
      <w:r>
        <w:rPr>
          <w:rFonts w:ascii="仿宋" w:hAnsi="仿宋" w:eastAsia="仿宋"/>
          <w:sz w:val="32"/>
          <w:szCs w:val="32"/>
        </w:rPr>
        <w:t>7</w:t>
      </w:r>
      <w:r>
        <w:rPr>
          <w:rFonts w:hint="eastAsia" w:ascii="仿宋" w:hAnsi="仿宋" w:eastAsia="仿宋"/>
          <w:sz w:val="32"/>
          <w:szCs w:val="32"/>
        </w:rPr>
        <w:t>个、美丽乡村示范村</w:t>
      </w:r>
      <w:r>
        <w:rPr>
          <w:rFonts w:ascii="仿宋" w:hAnsi="仿宋" w:eastAsia="仿宋"/>
          <w:sz w:val="32"/>
          <w:szCs w:val="32"/>
        </w:rPr>
        <w:t>7</w:t>
      </w:r>
      <w:r>
        <w:rPr>
          <w:rFonts w:hint="eastAsia" w:ascii="仿宋" w:hAnsi="仿宋" w:eastAsia="仿宋"/>
          <w:sz w:val="32"/>
          <w:szCs w:val="32"/>
        </w:rPr>
        <w:t>个，省级美丽乡村</w:t>
      </w:r>
      <w:r>
        <w:rPr>
          <w:rFonts w:ascii="仿宋" w:hAnsi="仿宋" w:eastAsia="仿宋"/>
          <w:sz w:val="32"/>
          <w:szCs w:val="32"/>
        </w:rPr>
        <w:t>2</w:t>
      </w:r>
      <w:r>
        <w:rPr>
          <w:rFonts w:hint="eastAsia" w:ascii="仿宋" w:hAnsi="仿宋" w:eastAsia="仿宋"/>
          <w:sz w:val="32"/>
          <w:szCs w:val="32"/>
        </w:rPr>
        <w:t>个。</w:t>
      </w:r>
    </w:p>
    <w:p>
      <w:pPr>
        <w:ind w:firstLine="640" w:firstLineChars="200"/>
        <w:rPr>
          <w:rFonts w:ascii="仿宋" w:hAnsi="仿宋" w:eastAsia="仿宋"/>
          <w:sz w:val="32"/>
          <w:szCs w:val="32"/>
          <w:shd w:val="clear" w:color="auto" w:fill="FFFFFF"/>
        </w:rPr>
      </w:pPr>
      <w:r>
        <w:rPr>
          <w:rFonts w:ascii="仿宋" w:hAnsi="仿宋" w:eastAsia="仿宋" w:cs="Arial"/>
          <w:bCs/>
          <w:color w:val="000000"/>
          <w:kern w:val="0"/>
          <w:sz w:val="32"/>
          <w:szCs w:val="32"/>
        </w:rPr>
        <w:t>8</w:t>
      </w:r>
      <w:r>
        <w:rPr>
          <w:rFonts w:hint="eastAsia" w:ascii="仿宋" w:hAnsi="仿宋" w:eastAsia="仿宋" w:cs="Arial"/>
          <w:bCs/>
          <w:color w:val="000000"/>
          <w:kern w:val="0"/>
          <w:sz w:val="32"/>
          <w:szCs w:val="32"/>
        </w:rPr>
        <w:t>、</w:t>
      </w:r>
      <w:r>
        <w:rPr>
          <w:rFonts w:hint="eastAsia" w:ascii="仿宋" w:hAnsi="仿宋" w:eastAsia="仿宋"/>
          <w:sz w:val="32"/>
          <w:szCs w:val="32"/>
          <w:shd w:val="clear" w:color="auto" w:fill="FFFFFF"/>
        </w:rPr>
        <w:t>成立了以县委书记任组长，县长为第一副组长，相关分管副县长任副组长的县禁捕退捕工作领导小组，从农业农村、公安、市监、水利、交通、人社等相关部门抽调专人集中办公，办公室设在县农业农村局，由县禁捕办牵头，统筹协调推进禁捕退捕工作。及时召开县委常委会议、政府常务会议、县委农村工作领导小组会议等，对禁捕退捕工作进行专题研究。各责任单位和乡镇也抽调骨干力量，成立禁捕退捕工作领导机构和工作专班，确保了工作有力有序推进。将禁捕退捕工作列入政府绩效考核、河长制考核等目标任务考核体系，严格考核严肃问责。</w:t>
      </w:r>
    </w:p>
    <w:p>
      <w:pPr>
        <w:spacing w:line="590" w:lineRule="exact"/>
        <w:ind w:firstLine="640" w:firstLineChars="200"/>
        <w:rPr>
          <w:rFonts w:ascii="仿宋" w:hAnsi="仿宋" w:eastAsia="仿宋" w:cs="仿宋"/>
          <w:sz w:val="32"/>
          <w:szCs w:val="32"/>
        </w:rPr>
      </w:pPr>
      <w:r>
        <w:rPr>
          <w:rFonts w:hint="eastAsia" w:ascii="仿宋" w:hAnsi="仿宋" w:eastAsia="仿宋"/>
          <w:sz w:val="32"/>
          <w:szCs w:val="32"/>
        </w:rPr>
        <w:t>根据现场勘测情况，共设计</w:t>
      </w:r>
      <w:r>
        <w:rPr>
          <w:rFonts w:hint="eastAsia" w:ascii="仿宋" w:hAnsi="仿宋" w:eastAsia="仿宋"/>
          <w:sz w:val="32"/>
        </w:rPr>
        <w:t>部署</w:t>
      </w:r>
      <w:r>
        <w:rPr>
          <w:rFonts w:ascii="仿宋" w:hAnsi="仿宋" w:eastAsia="仿宋"/>
          <w:sz w:val="32"/>
        </w:rPr>
        <w:t>20</w:t>
      </w:r>
      <w:r>
        <w:rPr>
          <w:rFonts w:hint="eastAsia" w:ascii="仿宋" w:hAnsi="仿宋" w:eastAsia="仿宋"/>
          <w:sz w:val="32"/>
        </w:rPr>
        <w:t>个智能监控点位，智慧渔政视频监控系统于</w:t>
      </w:r>
      <w:r>
        <w:rPr>
          <w:rFonts w:ascii="仿宋" w:hAnsi="仿宋" w:eastAsia="仿宋"/>
          <w:sz w:val="32"/>
        </w:rPr>
        <w:t>2021</w:t>
      </w:r>
      <w:r>
        <w:rPr>
          <w:rFonts w:hint="eastAsia" w:ascii="仿宋" w:hAnsi="仿宋" w:eastAsia="仿宋"/>
          <w:sz w:val="32"/>
        </w:rPr>
        <w:t>年</w:t>
      </w:r>
      <w:r>
        <w:rPr>
          <w:rFonts w:ascii="仿宋" w:hAnsi="仿宋" w:eastAsia="仿宋"/>
          <w:sz w:val="32"/>
        </w:rPr>
        <w:t>10</w:t>
      </w:r>
      <w:r>
        <w:rPr>
          <w:rFonts w:hint="eastAsia" w:ascii="仿宋" w:hAnsi="仿宋" w:eastAsia="仿宋"/>
          <w:sz w:val="32"/>
        </w:rPr>
        <w:t>月施工，目前进入系统调试阶段。为执法大队部署装配必要的执法船艇、对讲机、手电筒等执法装备。吸收了我县符合条件的退捕渔民、志愿者共</w:t>
      </w:r>
      <w:r>
        <w:rPr>
          <w:rFonts w:ascii="仿宋" w:hAnsi="仿宋" w:eastAsia="仿宋"/>
          <w:sz w:val="32"/>
        </w:rPr>
        <w:t>21</w:t>
      </w:r>
      <w:r>
        <w:rPr>
          <w:rFonts w:hint="eastAsia" w:ascii="仿宋" w:hAnsi="仿宋" w:eastAsia="仿宋"/>
          <w:sz w:val="32"/>
        </w:rPr>
        <w:t>名，组建了规模适宜的协助巡护队伍，协助开展渔政巡护工作。</w:t>
      </w:r>
      <w:r>
        <w:rPr>
          <w:rFonts w:hint="eastAsia" w:ascii="仿宋" w:hAnsi="仿宋" w:eastAsia="仿宋" w:cs="仿宋"/>
          <w:color w:val="000000"/>
          <w:sz w:val="32"/>
          <w:szCs w:val="32"/>
        </w:rPr>
        <w:t>强化禁捕工作合力及责任，形成“禁捕水域及岸线分段、分段定人、人负其责”的良好局面，全县共</w:t>
      </w:r>
      <w:r>
        <w:rPr>
          <w:rFonts w:ascii="仿宋" w:hAnsi="仿宋" w:eastAsia="仿宋" w:cs="仿宋"/>
          <w:color w:val="000000"/>
          <w:sz w:val="32"/>
          <w:szCs w:val="32"/>
        </w:rPr>
        <w:t>367</w:t>
      </w:r>
      <w:r>
        <w:rPr>
          <w:rFonts w:hint="eastAsia" w:ascii="仿宋" w:hAnsi="仿宋" w:eastAsia="仿宋" w:cs="仿宋"/>
          <w:color w:val="000000"/>
          <w:sz w:val="32"/>
          <w:szCs w:val="32"/>
        </w:rPr>
        <w:t>个网格，</w:t>
      </w:r>
      <w:r>
        <w:rPr>
          <w:rFonts w:ascii="仿宋" w:hAnsi="仿宋" w:eastAsia="仿宋" w:cs="仿宋"/>
          <w:color w:val="000000"/>
          <w:sz w:val="32"/>
          <w:szCs w:val="32"/>
        </w:rPr>
        <w:t>367</w:t>
      </w:r>
      <w:r>
        <w:rPr>
          <w:rFonts w:hint="eastAsia" w:ascii="仿宋" w:hAnsi="仿宋" w:eastAsia="仿宋" w:cs="仿宋"/>
          <w:color w:val="000000"/>
          <w:sz w:val="32"/>
          <w:szCs w:val="32"/>
        </w:rPr>
        <w:t>个网格员。</w:t>
      </w:r>
    </w:p>
    <w:p>
      <w:pPr>
        <w:spacing w:line="610" w:lineRule="exact"/>
        <w:ind w:firstLine="476" w:firstLineChars="149"/>
        <w:rPr>
          <w:rFonts w:ascii="仿宋" w:hAnsi="仿宋" w:eastAsia="仿宋"/>
          <w:sz w:val="32"/>
          <w:szCs w:val="32"/>
          <w:shd w:val="clear" w:color="auto" w:fill="FFFFFF"/>
        </w:rPr>
      </w:pPr>
      <w:r>
        <w:rPr>
          <w:rFonts w:ascii="仿宋" w:hAnsi="仿宋" w:eastAsia="仿宋"/>
          <w:sz w:val="32"/>
          <w:szCs w:val="32"/>
          <w:shd w:val="clear" w:color="auto" w:fill="FFFFFF"/>
        </w:rPr>
        <w:t>2021</w:t>
      </w:r>
      <w:r>
        <w:rPr>
          <w:rFonts w:hint="eastAsia" w:ascii="仿宋" w:hAnsi="仿宋" w:eastAsia="仿宋"/>
          <w:sz w:val="32"/>
          <w:szCs w:val="32"/>
          <w:shd w:val="clear" w:color="auto" w:fill="FFFFFF"/>
        </w:rPr>
        <w:t>年，围绕全县重点禁捕水域，溆浦县森林公安局与县农业农村局已联合执法巡查</w:t>
      </w:r>
      <w:r>
        <w:rPr>
          <w:rFonts w:ascii="仿宋" w:hAnsi="仿宋" w:eastAsia="仿宋"/>
          <w:sz w:val="32"/>
          <w:szCs w:val="32"/>
          <w:shd w:val="clear" w:color="auto" w:fill="FFFFFF"/>
        </w:rPr>
        <w:t>310</w:t>
      </w:r>
      <w:r>
        <w:rPr>
          <w:rFonts w:hint="eastAsia" w:ascii="仿宋" w:hAnsi="仿宋" w:eastAsia="仿宋"/>
          <w:sz w:val="32"/>
          <w:szCs w:val="32"/>
          <w:shd w:val="clear" w:color="auto" w:fill="FFFFFF"/>
        </w:rPr>
        <w:t>余次，出动警力</w:t>
      </w:r>
      <w:r>
        <w:rPr>
          <w:rFonts w:ascii="仿宋" w:hAnsi="仿宋" w:eastAsia="仿宋"/>
          <w:sz w:val="32"/>
          <w:szCs w:val="32"/>
          <w:shd w:val="clear" w:color="auto" w:fill="FFFFFF"/>
        </w:rPr>
        <w:t>1170</w:t>
      </w:r>
      <w:r>
        <w:rPr>
          <w:rFonts w:hint="eastAsia" w:ascii="仿宋" w:hAnsi="仿宋" w:eastAsia="仿宋"/>
          <w:sz w:val="32"/>
          <w:szCs w:val="32"/>
          <w:shd w:val="clear" w:color="auto" w:fill="FFFFFF"/>
        </w:rPr>
        <w:t>余人次，出动车辆</w:t>
      </w:r>
      <w:r>
        <w:rPr>
          <w:rFonts w:ascii="仿宋" w:hAnsi="仿宋" w:eastAsia="仿宋"/>
          <w:sz w:val="32"/>
          <w:szCs w:val="32"/>
          <w:shd w:val="clear" w:color="auto" w:fill="FFFFFF"/>
        </w:rPr>
        <w:t>600</w:t>
      </w:r>
      <w:r>
        <w:rPr>
          <w:rFonts w:hint="eastAsia" w:ascii="仿宋" w:hAnsi="仿宋" w:eastAsia="仿宋"/>
          <w:sz w:val="32"/>
          <w:szCs w:val="32"/>
          <w:shd w:val="clear" w:color="auto" w:fill="FFFFFF"/>
        </w:rPr>
        <w:t>台次，执法船只</w:t>
      </w:r>
      <w:r>
        <w:rPr>
          <w:rFonts w:ascii="仿宋" w:hAnsi="仿宋" w:eastAsia="仿宋"/>
          <w:sz w:val="32"/>
          <w:szCs w:val="32"/>
          <w:shd w:val="clear" w:color="auto" w:fill="FFFFFF"/>
        </w:rPr>
        <w:t>38</w:t>
      </w:r>
      <w:r>
        <w:rPr>
          <w:rFonts w:hint="eastAsia" w:ascii="仿宋" w:hAnsi="仿宋" w:eastAsia="仿宋"/>
          <w:sz w:val="32"/>
          <w:szCs w:val="32"/>
          <w:shd w:val="clear" w:color="auto" w:fill="FFFFFF"/>
        </w:rPr>
        <w:t>艘次。没收非法电鱼设备</w:t>
      </w:r>
      <w:r>
        <w:rPr>
          <w:rFonts w:ascii="仿宋" w:hAnsi="仿宋" w:eastAsia="仿宋"/>
          <w:sz w:val="32"/>
          <w:szCs w:val="32"/>
          <w:shd w:val="clear" w:color="auto" w:fill="FFFFFF"/>
        </w:rPr>
        <w:t>20</w:t>
      </w:r>
      <w:r>
        <w:rPr>
          <w:rFonts w:hint="eastAsia" w:ascii="仿宋" w:hAnsi="仿宋" w:eastAsia="仿宋"/>
          <w:sz w:val="32"/>
          <w:szCs w:val="32"/>
          <w:shd w:val="clear" w:color="auto" w:fill="FFFFFF"/>
        </w:rPr>
        <w:t>台，没收“地笼网”等禁用网具</w:t>
      </w:r>
      <w:r>
        <w:rPr>
          <w:rFonts w:ascii="仿宋" w:hAnsi="仿宋" w:eastAsia="仿宋"/>
          <w:sz w:val="32"/>
          <w:szCs w:val="32"/>
          <w:shd w:val="clear" w:color="auto" w:fill="FFFFFF"/>
        </w:rPr>
        <w:t>160</w:t>
      </w:r>
      <w:r>
        <w:rPr>
          <w:rFonts w:hint="eastAsia" w:ascii="仿宋" w:hAnsi="仿宋" w:eastAsia="仿宋"/>
          <w:sz w:val="32"/>
          <w:szCs w:val="32"/>
          <w:shd w:val="clear" w:color="auto" w:fill="FFFFFF"/>
        </w:rPr>
        <w:t>余张、可视锚鱼新型捕鱼工具</w:t>
      </w:r>
      <w:r>
        <w:rPr>
          <w:rFonts w:ascii="仿宋" w:hAnsi="仿宋" w:eastAsia="仿宋"/>
          <w:sz w:val="32"/>
          <w:szCs w:val="32"/>
          <w:shd w:val="clear" w:color="auto" w:fill="FFFFFF"/>
        </w:rPr>
        <w:t>5</w:t>
      </w:r>
      <w:r>
        <w:rPr>
          <w:rFonts w:hint="eastAsia" w:ascii="仿宋" w:hAnsi="仿宋" w:eastAsia="仿宋"/>
          <w:sz w:val="32"/>
          <w:szCs w:val="32"/>
          <w:shd w:val="clear" w:color="auto" w:fill="FFFFFF"/>
        </w:rPr>
        <w:t>套、其他禁用钓具</w:t>
      </w:r>
      <w:r>
        <w:rPr>
          <w:rFonts w:ascii="仿宋" w:hAnsi="仿宋" w:eastAsia="仿宋"/>
          <w:sz w:val="32"/>
          <w:szCs w:val="32"/>
          <w:shd w:val="clear" w:color="auto" w:fill="FFFFFF"/>
        </w:rPr>
        <w:t>300</w:t>
      </w:r>
      <w:r>
        <w:rPr>
          <w:rFonts w:hint="eastAsia" w:ascii="仿宋" w:hAnsi="仿宋" w:eastAsia="仿宋"/>
          <w:sz w:val="32"/>
          <w:szCs w:val="32"/>
          <w:shd w:val="clear" w:color="auto" w:fill="FFFFFF"/>
        </w:rPr>
        <w:t>余根，扣押涉案三无船只</w:t>
      </w:r>
      <w:r>
        <w:rPr>
          <w:rFonts w:ascii="仿宋" w:hAnsi="仿宋" w:eastAsia="仿宋"/>
          <w:sz w:val="32"/>
          <w:szCs w:val="32"/>
          <w:shd w:val="clear" w:color="auto" w:fill="FFFFFF"/>
        </w:rPr>
        <w:t>5</w:t>
      </w:r>
      <w:r>
        <w:rPr>
          <w:rFonts w:hint="eastAsia" w:ascii="仿宋" w:hAnsi="仿宋" w:eastAsia="仿宋"/>
          <w:sz w:val="32"/>
          <w:szCs w:val="32"/>
          <w:shd w:val="clear" w:color="auto" w:fill="FFFFFF"/>
        </w:rPr>
        <w:t>艘，处置渔获物</w:t>
      </w:r>
      <w:r>
        <w:rPr>
          <w:rFonts w:ascii="仿宋" w:hAnsi="仿宋" w:eastAsia="仿宋"/>
          <w:sz w:val="32"/>
          <w:szCs w:val="32"/>
          <w:shd w:val="clear" w:color="auto" w:fill="FFFFFF"/>
        </w:rPr>
        <w:t>110</w:t>
      </w:r>
      <w:r>
        <w:rPr>
          <w:rFonts w:hint="eastAsia" w:ascii="仿宋" w:hAnsi="仿宋" w:eastAsia="仿宋"/>
          <w:sz w:val="32"/>
          <w:szCs w:val="32"/>
          <w:shd w:val="clear" w:color="auto" w:fill="FFFFFF"/>
        </w:rPr>
        <w:t>余公斤。共立破非法捕捞水产品刑事案件</w:t>
      </w:r>
      <w:r>
        <w:rPr>
          <w:rFonts w:ascii="仿宋" w:hAnsi="仿宋" w:eastAsia="仿宋"/>
          <w:sz w:val="32"/>
          <w:szCs w:val="32"/>
          <w:shd w:val="clear" w:color="auto" w:fill="FFFFFF"/>
        </w:rPr>
        <w:t>29</w:t>
      </w:r>
      <w:r>
        <w:rPr>
          <w:rFonts w:hint="eastAsia" w:ascii="仿宋" w:hAnsi="仿宋" w:eastAsia="仿宋"/>
          <w:sz w:val="32"/>
          <w:szCs w:val="32"/>
          <w:shd w:val="clear" w:color="auto" w:fill="FFFFFF"/>
        </w:rPr>
        <w:t>起，起诉</w:t>
      </w:r>
      <w:r>
        <w:rPr>
          <w:rFonts w:ascii="仿宋" w:hAnsi="仿宋" w:eastAsia="仿宋"/>
          <w:sz w:val="32"/>
          <w:szCs w:val="32"/>
          <w:shd w:val="clear" w:color="auto" w:fill="FFFFFF"/>
        </w:rPr>
        <w:t>33</w:t>
      </w:r>
      <w:r>
        <w:rPr>
          <w:rFonts w:hint="eastAsia" w:ascii="仿宋" w:hAnsi="仿宋" w:eastAsia="仿宋"/>
          <w:sz w:val="32"/>
          <w:szCs w:val="32"/>
          <w:shd w:val="clear" w:color="auto" w:fill="FFFFFF"/>
        </w:rPr>
        <w:t>人，全部采取刑事强制措施，行政处罚</w:t>
      </w:r>
      <w:r>
        <w:rPr>
          <w:rFonts w:ascii="仿宋" w:hAnsi="仿宋" w:eastAsia="仿宋"/>
          <w:sz w:val="32"/>
          <w:szCs w:val="32"/>
          <w:shd w:val="clear" w:color="auto" w:fill="FFFFFF"/>
        </w:rPr>
        <w:t>3</w:t>
      </w:r>
      <w:r>
        <w:rPr>
          <w:rFonts w:hint="eastAsia" w:ascii="仿宋" w:hAnsi="仿宋" w:eastAsia="仿宋"/>
          <w:sz w:val="32"/>
          <w:szCs w:val="32"/>
          <w:shd w:val="clear" w:color="auto" w:fill="FFFFFF"/>
        </w:rPr>
        <w:t>起</w:t>
      </w:r>
      <w:r>
        <w:rPr>
          <w:rFonts w:ascii="仿宋" w:hAnsi="仿宋" w:eastAsia="仿宋"/>
          <w:sz w:val="32"/>
          <w:szCs w:val="32"/>
          <w:shd w:val="clear" w:color="auto" w:fill="FFFFFF"/>
        </w:rPr>
        <w:t>3</w:t>
      </w:r>
      <w:r>
        <w:rPr>
          <w:rFonts w:hint="eastAsia" w:ascii="仿宋" w:hAnsi="仿宋" w:eastAsia="仿宋"/>
          <w:sz w:val="32"/>
          <w:szCs w:val="32"/>
          <w:shd w:val="clear" w:color="auto" w:fill="FFFFFF"/>
        </w:rPr>
        <w:t>人。</w:t>
      </w:r>
      <w:r>
        <w:rPr>
          <w:rFonts w:ascii="仿宋" w:hAnsi="仿宋" w:eastAsia="仿宋"/>
          <w:sz w:val="32"/>
          <w:szCs w:val="32"/>
          <w:shd w:val="clear" w:color="auto" w:fill="FFFFFF"/>
        </w:rPr>
        <w:t>2021</w:t>
      </w:r>
      <w:r>
        <w:rPr>
          <w:rFonts w:hint="eastAsia" w:ascii="仿宋" w:hAnsi="仿宋" w:eastAsia="仿宋"/>
          <w:sz w:val="32"/>
          <w:szCs w:val="32"/>
          <w:shd w:val="clear" w:color="auto" w:fill="FFFFFF"/>
        </w:rPr>
        <w:t>年，围绕全县农产品批发市场、农贸市场、商超和餐饮单位，县市场监督管理局、县城市管理行政执法局、县农业农村局联合开展执法行动</w:t>
      </w:r>
      <w:r>
        <w:rPr>
          <w:rFonts w:ascii="仿宋" w:hAnsi="仿宋" w:eastAsia="仿宋"/>
          <w:sz w:val="32"/>
          <w:szCs w:val="32"/>
          <w:shd w:val="clear" w:color="auto" w:fill="FFFFFF"/>
        </w:rPr>
        <w:t>128</w:t>
      </w:r>
      <w:r>
        <w:rPr>
          <w:rFonts w:hint="eastAsia" w:ascii="仿宋" w:hAnsi="仿宋" w:eastAsia="仿宋"/>
          <w:sz w:val="32"/>
          <w:szCs w:val="32"/>
          <w:shd w:val="clear" w:color="auto" w:fill="FFFFFF"/>
        </w:rPr>
        <w:t>次，检查农贸（批）市场</w:t>
      </w:r>
      <w:r>
        <w:rPr>
          <w:rFonts w:ascii="仿宋" w:hAnsi="仿宋" w:eastAsia="仿宋"/>
          <w:sz w:val="32"/>
          <w:szCs w:val="32"/>
          <w:shd w:val="clear" w:color="auto" w:fill="FFFFFF"/>
        </w:rPr>
        <w:t>992</w:t>
      </w:r>
      <w:r>
        <w:rPr>
          <w:rFonts w:hint="eastAsia" w:ascii="仿宋" w:hAnsi="仿宋" w:eastAsia="仿宋"/>
          <w:sz w:val="32"/>
          <w:szCs w:val="32"/>
          <w:shd w:val="clear" w:color="auto" w:fill="FFFFFF"/>
        </w:rPr>
        <w:t>个次、餐饮单位</w:t>
      </w:r>
      <w:r>
        <w:rPr>
          <w:rFonts w:ascii="仿宋" w:hAnsi="仿宋" w:eastAsia="仿宋"/>
          <w:sz w:val="32"/>
          <w:szCs w:val="32"/>
          <w:shd w:val="clear" w:color="auto" w:fill="FFFFFF"/>
        </w:rPr>
        <w:t>7904</w:t>
      </w:r>
      <w:r>
        <w:rPr>
          <w:rFonts w:hint="eastAsia" w:ascii="仿宋" w:hAnsi="仿宋" w:eastAsia="仿宋"/>
          <w:sz w:val="32"/>
          <w:szCs w:val="32"/>
          <w:shd w:val="clear" w:color="auto" w:fill="FFFFFF"/>
        </w:rPr>
        <w:t>家次、水产经营户</w:t>
      </w:r>
      <w:r>
        <w:rPr>
          <w:rFonts w:ascii="仿宋" w:hAnsi="仿宋" w:eastAsia="仿宋"/>
          <w:sz w:val="32"/>
          <w:szCs w:val="32"/>
          <w:shd w:val="clear" w:color="auto" w:fill="FFFFFF"/>
        </w:rPr>
        <w:t>200</w:t>
      </w:r>
      <w:r>
        <w:rPr>
          <w:rFonts w:hint="eastAsia" w:ascii="仿宋" w:hAnsi="仿宋" w:eastAsia="仿宋"/>
          <w:sz w:val="32"/>
          <w:szCs w:val="32"/>
          <w:shd w:val="clear" w:color="auto" w:fill="FFFFFF"/>
        </w:rPr>
        <w:t>户次和渔具经营店</w:t>
      </w:r>
      <w:r>
        <w:rPr>
          <w:rFonts w:ascii="仿宋" w:hAnsi="仿宋" w:eastAsia="仿宋"/>
          <w:sz w:val="32"/>
          <w:szCs w:val="32"/>
          <w:shd w:val="clear" w:color="auto" w:fill="FFFFFF"/>
        </w:rPr>
        <w:t>296</w:t>
      </w:r>
      <w:r>
        <w:rPr>
          <w:rFonts w:hint="eastAsia" w:ascii="仿宋" w:hAnsi="仿宋" w:eastAsia="仿宋"/>
          <w:sz w:val="32"/>
          <w:szCs w:val="32"/>
          <w:shd w:val="clear" w:color="auto" w:fill="FFFFFF"/>
        </w:rPr>
        <w:t>户次，下达违规整改通知书</w:t>
      </w:r>
      <w:r>
        <w:rPr>
          <w:rFonts w:ascii="仿宋" w:hAnsi="仿宋" w:eastAsia="仿宋"/>
          <w:sz w:val="32"/>
          <w:szCs w:val="32"/>
          <w:shd w:val="clear" w:color="auto" w:fill="FFFFFF"/>
        </w:rPr>
        <w:t>1350</w:t>
      </w:r>
      <w:r>
        <w:rPr>
          <w:rFonts w:hint="eastAsia" w:ascii="仿宋" w:hAnsi="仿宋" w:eastAsia="仿宋"/>
          <w:sz w:val="32"/>
          <w:szCs w:val="32"/>
          <w:shd w:val="clear" w:color="auto" w:fill="FFFFFF"/>
        </w:rPr>
        <w:t>余份，督促生产经营主体签订不采购无票无据的长江河鲜、野生河鱼《承诺书》</w:t>
      </w:r>
      <w:r>
        <w:rPr>
          <w:rFonts w:ascii="仿宋" w:hAnsi="仿宋" w:eastAsia="仿宋"/>
          <w:sz w:val="32"/>
          <w:szCs w:val="32"/>
          <w:shd w:val="clear" w:color="auto" w:fill="FFFFFF"/>
        </w:rPr>
        <w:t>2000</w:t>
      </w:r>
      <w:r>
        <w:rPr>
          <w:rFonts w:hint="eastAsia" w:ascii="仿宋" w:hAnsi="仿宋" w:eastAsia="仿宋"/>
          <w:sz w:val="32"/>
          <w:szCs w:val="32"/>
          <w:shd w:val="clear" w:color="auto" w:fill="FFFFFF"/>
        </w:rPr>
        <w:t>余份。依法查处食尚有味餐饮店销售无合法来源鲤鱼案，被列入市监总局“长江禁捕打非断链”专项行动典型案例。</w:t>
      </w:r>
    </w:p>
    <w:p>
      <w:pPr>
        <w:pStyle w:val="9"/>
        <w:widowControl w:val="0"/>
        <w:spacing w:before="0" w:beforeAutospacing="0" w:after="0" w:afterAutospacing="0" w:line="580" w:lineRule="exact"/>
        <w:ind w:firstLine="640" w:firstLineChars="200"/>
        <w:jc w:val="both"/>
        <w:rPr>
          <w:rFonts w:hint="eastAsia" w:ascii="仿宋" w:hAnsi="仿宋" w:eastAsia="仿宋"/>
          <w:sz w:val="32"/>
          <w:szCs w:val="32"/>
        </w:rPr>
      </w:pPr>
      <w:r>
        <w:rPr>
          <w:rFonts w:hint="eastAsia" w:ascii="仿宋" w:hAnsi="仿宋" w:eastAsia="仿宋"/>
          <w:sz w:val="32"/>
          <w:szCs w:val="32"/>
        </w:rPr>
        <w:t>六、存在的主要问题</w:t>
      </w:r>
    </w:p>
    <w:p>
      <w:pPr>
        <w:shd w:val="clear" w:color="auto" w:fill="FFFFFF"/>
        <w:spacing w:line="580" w:lineRule="exact"/>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一是预算编制有待优化。预算编制与实际支出差异较大。</w:t>
      </w:r>
    </w:p>
    <w:p>
      <w:pPr>
        <w:spacing w:line="580" w:lineRule="exact"/>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二是管理制度有待完善，虽然制定了《溆浦县农业农村局机关财务管理办法》、《溆浦县农业农村局机关车辆管理制度》等制度，依然存在不足。我局需要继续完善单位内部控制制度。</w:t>
      </w:r>
    </w:p>
    <w:p>
      <w:pPr>
        <w:pStyle w:val="9"/>
        <w:widowControl w:val="0"/>
        <w:spacing w:before="0" w:beforeAutospacing="0" w:after="0" w:afterAutospacing="0" w:line="580" w:lineRule="exact"/>
        <w:ind w:firstLine="640" w:firstLineChars="200"/>
        <w:jc w:val="both"/>
        <w:rPr>
          <w:rFonts w:hint="eastAsia" w:ascii="仿宋" w:hAnsi="仿宋" w:eastAsia="仿宋"/>
          <w:sz w:val="32"/>
          <w:szCs w:val="32"/>
        </w:rPr>
      </w:pPr>
      <w:r>
        <w:rPr>
          <w:rFonts w:hint="eastAsia" w:ascii="仿宋" w:hAnsi="仿宋" w:eastAsia="仿宋"/>
          <w:sz w:val="32"/>
          <w:szCs w:val="32"/>
        </w:rPr>
        <w:t>七、有关建议</w:t>
      </w:r>
    </w:p>
    <w:p>
      <w:pPr>
        <w:numPr>
          <w:ilvl w:val="0"/>
          <w:numId w:val="2"/>
        </w:num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科学合理编制预算，严格执行预算。一是加强支出分析，增强对经费支出的预判能力，提高预算编制的科学性。二是合理确定支出范围、开支标准，做到应支尽支、应支才支，提高预算编制的合理性和准确性。</w:t>
      </w:r>
    </w:p>
    <w:p>
      <w:pPr>
        <w:numPr>
          <w:ilvl w:val="0"/>
          <w:numId w:val="2"/>
        </w:numPr>
        <w:shd w:val="clear" w:color="auto" w:fill="FFFFFF"/>
        <w:spacing w:line="580" w:lineRule="exact"/>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进一步强化绩效考核意识，将绩效考核工作纳入全局工作目标。</w:t>
      </w:r>
    </w:p>
    <w:p>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_GB2312">
    <w:altName w:val="Segoe Print"/>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7C4F70A"/>
    <w:multiLevelType w:val="singleLevel"/>
    <w:tmpl w:val="57C4F70A"/>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zNjA4ZmU3NTQ0MzI3NGQ0NGRkOWMxYThhZjBkMjcifQ=="/>
  </w:docVars>
  <w:rsids>
    <w:rsidRoot w:val="004506F9"/>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60B45EB"/>
    <w:rsid w:val="0BE803F1"/>
    <w:rsid w:val="15B744D6"/>
    <w:rsid w:val="16C11B03"/>
    <w:rsid w:val="23C14D25"/>
    <w:rsid w:val="3971469F"/>
    <w:rsid w:val="3C0E2105"/>
    <w:rsid w:val="43FD16F6"/>
    <w:rsid w:val="49830203"/>
    <w:rsid w:val="4DD81AE1"/>
    <w:rsid w:val="4DE66FB2"/>
    <w:rsid w:val="504822C3"/>
    <w:rsid w:val="5DB56314"/>
    <w:rsid w:val="60C82138"/>
    <w:rsid w:val="6D0B4B2F"/>
    <w:rsid w:val="7147612B"/>
    <w:rsid w:val="77775A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Normal Indent"/>
    <w:basedOn w:val="1"/>
    <w:unhideWhenUsed/>
    <w:qFormat/>
    <w:uiPriority w:val="99"/>
    <w:pPr>
      <w:ind w:firstLine="420" w:firstLineChars="200"/>
    </w:pPr>
  </w:style>
  <w:style w:type="paragraph" w:styleId="4">
    <w:name w:val="Body Text Indent"/>
    <w:basedOn w:val="1"/>
    <w:next w:val="1"/>
    <w:unhideWhenUsed/>
    <w:qFormat/>
    <w:uiPriority w:val="99"/>
    <w:pPr>
      <w:spacing w:after="120"/>
      <w:ind w:left="420" w:leftChars="200"/>
    </w:pPr>
  </w:style>
  <w:style w:type="paragraph" w:styleId="5">
    <w:name w:val="Balloon Text"/>
    <w:basedOn w:val="1"/>
    <w:link w:val="17"/>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0"/>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0">
    <w:name w:val="Body Text First Indent 2"/>
    <w:basedOn w:val="4"/>
    <w:unhideWhenUsed/>
    <w:qFormat/>
    <w:uiPriority w:val="99"/>
    <w:pPr>
      <w:spacing w:after="0"/>
      <w:ind w:left="0" w:leftChars="0" w:firstLine="420" w:firstLineChars="200"/>
    </w:pPr>
    <w:rPr>
      <w:rFonts w:eastAsia="仿宋_GB2312"/>
      <w:sz w:val="36"/>
      <w:szCs w:val="36"/>
    </w:rPr>
  </w:style>
  <w:style w:type="character" w:customStyle="1" w:styleId="13">
    <w:name w:val="页眉 Char"/>
    <w:basedOn w:val="12"/>
    <w:link w:val="7"/>
    <w:qFormat/>
    <w:uiPriority w:val="99"/>
    <w:rPr>
      <w:sz w:val="18"/>
      <w:szCs w:val="18"/>
    </w:rPr>
  </w:style>
  <w:style w:type="character" w:customStyle="1" w:styleId="14">
    <w:name w:val="页脚 Char"/>
    <w:basedOn w:val="12"/>
    <w:link w:val="6"/>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2"/>
    <w:link w:val="5"/>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80904-B2FB-4FE3-894F-42F14B17BC5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65</Pages>
  <Words>28530</Words>
  <Characters>34247</Characters>
  <Lines>69</Lines>
  <Paragraphs>19</Paragraphs>
  <TotalTime>0</TotalTime>
  <ScaleCrop>false</ScaleCrop>
  <LinksUpToDate>false</LinksUpToDate>
  <CharactersWithSpaces>34776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ASUS</cp:lastModifiedBy>
  <cp:lastPrinted>2022-07-27T12:55:00Z</cp:lastPrinted>
  <dcterms:modified xsi:type="dcterms:W3CDTF">2023-09-30T02:51:22Z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8691416FFFA24350863C60895FE3751D</vt:lpwstr>
  </property>
</Properties>
</file>