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怀化市生态环境局溆浦分局</w:t>
      </w:r>
      <w:r>
        <w:rPr>
          <w:rFonts w:hint="eastAsia" w:ascii="方正小标宋_GBK" w:hAnsi="方正小标宋_GBK" w:eastAsia="方正小标宋_GBK" w:cs="方正小标宋_GBK"/>
          <w:sz w:val="84"/>
          <w:szCs w:val="84"/>
        </w:rPr>
        <w:t>部门决算</w:t>
      </w:r>
    </w:p>
    <w:p>
      <w:pPr>
        <w:pStyle w:val="10"/>
        <w:jc w:val="center"/>
        <w:rPr>
          <w:rFonts w:hint="eastAsia" w:ascii="方正小标宋_GBK" w:hAnsi="方正小标宋_GBK" w:eastAsia="方正小标宋_GBK" w:cs="方正小标宋_GBK"/>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00" w:lineRule="exact"/>
        <w:ind w:firstLine="3614" w:firstLineChars="1000"/>
        <w:jc w:val="both"/>
        <w:rPr>
          <w:b/>
          <w:sz w:val="36"/>
          <w:szCs w:val="28"/>
        </w:rPr>
      </w:pPr>
      <w:r>
        <w:rPr>
          <w:rFonts w:hint="eastAsia"/>
          <w:b/>
          <w:sz w:val="36"/>
          <w:szCs w:val="28"/>
        </w:rPr>
        <w:t>目</w:t>
      </w:r>
      <w:r>
        <w:rPr>
          <w:rFonts w:hint="eastAsia"/>
          <w:b/>
          <w:sz w:val="36"/>
          <w:szCs w:val="28"/>
          <w:lang w:val="en-US" w:eastAsia="zh-CN"/>
        </w:rPr>
        <w:t xml:space="preserve">         </w:t>
      </w:r>
      <w:r>
        <w:rPr>
          <w:rFonts w:hint="eastAsia"/>
          <w:b/>
          <w:sz w:val="36"/>
          <w:szCs w:val="28"/>
        </w:rPr>
        <w:t>录</w:t>
      </w:r>
    </w:p>
    <w:p>
      <w:pPr>
        <w:pStyle w:val="10"/>
        <w:spacing w:line="500" w:lineRule="exact"/>
        <w:rPr>
          <w:rFonts w:hint="eastAsia" w:ascii="黑体" w:hAnsi="黑体" w:eastAsia="黑体" w:cs="黑体"/>
          <w:b w:val="0"/>
          <w:bCs/>
          <w:sz w:val="28"/>
          <w:szCs w:val="28"/>
        </w:rPr>
      </w:pP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lang w:eastAsia="zh-CN"/>
        </w:rPr>
        <w:t>怀化市生态环境局溆浦分局部门</w:t>
      </w:r>
      <w:r>
        <w:rPr>
          <w:rFonts w:hint="eastAsia" w:ascii="黑体" w:hAnsi="黑体" w:eastAsia="黑体" w:cs="黑体"/>
          <w:b w:val="0"/>
          <w:bCs/>
          <w:sz w:val="28"/>
          <w:szCs w:val="28"/>
        </w:rPr>
        <w:t>概况</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九、</w:t>
      </w:r>
      <w:r>
        <w:rPr>
          <w:rFonts w:hint="eastAsia" w:ascii="仿宋_GB2312" w:hAnsi="仿宋_GB2312" w:eastAsia="仿宋_GB2312" w:cs="仿宋_GB2312"/>
          <w:sz w:val="28"/>
          <w:szCs w:val="28"/>
        </w:rPr>
        <w:t>国有资本经营预算财政拨款</w:t>
      </w:r>
      <w:r>
        <w:rPr>
          <w:rFonts w:hint="eastAsia" w:ascii="仿宋_GB2312" w:hAnsi="仿宋_GB2312" w:eastAsia="仿宋_GB2312" w:cs="仿宋_GB2312"/>
          <w:sz w:val="28"/>
          <w:szCs w:val="28"/>
          <w:lang w:eastAsia="zh-CN"/>
        </w:rPr>
        <w:t>收入</w:t>
      </w:r>
      <w:r>
        <w:rPr>
          <w:rFonts w:hint="eastAsia" w:ascii="仿宋_GB2312" w:hAnsi="仿宋_GB2312" w:eastAsia="仿宋_GB2312" w:cs="仿宋_GB2312"/>
          <w:sz w:val="28"/>
          <w:szCs w:val="28"/>
        </w:rPr>
        <w:t>支出</w:t>
      </w:r>
      <w:r>
        <w:rPr>
          <w:rFonts w:hint="eastAsia" w:ascii="仿宋_GB2312" w:hAnsi="仿宋_GB2312" w:eastAsia="仿宋_GB2312" w:cs="仿宋_GB2312"/>
          <w:color w:val="000000"/>
          <w:kern w:val="0"/>
          <w:sz w:val="28"/>
          <w:szCs w:val="28"/>
        </w:rPr>
        <w:t>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十</w:t>
      </w:r>
      <w:r>
        <w:rPr>
          <w:rFonts w:hint="eastAsia" w:ascii="仿宋_GB2312" w:hAnsi="仿宋_GB2312" w:eastAsia="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eastAsia="zh-CN"/>
        </w:rPr>
        <w:t>一</w:t>
      </w:r>
      <w:r>
        <w:rPr>
          <w:rFonts w:hint="eastAsia" w:ascii="仿宋_GB2312" w:hAnsi="仿宋_GB2312" w:eastAsia="仿宋_GB2312" w:cs="仿宋_GB2312"/>
          <w:color w:val="000000"/>
          <w:kern w:val="0"/>
          <w:sz w:val="28"/>
          <w:szCs w:val="28"/>
        </w:rPr>
        <w:t>、一般性支出情况说明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sz w:val="28"/>
          <w:szCs w:val="28"/>
        </w:rPr>
        <w:t>二</w:t>
      </w:r>
      <w:r>
        <w:rPr>
          <w:rFonts w:hint="eastAsia" w:ascii="仿宋_GB2312" w:hAnsi="仿宋_GB2312" w:eastAsia="仿宋_GB2312" w:cs="仿宋_GB2312"/>
          <w:color w:val="000000"/>
          <w:kern w:val="0"/>
          <w:sz w:val="28"/>
          <w:szCs w:val="28"/>
        </w:rPr>
        <w:t>、关于政府采购支出说明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十三、关于国有资产占用情况说明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、关于预算绩效情况的说明</w:t>
      </w:r>
    </w:p>
    <w:p>
      <w:pPr>
        <w:pStyle w:val="10"/>
        <w:spacing w:line="500" w:lineRule="exact"/>
        <w:ind w:firstLine="560" w:firstLineChars="200"/>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怀化市生态环境局溆浦分局</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1"/>
        <w:numPr>
          <w:ilvl w:val="0"/>
          <w:numId w:val="1"/>
        </w:numPr>
        <w:ind w:left="1277" w:leftChars="0" w:hanging="720"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450" w:firstLineChars="150"/>
        <w:rPr>
          <w:rFonts w:hint="eastAsia" w:ascii="仿宋" w:hAnsi="仿宋" w:eastAsia="仿宋" w:cs="仿宋"/>
          <w:sz w:val="30"/>
          <w:szCs w:val="30"/>
          <w:lang w:eastAsia="zh-CN"/>
        </w:rPr>
      </w:pPr>
      <w:r>
        <w:rPr>
          <w:rFonts w:ascii="仿宋" w:hAnsi="仿宋" w:eastAsia="仿宋" w:cs="仿宋"/>
          <w:sz w:val="30"/>
          <w:szCs w:val="30"/>
        </w:rPr>
        <w:t>(</w:t>
      </w:r>
      <w:r>
        <w:rPr>
          <w:rFonts w:hint="eastAsia" w:ascii="仿宋" w:hAnsi="仿宋" w:eastAsia="仿宋" w:cs="仿宋"/>
          <w:sz w:val="30"/>
          <w:szCs w:val="30"/>
        </w:rPr>
        <w:t>一</w:t>
      </w:r>
      <w:r>
        <w:rPr>
          <w:rFonts w:ascii="仿宋" w:hAnsi="仿宋" w:eastAsia="仿宋" w:cs="仿宋"/>
          <w:sz w:val="30"/>
          <w:szCs w:val="30"/>
        </w:rPr>
        <w:t>)</w:t>
      </w:r>
      <w:r>
        <w:rPr>
          <w:rFonts w:hint="eastAsia" w:ascii="仿宋" w:hAnsi="仿宋" w:eastAsia="仿宋" w:cs="仿宋"/>
          <w:sz w:val="30"/>
          <w:szCs w:val="30"/>
        </w:rPr>
        <w:t>负责建立健全全县环境保护基本制度。贯彻执行国家环境保护的方针、政策和法律、法规，拟订全县环境保护规章制度和环境保护技术政策并监督实施。组织编制全县环境功能区划，组织拟订并监督实施全县污染防治规划和饮用水水源地环境保护规划，组织实施环境友好型社会建设目标，参与制定全县主体功能区规划；负责指导全县环境保护经济政策的制定和实施，建立全县企业事业单位环境行为信用体系。</w:t>
      </w:r>
    </w:p>
    <w:p>
      <w:pPr>
        <w:ind w:firstLine="450" w:firstLineChars="150"/>
        <w:rPr>
          <w:rFonts w:hint="eastAsia" w:ascii="仿宋" w:hAnsi="仿宋" w:eastAsia="仿宋" w:cs="仿宋"/>
          <w:sz w:val="30"/>
          <w:szCs w:val="30"/>
          <w:lang w:eastAsia="zh-CN"/>
        </w:rPr>
      </w:pPr>
      <w:r>
        <w:rPr>
          <w:rFonts w:ascii="仿宋" w:hAnsi="仿宋" w:eastAsia="仿宋" w:cs="仿宋"/>
          <w:sz w:val="30"/>
          <w:szCs w:val="30"/>
        </w:rPr>
        <w:t xml:space="preserve"> (</w:t>
      </w:r>
      <w:r>
        <w:rPr>
          <w:rFonts w:hint="eastAsia" w:ascii="仿宋" w:hAnsi="仿宋" w:eastAsia="仿宋" w:cs="仿宋"/>
          <w:sz w:val="30"/>
          <w:szCs w:val="30"/>
        </w:rPr>
        <w:t>二</w:t>
      </w:r>
      <w:r>
        <w:rPr>
          <w:rFonts w:ascii="仿宋" w:hAnsi="仿宋" w:eastAsia="仿宋" w:cs="仿宋"/>
          <w:sz w:val="30"/>
          <w:szCs w:val="30"/>
        </w:rPr>
        <w:t>)</w:t>
      </w:r>
      <w:r>
        <w:rPr>
          <w:rFonts w:hint="eastAsia" w:ascii="仿宋" w:hAnsi="仿宋" w:eastAsia="仿宋" w:cs="仿宋"/>
          <w:sz w:val="30"/>
          <w:szCs w:val="30"/>
        </w:rPr>
        <w:t>负责防治环境问题的统筹协调和监督管理。牵头协调环境污染事故和生态破坏事件的调查处理，指导协调全县突发环境事件的应急、预警工作，协调解决全县环境污染纠纷，统筹协调全县流域、区域污染防治工作，负责排污费的征收和稽查。</w:t>
      </w:r>
    </w:p>
    <w:p>
      <w:pPr>
        <w:ind w:firstLine="450" w:firstLineChars="150"/>
        <w:rPr>
          <w:rFonts w:hint="eastAsia" w:ascii="仿宋" w:hAnsi="仿宋" w:eastAsia="仿宋" w:cs="仿宋"/>
          <w:sz w:val="30"/>
          <w:szCs w:val="30"/>
          <w:lang w:eastAsia="zh-CN"/>
        </w:rPr>
      </w:pPr>
      <w:r>
        <w:rPr>
          <w:rFonts w:ascii="仿宋" w:hAnsi="仿宋" w:eastAsia="仿宋" w:cs="仿宋"/>
          <w:sz w:val="30"/>
          <w:szCs w:val="30"/>
        </w:rPr>
        <w:t xml:space="preserve"> (</w:t>
      </w:r>
      <w:r>
        <w:rPr>
          <w:rFonts w:hint="eastAsia" w:ascii="仿宋" w:hAnsi="仿宋" w:eastAsia="仿宋" w:cs="仿宋"/>
          <w:sz w:val="30"/>
          <w:szCs w:val="30"/>
        </w:rPr>
        <w:t>三</w:t>
      </w:r>
      <w:r>
        <w:rPr>
          <w:rFonts w:ascii="仿宋" w:hAnsi="仿宋" w:eastAsia="仿宋" w:cs="仿宋"/>
          <w:sz w:val="30"/>
          <w:szCs w:val="30"/>
        </w:rPr>
        <w:t>)</w:t>
      </w:r>
      <w:r>
        <w:rPr>
          <w:rFonts w:hint="eastAsia" w:ascii="仿宋" w:hAnsi="仿宋" w:eastAsia="仿宋" w:cs="仿宋"/>
          <w:sz w:val="30"/>
          <w:szCs w:val="30"/>
        </w:rPr>
        <w:t>承担落实全县减排目标的责任。组织实施全县主要污染物排放总量控制和排污许可证制度，提出实施总量控制的污染物名称和控制指标，督查、督办、核查全县污染物减排任务完成情况，实施环境保护目标责任制、总量减排考核并公布考核结果；负责指导建立企业事业单位环境保护责任制。</w:t>
      </w:r>
    </w:p>
    <w:p>
      <w:pPr>
        <w:ind w:firstLine="450" w:firstLineChars="150"/>
        <w:rPr>
          <w:rFonts w:hint="eastAsia" w:ascii="仿宋" w:hAnsi="仿宋" w:eastAsia="仿宋" w:cs="仿宋"/>
          <w:sz w:val="30"/>
          <w:szCs w:val="30"/>
          <w:lang w:eastAsia="zh-CN"/>
        </w:rPr>
      </w:pPr>
      <w:r>
        <w:rPr>
          <w:rFonts w:ascii="仿宋" w:hAnsi="仿宋" w:eastAsia="仿宋" w:cs="仿宋"/>
          <w:sz w:val="30"/>
          <w:szCs w:val="30"/>
        </w:rPr>
        <w:t xml:space="preserve"> (</w:t>
      </w:r>
      <w:r>
        <w:rPr>
          <w:rFonts w:hint="eastAsia" w:ascii="仿宋" w:hAnsi="仿宋" w:eastAsia="仿宋" w:cs="仿宋"/>
          <w:sz w:val="30"/>
          <w:szCs w:val="30"/>
        </w:rPr>
        <w:t>四</w:t>
      </w:r>
      <w:r>
        <w:rPr>
          <w:rFonts w:ascii="仿宋" w:hAnsi="仿宋" w:eastAsia="仿宋" w:cs="仿宋"/>
          <w:sz w:val="30"/>
          <w:szCs w:val="30"/>
        </w:rPr>
        <w:t>)</w:t>
      </w:r>
      <w:r>
        <w:rPr>
          <w:rFonts w:hint="eastAsia" w:ascii="仿宋" w:hAnsi="仿宋" w:eastAsia="仿宋" w:cs="仿宋"/>
          <w:sz w:val="30"/>
          <w:szCs w:val="30"/>
        </w:rPr>
        <w:t>负责提出全县环境保护领域固定资产投资规模和方向、县级财政性资金安排的建议。参与指导和推动全县循环经济与环保产业发展。参与应对气候变化工作。</w:t>
      </w:r>
    </w:p>
    <w:p>
      <w:pPr>
        <w:ind w:firstLine="450" w:firstLineChars="150"/>
        <w:rPr>
          <w:rFonts w:ascii="仿宋" w:hAnsi="仿宋" w:eastAsia="仿宋"/>
          <w:sz w:val="30"/>
          <w:szCs w:val="30"/>
        </w:rPr>
      </w:pPr>
      <w:r>
        <w:rPr>
          <w:rFonts w:ascii="仿宋" w:hAnsi="仿宋" w:eastAsia="仿宋" w:cs="仿宋"/>
          <w:sz w:val="30"/>
          <w:szCs w:val="30"/>
        </w:rPr>
        <w:t>(</w:t>
      </w:r>
      <w:r>
        <w:rPr>
          <w:rFonts w:hint="eastAsia" w:ascii="仿宋" w:hAnsi="仿宋" w:eastAsia="仿宋" w:cs="仿宋"/>
          <w:sz w:val="30"/>
          <w:szCs w:val="30"/>
        </w:rPr>
        <w:t>五</w:t>
      </w:r>
      <w:r>
        <w:rPr>
          <w:rFonts w:ascii="仿宋" w:hAnsi="仿宋" w:eastAsia="仿宋" w:cs="仿宋"/>
          <w:sz w:val="30"/>
          <w:szCs w:val="30"/>
        </w:rPr>
        <w:t>)</w:t>
      </w:r>
      <w:r>
        <w:rPr>
          <w:rFonts w:hint="eastAsia" w:ascii="仿宋" w:hAnsi="仿宋" w:eastAsia="仿宋" w:cs="仿宋"/>
          <w:sz w:val="30"/>
          <w:szCs w:val="30"/>
        </w:rPr>
        <w:t>承担从源头上预防、控制环境污染和环境破坏的责任。受县政府委托对重大经济和技术政策、发展规划以及重大经济开发计划呈报环境影响评价，对涉及环境保护的地方性法规、规章草案提出有关环境影响方面的建议，按权限审核、审批全县重大开发建设区域、规划、项目环境影响评价文件；负责组织划定生态保护红线，拟订并组织实施生态环境保护补偿制度，组织、指导生态系列创建工作。</w:t>
      </w:r>
    </w:p>
    <w:p>
      <w:pPr>
        <w:ind w:firstLine="300" w:firstLineChars="100"/>
        <w:rPr>
          <w:rFonts w:ascii="仿宋" w:hAnsi="仿宋" w:eastAsia="仿宋"/>
          <w:sz w:val="30"/>
          <w:szCs w:val="30"/>
        </w:rPr>
      </w:pPr>
      <w:r>
        <w:rPr>
          <w:rFonts w:hint="eastAsia" w:ascii="仿宋" w:hAnsi="仿宋" w:eastAsia="仿宋" w:cs="仿宋"/>
          <w:sz w:val="30"/>
          <w:szCs w:val="30"/>
        </w:rPr>
        <w:t>（六）负责全县环境污染防治的监督管理。制定水体、大气、土壤、噪声、光、恶臭、固体废弃物、化学品、机动车等的污染防治管理制度并组织实施，负责污染源的限期治理工作，负责对危险废物经营许可证的核发出具意见。会同有关部门监督管理饮用水水源地环境保护工作</w:t>
      </w:r>
      <w:r>
        <w:rPr>
          <w:rFonts w:ascii="仿宋" w:hAnsi="仿宋" w:eastAsia="仿宋" w:cs="仿宋"/>
          <w:sz w:val="30"/>
          <w:szCs w:val="30"/>
        </w:rPr>
        <w:t>.</w:t>
      </w:r>
      <w:r>
        <w:rPr>
          <w:rFonts w:hint="eastAsia" w:ascii="仿宋" w:hAnsi="仿宋" w:eastAsia="仿宋" w:cs="仿宋"/>
          <w:sz w:val="30"/>
          <w:szCs w:val="30"/>
        </w:rPr>
        <w:t>组织指导全县城镇和农村的环境综合整治工作。</w:t>
      </w:r>
    </w:p>
    <w:p>
      <w:pPr>
        <w:ind w:firstLine="450" w:firstLineChars="150"/>
        <w:rPr>
          <w:rFonts w:hint="eastAsia" w:ascii="仿宋" w:hAnsi="仿宋" w:eastAsia="仿宋" w:cs="仿宋"/>
          <w:sz w:val="30"/>
          <w:szCs w:val="30"/>
          <w:lang w:eastAsia="zh-CN"/>
        </w:rPr>
      </w:pPr>
      <w:r>
        <w:rPr>
          <w:rFonts w:ascii="仿宋" w:hAnsi="仿宋" w:eastAsia="仿宋" w:cs="仿宋"/>
          <w:sz w:val="30"/>
          <w:szCs w:val="30"/>
        </w:rPr>
        <w:t>(</w:t>
      </w:r>
      <w:r>
        <w:rPr>
          <w:rFonts w:hint="eastAsia" w:ascii="仿宋" w:hAnsi="仿宋" w:eastAsia="仿宋" w:cs="仿宋"/>
          <w:sz w:val="30"/>
          <w:szCs w:val="30"/>
        </w:rPr>
        <w:t>七</w:t>
      </w:r>
      <w:r>
        <w:rPr>
          <w:rFonts w:ascii="仿宋" w:hAnsi="仿宋" w:eastAsia="仿宋" w:cs="仿宋"/>
          <w:sz w:val="30"/>
          <w:szCs w:val="30"/>
        </w:rPr>
        <w:t>)</w:t>
      </w:r>
      <w:r>
        <w:rPr>
          <w:rFonts w:hint="eastAsia" w:ascii="仿宋" w:hAnsi="仿宋" w:eastAsia="仿宋" w:cs="仿宋"/>
          <w:sz w:val="30"/>
          <w:szCs w:val="30"/>
        </w:rPr>
        <w:t>指导、协调、监督全县生态保护工作。拟定全县生态保护规划，组织评估生态环境质量状况，监督对生态环境有影响的自然资源开发利用活动、重要生态环境建设和生态破坏恢复工作。指导、协调、监督各种类型的自然保护区、风景名胜区、森林公园的环境保护工作，协调和监督野生动植物保护、湿地环境保护、荒漠化防治工作。监督、指导农村生态环境保护，监督生物技术环境安全，牵头生物物种</w:t>
      </w:r>
      <w:r>
        <w:rPr>
          <w:rFonts w:ascii="仿宋" w:hAnsi="仿宋" w:eastAsia="仿宋" w:cs="仿宋"/>
          <w:sz w:val="30"/>
          <w:szCs w:val="30"/>
        </w:rPr>
        <w:t>(</w:t>
      </w:r>
      <w:r>
        <w:rPr>
          <w:rFonts w:hint="eastAsia" w:ascii="仿宋" w:hAnsi="仿宋" w:eastAsia="仿宋" w:cs="仿宋"/>
          <w:sz w:val="30"/>
          <w:szCs w:val="30"/>
        </w:rPr>
        <w:t>含遗传资源</w:t>
      </w:r>
      <w:r>
        <w:rPr>
          <w:rFonts w:ascii="仿宋" w:hAnsi="仿宋" w:eastAsia="仿宋" w:cs="仿宋"/>
          <w:sz w:val="30"/>
          <w:szCs w:val="30"/>
        </w:rPr>
        <w:t>)</w:t>
      </w:r>
      <w:r>
        <w:rPr>
          <w:rFonts w:hint="eastAsia" w:ascii="仿宋" w:hAnsi="仿宋" w:eastAsia="仿宋" w:cs="仿宋"/>
          <w:sz w:val="30"/>
          <w:szCs w:val="30"/>
        </w:rPr>
        <w:t>有关工作，组织协调生物多样性保护有关工作。</w:t>
      </w:r>
    </w:p>
    <w:p>
      <w:pPr>
        <w:ind w:firstLine="450" w:firstLineChars="150"/>
        <w:rPr>
          <w:rFonts w:ascii="仿宋" w:hAnsi="仿宋" w:eastAsia="仿宋"/>
          <w:sz w:val="30"/>
          <w:szCs w:val="30"/>
        </w:rPr>
      </w:pPr>
      <w:r>
        <w:rPr>
          <w:rFonts w:ascii="仿宋" w:hAnsi="仿宋" w:eastAsia="仿宋" w:cs="仿宋"/>
          <w:sz w:val="30"/>
          <w:szCs w:val="30"/>
        </w:rPr>
        <w:t xml:space="preserve"> (</w:t>
      </w:r>
      <w:r>
        <w:rPr>
          <w:rFonts w:hint="eastAsia" w:ascii="仿宋" w:hAnsi="仿宋" w:eastAsia="仿宋" w:cs="仿宋"/>
          <w:sz w:val="30"/>
          <w:szCs w:val="30"/>
        </w:rPr>
        <w:t>八</w:t>
      </w:r>
      <w:r>
        <w:rPr>
          <w:rFonts w:ascii="仿宋" w:hAnsi="仿宋" w:eastAsia="仿宋" w:cs="仿宋"/>
          <w:sz w:val="30"/>
          <w:szCs w:val="30"/>
        </w:rPr>
        <w:t>)</w:t>
      </w:r>
      <w:r>
        <w:rPr>
          <w:rFonts w:hint="eastAsia" w:ascii="仿宋" w:hAnsi="仿宋" w:eastAsia="仿宋" w:cs="仿宋"/>
          <w:sz w:val="30"/>
          <w:szCs w:val="30"/>
        </w:rPr>
        <w:t>负责全县核事故应急管理工作以及核安全和辐射安全的监督管理。组织实施国家核与辐射安全政策、规划、标准。监督管理核设施安全、放射源安全，监督管理核设施、核技术应用、电磁辐射、伴有放射性矿产资源开发利用中的污染防治。负责放射性同位素、射线装置的生产、销售、作用的审查。负责对核材料的管制和民用核安全设备的设计、制造、安装和无损检验活动实施监督管理。</w:t>
      </w:r>
    </w:p>
    <w:p>
      <w:pPr>
        <w:widowControl/>
        <w:spacing w:line="500" w:lineRule="auto"/>
        <w:ind w:firstLine="588" w:firstLineChars="196"/>
        <w:jc w:val="left"/>
        <w:rPr>
          <w:rFonts w:hint="eastAsia" w:ascii="仿宋" w:hAnsi="仿宋" w:eastAsia="仿宋" w:cs="仿宋"/>
          <w:sz w:val="30"/>
          <w:szCs w:val="30"/>
          <w:lang w:eastAsia="zh-CN"/>
        </w:rPr>
      </w:pPr>
      <w:r>
        <w:rPr>
          <w:rFonts w:ascii="仿宋" w:hAnsi="仿宋" w:eastAsia="仿宋" w:cs="仿宋"/>
          <w:sz w:val="30"/>
          <w:szCs w:val="30"/>
        </w:rPr>
        <w:t>(</w:t>
      </w:r>
      <w:r>
        <w:rPr>
          <w:rFonts w:hint="eastAsia" w:ascii="仿宋" w:hAnsi="仿宋" w:eastAsia="仿宋" w:cs="仿宋"/>
          <w:sz w:val="30"/>
          <w:szCs w:val="30"/>
        </w:rPr>
        <w:t>九</w:t>
      </w:r>
      <w:r>
        <w:rPr>
          <w:rFonts w:ascii="仿宋" w:hAnsi="仿宋" w:eastAsia="仿宋" w:cs="仿宋"/>
          <w:sz w:val="30"/>
          <w:szCs w:val="30"/>
        </w:rPr>
        <w:t>)</w:t>
      </w:r>
      <w:r>
        <w:rPr>
          <w:rFonts w:hint="eastAsia" w:ascii="仿宋" w:hAnsi="仿宋" w:eastAsia="仿宋" w:cs="仿宋"/>
          <w:sz w:val="30"/>
          <w:szCs w:val="30"/>
        </w:rPr>
        <w:t>负责全县环境监测和信息发布。组织实施环境质量监测和污染源监督性监测。组织对全县环境质量状况进行调查评估、预测预警，组织全县环境监测和环境信息能力建设，统一发布全县环境综合性报告和重大环境信息</w:t>
      </w:r>
      <w:r>
        <w:rPr>
          <w:rFonts w:ascii="仿宋" w:hAnsi="仿宋" w:eastAsia="仿宋" w:cs="仿宋"/>
          <w:sz w:val="30"/>
          <w:szCs w:val="30"/>
        </w:rPr>
        <w:t>.</w:t>
      </w:r>
    </w:p>
    <w:p>
      <w:pPr>
        <w:widowControl/>
        <w:spacing w:line="500" w:lineRule="auto"/>
        <w:ind w:firstLine="588" w:firstLineChars="196"/>
        <w:jc w:val="left"/>
        <w:rPr>
          <w:rFonts w:hint="eastAsia" w:ascii="仿宋" w:hAnsi="仿宋" w:eastAsia="仿宋" w:cs="仿宋"/>
          <w:sz w:val="30"/>
          <w:szCs w:val="30"/>
          <w:lang w:eastAsia="zh-CN"/>
        </w:rPr>
      </w:pPr>
      <w:r>
        <w:rPr>
          <w:rFonts w:ascii="仿宋" w:hAnsi="仿宋" w:eastAsia="仿宋" w:cs="仿宋"/>
          <w:sz w:val="30"/>
          <w:szCs w:val="30"/>
        </w:rPr>
        <w:t>(</w:t>
      </w:r>
      <w:r>
        <w:rPr>
          <w:rFonts w:hint="eastAsia" w:ascii="仿宋" w:hAnsi="仿宋" w:eastAsia="仿宋" w:cs="仿宋"/>
          <w:sz w:val="30"/>
          <w:szCs w:val="30"/>
        </w:rPr>
        <w:t>十</w:t>
      </w:r>
      <w:r>
        <w:rPr>
          <w:rFonts w:ascii="仿宋" w:hAnsi="仿宋" w:eastAsia="仿宋" w:cs="仿宋"/>
          <w:sz w:val="30"/>
          <w:szCs w:val="30"/>
        </w:rPr>
        <w:t>)</w:t>
      </w:r>
      <w:r>
        <w:rPr>
          <w:rFonts w:hint="eastAsia" w:ascii="仿宋" w:hAnsi="仿宋" w:eastAsia="仿宋" w:cs="仿宋"/>
          <w:sz w:val="30"/>
          <w:szCs w:val="30"/>
        </w:rPr>
        <w:t>开展环境保护科技工作，组织开展环境保护科学研究和</w:t>
      </w:r>
    </w:p>
    <w:p>
      <w:pPr>
        <w:widowControl/>
        <w:spacing w:line="500" w:lineRule="auto"/>
        <w:ind w:firstLine="588" w:firstLineChars="196"/>
        <w:jc w:val="left"/>
        <w:rPr>
          <w:rFonts w:hint="eastAsia" w:ascii="仿宋" w:hAnsi="仿宋" w:eastAsia="仿宋" w:cs="仿宋"/>
          <w:sz w:val="30"/>
          <w:szCs w:val="30"/>
          <w:lang w:eastAsia="zh-CN"/>
        </w:rPr>
      </w:pPr>
      <w:r>
        <w:rPr>
          <w:rFonts w:hint="eastAsia" w:ascii="仿宋" w:hAnsi="仿宋" w:eastAsia="仿宋" w:cs="仿宋"/>
          <w:sz w:val="30"/>
          <w:szCs w:val="30"/>
        </w:rPr>
        <w:t>技术工程示范，推动环境技术管理体系建设，组织县级环境保护科技成果的鉴定、交流与推广。</w:t>
      </w:r>
    </w:p>
    <w:p>
      <w:pPr>
        <w:widowControl/>
        <w:spacing w:line="500" w:lineRule="auto"/>
        <w:ind w:firstLine="300" w:firstLineChars="100"/>
        <w:jc w:val="left"/>
        <w:rPr>
          <w:rFonts w:hint="eastAsia" w:ascii="仿宋" w:hAnsi="仿宋" w:eastAsia="仿宋" w:cs="仿宋"/>
          <w:sz w:val="30"/>
          <w:szCs w:val="30"/>
          <w:lang w:eastAsia="zh-CN"/>
        </w:rPr>
      </w:pPr>
      <w:r>
        <w:rPr>
          <w:rFonts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ascii="仿宋" w:hAnsi="仿宋" w:eastAsia="仿宋" w:cs="仿宋"/>
          <w:sz w:val="30"/>
          <w:szCs w:val="30"/>
        </w:rPr>
        <w:t>(</w:t>
      </w:r>
      <w:r>
        <w:rPr>
          <w:rFonts w:hint="eastAsia" w:ascii="仿宋" w:hAnsi="仿宋" w:eastAsia="仿宋" w:cs="仿宋"/>
          <w:sz w:val="30"/>
          <w:szCs w:val="30"/>
        </w:rPr>
        <w:t>十一</w:t>
      </w:r>
      <w:r>
        <w:rPr>
          <w:rFonts w:ascii="仿宋" w:hAnsi="仿宋" w:eastAsia="仿宋" w:cs="仿宋"/>
          <w:sz w:val="30"/>
          <w:szCs w:val="30"/>
        </w:rPr>
        <w:t>)</w:t>
      </w:r>
      <w:r>
        <w:rPr>
          <w:rFonts w:hint="eastAsia" w:ascii="仿宋" w:hAnsi="仿宋" w:eastAsia="仿宋" w:cs="仿宋"/>
          <w:sz w:val="30"/>
          <w:szCs w:val="30"/>
        </w:rPr>
        <w:t>开展环境保护对外合作交流，提出全县环境保护对外</w:t>
      </w:r>
    </w:p>
    <w:p>
      <w:pPr>
        <w:widowControl/>
        <w:spacing w:line="500" w:lineRule="auto"/>
        <w:ind w:firstLine="588" w:firstLineChars="196"/>
        <w:jc w:val="left"/>
        <w:rPr>
          <w:rFonts w:hint="eastAsia" w:ascii="仿宋" w:hAnsi="仿宋" w:eastAsia="仿宋" w:cs="仿宋"/>
          <w:sz w:val="30"/>
          <w:szCs w:val="30"/>
          <w:lang w:eastAsia="zh-CN"/>
        </w:rPr>
      </w:pPr>
      <w:r>
        <w:rPr>
          <w:rFonts w:hint="eastAsia" w:ascii="仿宋" w:hAnsi="仿宋" w:eastAsia="仿宋" w:cs="仿宋"/>
          <w:sz w:val="30"/>
          <w:szCs w:val="30"/>
        </w:rPr>
        <w:t>合作交流中有关问题的建议，开展对外环境保护信息交流工作，管理和组织协调环境保护国际条约县内履约活动，参与处理涉外环境保护事务。</w:t>
      </w:r>
    </w:p>
    <w:p>
      <w:pPr>
        <w:widowControl/>
        <w:spacing w:line="500" w:lineRule="auto"/>
        <w:ind w:firstLine="588" w:firstLineChars="196"/>
        <w:jc w:val="left"/>
        <w:rPr>
          <w:rFonts w:hint="eastAsia" w:ascii="仿宋" w:hAnsi="仿宋" w:eastAsia="仿宋" w:cs="仿宋"/>
          <w:sz w:val="30"/>
          <w:szCs w:val="30"/>
          <w:lang w:eastAsia="zh-CN"/>
        </w:rPr>
      </w:pPr>
      <w:r>
        <w:rPr>
          <w:rFonts w:ascii="仿宋" w:hAnsi="仿宋" w:eastAsia="仿宋" w:cs="仿宋"/>
          <w:sz w:val="30"/>
          <w:szCs w:val="30"/>
        </w:rPr>
        <w:t xml:space="preserve"> (</w:t>
      </w:r>
      <w:r>
        <w:rPr>
          <w:rFonts w:hint="eastAsia" w:ascii="仿宋" w:hAnsi="仿宋" w:eastAsia="仿宋" w:cs="仿宋"/>
          <w:sz w:val="30"/>
          <w:szCs w:val="30"/>
        </w:rPr>
        <w:t>十二</w:t>
      </w:r>
      <w:r>
        <w:rPr>
          <w:rFonts w:ascii="仿宋" w:hAnsi="仿宋" w:eastAsia="仿宋" w:cs="仿宋"/>
          <w:sz w:val="30"/>
          <w:szCs w:val="30"/>
        </w:rPr>
        <w:t>)</w:t>
      </w:r>
      <w:r>
        <w:rPr>
          <w:rFonts w:hint="eastAsia" w:ascii="仿宋" w:hAnsi="仿宋" w:eastAsia="仿宋" w:cs="仿宋"/>
          <w:sz w:val="30"/>
          <w:szCs w:val="30"/>
        </w:rPr>
        <w:t>组织、指导和协调全县环境保护宣传教育工作，制定并组织实施全县环境保护宣传教育纲要，开展生态文明建设和环境友好型社会建设的有关宣传教育工作，推动社会公众和社会组织参与环境保护。</w:t>
      </w:r>
    </w:p>
    <w:p>
      <w:pPr>
        <w:widowControl/>
        <w:spacing w:line="500" w:lineRule="auto"/>
        <w:ind w:firstLine="588" w:firstLineChars="196"/>
        <w:jc w:val="left"/>
        <w:rPr>
          <w:rFonts w:hint="eastAsia" w:ascii="仿宋" w:hAnsi="仿宋" w:eastAsia="仿宋" w:cs="仿宋"/>
          <w:sz w:val="30"/>
          <w:szCs w:val="30"/>
          <w:lang w:eastAsia="zh-CN"/>
        </w:rPr>
      </w:pPr>
      <w:r>
        <w:rPr>
          <w:rFonts w:ascii="仿宋" w:hAnsi="仿宋" w:eastAsia="仿宋" w:cs="仿宋"/>
          <w:sz w:val="30"/>
          <w:szCs w:val="30"/>
        </w:rPr>
        <w:t xml:space="preserve"> (</w:t>
      </w:r>
      <w:r>
        <w:rPr>
          <w:rFonts w:hint="eastAsia" w:ascii="仿宋" w:hAnsi="仿宋" w:eastAsia="仿宋" w:cs="仿宋"/>
          <w:sz w:val="30"/>
          <w:szCs w:val="30"/>
        </w:rPr>
        <w:t>十三</w:t>
      </w:r>
      <w:r>
        <w:rPr>
          <w:rFonts w:ascii="仿宋" w:hAnsi="仿宋" w:eastAsia="仿宋" w:cs="仿宋"/>
          <w:sz w:val="30"/>
          <w:szCs w:val="30"/>
        </w:rPr>
        <w:t>)</w:t>
      </w:r>
      <w:r>
        <w:rPr>
          <w:rFonts w:hint="eastAsia" w:ascii="仿宋" w:hAnsi="仿宋" w:eastAsia="仿宋" w:cs="仿宋"/>
          <w:sz w:val="30"/>
          <w:szCs w:val="30"/>
        </w:rPr>
        <w:t>承担县生态环境保护委员会办公室的工作。</w:t>
      </w:r>
    </w:p>
    <w:p>
      <w:pPr>
        <w:ind w:firstLine="600" w:firstLineChars="200"/>
        <w:jc w:val="left"/>
        <w:rPr>
          <w:rFonts w:hint="eastAsia" w:ascii="Times New Roman" w:hAnsi="Times New Roman" w:eastAsia="仿宋_GB2312" w:cs="仿宋_GB2312"/>
          <w:sz w:val="32"/>
          <w:szCs w:val="32"/>
        </w:rPr>
      </w:pPr>
      <w:r>
        <w:rPr>
          <w:rFonts w:ascii="仿宋" w:hAnsi="仿宋" w:eastAsia="仿宋" w:cs="仿宋"/>
          <w:sz w:val="30"/>
          <w:szCs w:val="30"/>
        </w:rPr>
        <w:t xml:space="preserve"> (</w:t>
      </w:r>
      <w:r>
        <w:rPr>
          <w:rFonts w:hint="eastAsia" w:ascii="仿宋" w:hAnsi="仿宋" w:eastAsia="仿宋" w:cs="仿宋"/>
          <w:sz w:val="30"/>
          <w:szCs w:val="30"/>
        </w:rPr>
        <w:t>十四</w:t>
      </w:r>
      <w:r>
        <w:rPr>
          <w:rFonts w:ascii="仿宋" w:hAnsi="仿宋" w:eastAsia="仿宋" w:cs="仿宋"/>
          <w:sz w:val="30"/>
          <w:szCs w:val="30"/>
        </w:rPr>
        <w:t>)</w:t>
      </w:r>
      <w:r>
        <w:rPr>
          <w:rFonts w:hint="eastAsia" w:ascii="仿宋" w:hAnsi="仿宋" w:eastAsia="仿宋" w:cs="仿宋"/>
          <w:sz w:val="30"/>
          <w:szCs w:val="30"/>
        </w:rPr>
        <w:t>承办县委、县政府交办的其他事项。</w:t>
      </w:r>
      <w:r>
        <w:rPr>
          <w:rFonts w:hint="eastAsia" w:ascii="Times New Roman" w:hAnsi="Times New Roman" w:eastAsia="仿宋_GB2312" w:cs="仿宋_GB2312"/>
          <w:sz w:val="32"/>
          <w:szCs w:val="32"/>
        </w:rPr>
        <w:t>…</w:t>
      </w:r>
    </w:p>
    <w:p>
      <w:pPr>
        <w:widowControl/>
        <w:spacing w:line="600" w:lineRule="exact"/>
        <w:ind w:left="556" w:leftChars="265" w:firstLine="0" w:firstLineChars="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firstLine="640" w:firstLineChars="200"/>
        <w:rPr>
          <w:rFonts w:eastAsia="仿宋_GB2312"/>
          <w:kern w:val="0"/>
          <w:sz w:val="32"/>
          <w:szCs w:val="32"/>
        </w:rPr>
      </w:pPr>
      <w:r>
        <w:rPr>
          <w:rFonts w:hint="eastAsia" w:ascii="Times New Roman" w:hAnsi="Times New Roman" w:eastAsia="仿宋_GB2312" w:cs="仿宋_GB2312"/>
          <w:bCs/>
          <w:kern w:val="0"/>
          <w:sz w:val="32"/>
          <w:szCs w:val="32"/>
        </w:rPr>
        <w:t>（一）内设机构设置。</w:t>
      </w:r>
      <w:r>
        <w:rPr>
          <w:rFonts w:hint="eastAsia" w:eastAsia="仿宋_GB2312"/>
          <w:sz w:val="32"/>
          <w:szCs w:val="32"/>
        </w:rPr>
        <w:t>怀化市生态环境局溆浦分局作为怀化市生态环境局的二级部门预算单位，</w:t>
      </w:r>
      <w:r>
        <w:rPr>
          <w:rFonts w:hint="eastAsia" w:ascii="仿宋" w:hAnsi="仿宋" w:eastAsia="仿宋" w:cs="仿宋"/>
          <w:kern w:val="0"/>
          <w:sz w:val="32"/>
          <w:szCs w:val="32"/>
        </w:rPr>
        <w:t>设有9个内设机构：办公室、政工人事股</w:t>
      </w:r>
      <w:r>
        <w:rPr>
          <w:rFonts w:ascii="仿宋" w:hAnsi="仿宋" w:eastAsia="仿宋" w:cs="仿宋"/>
          <w:kern w:val="0"/>
          <w:sz w:val="32"/>
          <w:szCs w:val="32"/>
        </w:rPr>
        <w:t xml:space="preserve"> </w:t>
      </w:r>
      <w:r>
        <w:rPr>
          <w:rFonts w:hint="eastAsia" w:ascii="仿宋" w:hAnsi="仿宋" w:eastAsia="仿宋" w:cs="仿宋"/>
          <w:kern w:val="0"/>
          <w:sz w:val="32"/>
          <w:szCs w:val="32"/>
        </w:rPr>
        <w:t>、法制宣传股</w:t>
      </w:r>
      <w:r>
        <w:rPr>
          <w:rFonts w:ascii="仿宋" w:hAnsi="仿宋" w:eastAsia="仿宋" w:cs="仿宋"/>
          <w:kern w:val="0"/>
          <w:sz w:val="32"/>
          <w:szCs w:val="32"/>
        </w:rPr>
        <w:t>(</w:t>
      </w:r>
      <w:r>
        <w:rPr>
          <w:rFonts w:hint="eastAsia" w:ascii="仿宋" w:hAnsi="仿宋" w:eastAsia="仿宋" w:cs="仿宋"/>
          <w:kern w:val="0"/>
          <w:sz w:val="32"/>
          <w:szCs w:val="32"/>
        </w:rPr>
        <w:t>加挂溆浦县环境信息中心牌子</w:t>
      </w:r>
      <w:r>
        <w:rPr>
          <w:rFonts w:ascii="仿宋" w:hAnsi="仿宋" w:eastAsia="仿宋" w:cs="仿宋"/>
          <w:kern w:val="0"/>
          <w:sz w:val="32"/>
          <w:szCs w:val="32"/>
        </w:rPr>
        <w:t>)</w:t>
      </w:r>
      <w:r>
        <w:rPr>
          <w:rFonts w:hint="eastAsia" w:ascii="仿宋" w:hAnsi="仿宋" w:eastAsia="仿宋" w:cs="仿宋"/>
          <w:kern w:val="0"/>
          <w:sz w:val="32"/>
          <w:szCs w:val="32"/>
        </w:rPr>
        <w:t>、</w:t>
      </w:r>
      <w:r>
        <w:rPr>
          <w:rFonts w:ascii="仿宋" w:hAnsi="仿宋" w:eastAsia="仿宋" w:cs="仿宋"/>
          <w:kern w:val="0"/>
          <w:sz w:val="32"/>
          <w:szCs w:val="32"/>
        </w:rPr>
        <w:t xml:space="preserve"> </w:t>
      </w:r>
      <w:r>
        <w:rPr>
          <w:rFonts w:hint="eastAsia" w:ascii="仿宋" w:hAnsi="仿宋" w:eastAsia="仿宋" w:cs="仿宋"/>
          <w:kern w:val="0"/>
          <w:sz w:val="32"/>
          <w:szCs w:val="32"/>
        </w:rPr>
        <w:t>污染防治股、生态保护股、行政审批股、环境保护督察协调股</w:t>
      </w:r>
      <w:r>
        <w:rPr>
          <w:rFonts w:ascii="仿宋" w:hAnsi="仿宋" w:eastAsia="仿宋" w:cs="仿宋"/>
          <w:kern w:val="0"/>
          <w:sz w:val="32"/>
          <w:szCs w:val="32"/>
        </w:rPr>
        <w:t>(</w:t>
      </w:r>
      <w:r>
        <w:rPr>
          <w:rFonts w:hint="eastAsia" w:ascii="仿宋" w:hAnsi="仿宋" w:eastAsia="仿宋" w:cs="仿宋"/>
          <w:kern w:val="0"/>
          <w:sz w:val="32"/>
          <w:szCs w:val="32"/>
        </w:rPr>
        <w:t>对外称溆浦县生态环境保护委员会办公室</w:t>
      </w:r>
      <w:r>
        <w:rPr>
          <w:rFonts w:ascii="仿宋" w:hAnsi="仿宋" w:eastAsia="仿宋" w:cs="仿宋"/>
          <w:kern w:val="0"/>
          <w:sz w:val="32"/>
          <w:szCs w:val="32"/>
        </w:rPr>
        <w:t>)</w:t>
      </w:r>
      <w:r>
        <w:rPr>
          <w:rFonts w:hint="eastAsia" w:ascii="仿宋" w:hAnsi="仿宋" w:eastAsia="仿宋" w:cs="仿宋"/>
          <w:kern w:val="0"/>
          <w:sz w:val="32"/>
          <w:szCs w:val="32"/>
        </w:rPr>
        <w:t>、生态环境保护综合行政执法大队、监测站。</w:t>
      </w:r>
      <w:r>
        <w:rPr>
          <w:rFonts w:hint="eastAsia" w:ascii="仿宋" w:hAnsi="仿宋" w:eastAsia="仿宋" w:cs="仿宋"/>
          <w:sz w:val="30"/>
          <w:szCs w:val="30"/>
        </w:rPr>
        <w:t>本单位现有编制</w:t>
      </w:r>
      <w:r>
        <w:rPr>
          <w:rFonts w:ascii="仿宋" w:hAnsi="仿宋" w:eastAsia="仿宋" w:cs="仿宋"/>
          <w:sz w:val="30"/>
          <w:szCs w:val="30"/>
        </w:rPr>
        <w:t>1</w:t>
      </w:r>
      <w:r>
        <w:rPr>
          <w:rFonts w:hint="eastAsia" w:ascii="仿宋" w:hAnsi="仿宋" w:eastAsia="仿宋" w:cs="仿宋"/>
          <w:sz w:val="30"/>
          <w:szCs w:val="30"/>
        </w:rPr>
        <w:t>10个，其中行政编制</w:t>
      </w:r>
      <w:r>
        <w:rPr>
          <w:rFonts w:ascii="仿宋" w:hAnsi="仿宋" w:eastAsia="仿宋" w:cs="仿宋"/>
          <w:sz w:val="30"/>
          <w:szCs w:val="30"/>
        </w:rPr>
        <w:t>11</w:t>
      </w:r>
      <w:r>
        <w:rPr>
          <w:rFonts w:hint="eastAsia" w:ascii="仿宋" w:hAnsi="仿宋" w:eastAsia="仿宋" w:cs="仿宋"/>
          <w:sz w:val="30"/>
          <w:szCs w:val="30"/>
        </w:rPr>
        <w:t>个，事业编制99个。</w:t>
      </w:r>
      <w:r>
        <w:rPr>
          <w:rFonts w:ascii="仿宋" w:hAnsi="仿宋" w:eastAsia="仿宋" w:cs="仿宋"/>
          <w:sz w:val="30"/>
          <w:szCs w:val="30"/>
        </w:rPr>
        <w:t>202</w:t>
      </w:r>
      <w:r>
        <w:rPr>
          <w:rFonts w:hint="eastAsia" w:ascii="仿宋" w:hAnsi="仿宋" w:eastAsia="仿宋" w:cs="仿宋"/>
          <w:sz w:val="30"/>
          <w:szCs w:val="30"/>
          <w:lang w:val="en-US" w:eastAsia="zh-CN"/>
        </w:rPr>
        <w:t>3</w:t>
      </w:r>
      <w:r>
        <w:rPr>
          <w:rFonts w:hint="eastAsia" w:ascii="仿宋" w:hAnsi="仿宋" w:eastAsia="仿宋" w:cs="仿宋"/>
          <w:sz w:val="30"/>
          <w:szCs w:val="30"/>
        </w:rPr>
        <w:t>年初本单位实有在职人员</w:t>
      </w:r>
      <w:r>
        <w:rPr>
          <w:rFonts w:ascii="仿宋" w:hAnsi="仿宋" w:eastAsia="仿宋" w:cs="仿宋"/>
          <w:sz w:val="30"/>
          <w:szCs w:val="30"/>
        </w:rPr>
        <w:t>11</w:t>
      </w:r>
      <w:r>
        <w:rPr>
          <w:rFonts w:hint="eastAsia" w:ascii="仿宋" w:hAnsi="仿宋" w:eastAsia="仿宋" w:cs="仿宋"/>
          <w:sz w:val="30"/>
          <w:szCs w:val="30"/>
          <w:lang w:val="en-US" w:eastAsia="zh-CN"/>
        </w:rPr>
        <w:t>0</w:t>
      </w:r>
      <w:r>
        <w:rPr>
          <w:rFonts w:hint="eastAsia" w:ascii="仿宋" w:hAnsi="仿宋" w:eastAsia="仿宋" w:cs="仿宋"/>
          <w:sz w:val="30"/>
          <w:szCs w:val="30"/>
        </w:rPr>
        <w:t>人，其中行政编制</w:t>
      </w:r>
      <w:r>
        <w:rPr>
          <w:rFonts w:ascii="仿宋" w:hAnsi="仿宋" w:eastAsia="仿宋" w:cs="仿宋"/>
          <w:sz w:val="30"/>
          <w:szCs w:val="30"/>
        </w:rPr>
        <w:t>1</w:t>
      </w:r>
      <w:r>
        <w:rPr>
          <w:rFonts w:hint="eastAsia" w:ascii="仿宋" w:hAnsi="仿宋" w:eastAsia="仿宋" w:cs="仿宋"/>
          <w:sz w:val="30"/>
          <w:szCs w:val="30"/>
          <w:lang w:val="en-US" w:eastAsia="zh-CN"/>
        </w:rPr>
        <w:t>0</w:t>
      </w:r>
      <w:r>
        <w:rPr>
          <w:rFonts w:hint="eastAsia" w:ascii="仿宋" w:hAnsi="仿宋" w:eastAsia="仿宋" w:cs="仿宋"/>
          <w:sz w:val="30"/>
          <w:szCs w:val="30"/>
        </w:rPr>
        <w:t>人，事业编制</w:t>
      </w:r>
      <w:r>
        <w:rPr>
          <w:rFonts w:ascii="仿宋" w:hAnsi="仿宋" w:eastAsia="仿宋" w:cs="仿宋"/>
          <w:sz w:val="30"/>
          <w:szCs w:val="30"/>
        </w:rPr>
        <w:t>10</w:t>
      </w:r>
      <w:r>
        <w:rPr>
          <w:rFonts w:hint="eastAsia" w:ascii="仿宋" w:hAnsi="仿宋" w:eastAsia="仿宋" w:cs="仿宋"/>
          <w:sz w:val="30"/>
          <w:szCs w:val="30"/>
          <w:lang w:val="en-US" w:eastAsia="zh-CN"/>
        </w:rPr>
        <w:t>0</w:t>
      </w:r>
      <w:r>
        <w:rPr>
          <w:rFonts w:hint="eastAsia" w:ascii="仿宋" w:hAnsi="仿宋" w:eastAsia="仿宋" w:cs="仿宋"/>
          <w:sz w:val="30"/>
          <w:szCs w:val="30"/>
        </w:rPr>
        <w:t>人。离退休人员共</w:t>
      </w:r>
      <w:r>
        <w:rPr>
          <w:rFonts w:ascii="仿宋" w:hAnsi="仿宋" w:eastAsia="仿宋" w:cs="仿宋"/>
          <w:sz w:val="30"/>
          <w:szCs w:val="30"/>
        </w:rPr>
        <w:t>2</w:t>
      </w:r>
      <w:r>
        <w:rPr>
          <w:rFonts w:hint="eastAsia" w:ascii="仿宋" w:hAnsi="仿宋" w:eastAsia="仿宋" w:cs="仿宋"/>
          <w:sz w:val="30"/>
          <w:szCs w:val="30"/>
        </w:rPr>
        <w:t>0人（其中提前退休</w:t>
      </w:r>
      <w:r>
        <w:rPr>
          <w:rFonts w:hint="eastAsia" w:ascii="仿宋" w:hAnsi="仿宋" w:eastAsia="仿宋" w:cs="仿宋"/>
          <w:sz w:val="30"/>
          <w:szCs w:val="30"/>
          <w:lang w:val="en-US" w:eastAsia="zh-CN"/>
        </w:rPr>
        <w:t>1</w:t>
      </w:r>
      <w:r>
        <w:rPr>
          <w:rFonts w:hint="eastAsia" w:ascii="仿宋" w:hAnsi="仿宋" w:eastAsia="仿宋" w:cs="仿宋"/>
          <w:sz w:val="30"/>
          <w:szCs w:val="30"/>
        </w:rPr>
        <w:t>人）。</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怀化市生态环境局溆浦分局</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rPr>
        <w:t>年部门决算汇总公开单位构成包括：</w:t>
      </w:r>
      <w:r>
        <w:rPr>
          <w:rFonts w:hint="eastAsia" w:eastAsia="仿宋_GB2312"/>
          <w:sz w:val="32"/>
          <w:szCs w:val="32"/>
        </w:rPr>
        <w:t>怀化市生态环境局溆浦分局（二级部门）。</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pStyle w:val="10"/>
        <w:ind w:firstLine="3360" w:firstLineChars="400"/>
        <w:jc w:val="both"/>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62"/>
        <w:gridCol w:w="819"/>
        <w:gridCol w:w="1368"/>
        <w:gridCol w:w="4387"/>
        <w:gridCol w:w="819"/>
        <w:gridCol w:w="2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部门：怀化市生态环境局溆浦分局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1,043.82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1,187.85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2,231.67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2,231.67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bl>
    <w:p>
      <w:pPr>
        <w:widowControl/>
        <w:jc w:val="both"/>
        <w:rPr>
          <w:rFonts w:ascii="黑体" w:hAnsi="黑体" w:eastAsia="黑体"/>
          <w:szCs w:val="21"/>
        </w:rPr>
      </w:pPr>
      <w:r>
        <w:rPr>
          <w:rFonts w:ascii="黑体" w:hAnsi="黑体" w:eastAsia="黑体"/>
          <w:szCs w:val="21"/>
        </w:rPr>
        <w:br w:type="page"/>
      </w:r>
    </w:p>
    <w:tbl>
      <w:tblPr>
        <w:tblStyle w:val="6"/>
        <w:tblW w:w="17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16"/>
        <w:gridCol w:w="222"/>
        <w:gridCol w:w="222"/>
        <w:gridCol w:w="3956"/>
        <w:gridCol w:w="1708"/>
        <w:gridCol w:w="1708"/>
        <w:gridCol w:w="1172"/>
        <w:gridCol w:w="1172"/>
        <w:gridCol w:w="1172"/>
        <w:gridCol w:w="1172"/>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7520" w:type="dxa"/>
            <w:gridSpan w:val="1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部门：怀化市生态环境局溆浦分局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2,231.67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1,043.82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1,187.85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1,977.54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环境保护管理事务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1,446.11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1,233.63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生态环境保护宣传</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其他环境保护管理事务支出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环境监测与监察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67.76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2110203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建设项目环评审查与监督</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其他环境监测与监察支出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污染防治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水体</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固体废弃物与化学品</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其他污染防治支出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污染减排</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生态环境执法监察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tbl>
      <w:tblPr>
        <w:tblStyle w:val="6"/>
        <w:tblW w:w="15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16"/>
        <w:gridCol w:w="222"/>
        <w:gridCol w:w="222"/>
        <w:gridCol w:w="3956"/>
        <w:gridCol w:w="1514"/>
        <w:gridCol w:w="1514"/>
        <w:gridCol w:w="1262"/>
        <w:gridCol w:w="1008"/>
        <w:gridCol w:w="1008"/>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720"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部门：怀化市生态环境局溆浦分局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2,231.67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1,650.00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581.67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1,977.54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1,395.87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环境保护管理事务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1,446.11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1,392.72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1,233.63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1,197.70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生态环境保护宣传</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其他环境保护管理事务支出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环境监测与监察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67.76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67.76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2110203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建设项目环评审查与监督</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其他环境监测与监察支出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污染防治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水体</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固体废弃物与化学品</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其他污染防治支出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污染减排</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生态环境执法监察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tbl>
      <w:tblPr>
        <w:tblStyle w:val="6"/>
        <w:tblW w:w="165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36"/>
        <w:gridCol w:w="570"/>
        <w:gridCol w:w="1573"/>
        <w:gridCol w:w="4066"/>
        <w:gridCol w:w="570"/>
        <w:gridCol w:w="1242"/>
        <w:gridCol w:w="1573"/>
        <w:gridCol w:w="1324"/>
        <w:gridCol w:w="1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6590"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部门：怀化市生态环境局溆浦分局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327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6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80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3270"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6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1,043.82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1,043.82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1,043.82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1,043.82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1,043.82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1,043.82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1,043.82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bl>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tbl>
      <w:tblPr>
        <w:tblStyle w:val="6"/>
        <w:tblW w:w="11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16"/>
        <w:gridCol w:w="222"/>
        <w:gridCol w:w="222"/>
        <w:gridCol w:w="3956"/>
        <w:gridCol w:w="1177"/>
        <w:gridCol w:w="1177"/>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670" w:type="dxa"/>
            <w:gridSpan w:val="7"/>
            <w:tcBorders>
              <w:top w:val="single" w:color="6F9731" w:sz="0" w:space="0"/>
              <w:left w:val="single" w:color="DBEBC2" w:sz="0" w:space="0"/>
              <w:bottom w:val="single" w:color="6F9731" w:sz="0" w:space="0"/>
              <w:right w:val="single" w:color="DBEBC2" w:sz="0" w:space="0"/>
            </w:tcBorders>
            <w:shd w:val="clear" w:color="auto" w:fill="A4CD66"/>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6F9731" w:sz="0" w:space="0"/>
              <w:left w:val="single" w:color="DBEBC2" w:sz="0" w:space="0"/>
              <w:bottom w:val="single" w:color="DBEBC2" w:sz="0" w:space="0"/>
              <w:right w:val="single" w:color="DBEBC2" w:sz="0" w:space="0"/>
            </w:tcBorders>
            <w:shd w:val="clear" w:color="auto" w:fill="A4CD66"/>
            <w:noWrap/>
            <w:vAlign w:val="bottom"/>
          </w:tcPr>
          <w:p>
            <w:pPr>
              <w:rPr>
                <w:rFonts w:hint="eastAsia" w:ascii="Arial" w:hAnsi="Arial" w:cs="Arial"/>
                <w:i w:val="0"/>
                <w:iCs w:val="0"/>
                <w:color w:val="000000"/>
                <w:sz w:val="20"/>
                <w:szCs w:val="20"/>
                <w:u w:val="none"/>
              </w:rPr>
            </w:pPr>
          </w:p>
        </w:tc>
        <w:tc>
          <w:tcPr>
            <w:tcW w:w="0" w:type="auto"/>
            <w:tcBorders>
              <w:top w:val="single" w:color="6F9731" w:sz="0" w:space="0"/>
              <w:left w:val="single" w:color="DBEBC2" w:sz="0" w:space="0"/>
              <w:bottom w:val="single" w:color="DBEBC2" w:sz="0" w:space="0"/>
              <w:right w:val="single" w:color="DBEBC2" w:sz="0" w:space="0"/>
            </w:tcBorders>
            <w:shd w:val="clear" w:color="auto" w:fill="EEF6E1"/>
            <w:noWrap/>
            <w:vAlign w:val="bottom"/>
          </w:tcPr>
          <w:p>
            <w:pPr>
              <w:rPr>
                <w:rFonts w:hint="default" w:ascii="Arial" w:hAnsi="Arial" w:cs="Arial"/>
                <w:i w:val="0"/>
                <w:iCs w:val="0"/>
                <w:color w:val="000000"/>
                <w:sz w:val="20"/>
                <w:szCs w:val="20"/>
                <w:u w:val="none"/>
              </w:rPr>
            </w:pPr>
          </w:p>
        </w:tc>
        <w:tc>
          <w:tcPr>
            <w:tcW w:w="0" w:type="auto"/>
            <w:tcBorders>
              <w:top w:val="single" w:color="6F9731" w:sz="0" w:space="0"/>
              <w:left w:val="single" w:color="DBEBC2" w:sz="0" w:space="0"/>
              <w:bottom w:val="single" w:color="DBEBC2" w:sz="0" w:space="0"/>
              <w:right w:val="single" w:color="DBEBC2" w:sz="0" w:space="0"/>
            </w:tcBorders>
            <w:shd w:val="clear" w:color="auto" w:fill="FFFFFF"/>
            <w:noWrap/>
            <w:vAlign w:val="bottom"/>
          </w:tcPr>
          <w:p>
            <w:pPr>
              <w:rPr>
                <w:rFonts w:hint="default" w:ascii="Arial" w:hAnsi="Arial" w:cs="Arial"/>
                <w:i w:val="0"/>
                <w:iCs w:val="0"/>
                <w:color w:val="000000"/>
                <w:sz w:val="20"/>
                <w:szCs w:val="20"/>
                <w:u w:val="none"/>
              </w:rPr>
            </w:pPr>
          </w:p>
        </w:tc>
        <w:tc>
          <w:tcPr>
            <w:tcW w:w="0" w:type="auto"/>
            <w:tcBorders>
              <w:top w:val="single" w:color="6F9731" w:sz="0" w:space="0"/>
              <w:left w:val="single" w:color="DBEBC2" w:sz="0" w:space="0"/>
              <w:bottom w:val="single" w:color="DBEBC2" w:sz="0" w:space="0"/>
              <w:right w:val="single" w:color="DBEBC2" w:sz="0" w:space="0"/>
            </w:tcBorders>
            <w:shd w:val="clear" w:color="auto" w:fill="EEF6E1"/>
            <w:noWrap/>
            <w:vAlign w:val="bottom"/>
          </w:tcPr>
          <w:p>
            <w:pPr>
              <w:rPr>
                <w:rFonts w:hint="default" w:ascii="Arial" w:hAnsi="Arial" w:cs="Arial"/>
                <w:i w:val="0"/>
                <w:iCs w:val="0"/>
                <w:color w:val="000000"/>
                <w:sz w:val="20"/>
                <w:szCs w:val="20"/>
                <w:u w:val="none"/>
              </w:rPr>
            </w:pPr>
          </w:p>
        </w:tc>
        <w:tc>
          <w:tcPr>
            <w:tcW w:w="0" w:type="auto"/>
            <w:tcBorders>
              <w:top w:val="single" w:color="6F9731" w:sz="0" w:space="0"/>
              <w:left w:val="single" w:color="DBEBC2" w:sz="0" w:space="0"/>
              <w:bottom w:val="single" w:color="DBEBC2" w:sz="0" w:space="0"/>
              <w:right w:val="single" w:color="DBEBC2" w:sz="0" w:space="0"/>
            </w:tcBorders>
            <w:shd w:val="clear" w:color="auto" w:fill="FFFFFF"/>
            <w:noWrap/>
            <w:vAlign w:val="bottom"/>
          </w:tcPr>
          <w:p>
            <w:pPr>
              <w:rPr>
                <w:rFonts w:hint="default" w:ascii="Arial" w:hAnsi="Arial" w:cs="Arial"/>
                <w:i w:val="0"/>
                <w:iCs w:val="0"/>
                <w:color w:val="000000"/>
                <w:sz w:val="20"/>
                <w:szCs w:val="20"/>
                <w:u w:val="none"/>
              </w:rPr>
            </w:pPr>
          </w:p>
        </w:tc>
        <w:tc>
          <w:tcPr>
            <w:tcW w:w="0" w:type="auto"/>
            <w:tcBorders>
              <w:top w:val="single" w:color="6F9731" w:sz="0" w:space="0"/>
              <w:left w:val="single" w:color="DBEBC2" w:sz="0" w:space="0"/>
              <w:bottom w:val="single" w:color="DBEBC2" w:sz="0" w:space="0"/>
              <w:right w:val="single" w:color="DBEBC2" w:sz="0" w:space="0"/>
            </w:tcBorders>
            <w:shd w:val="clear" w:color="auto" w:fill="EEF6E1"/>
            <w:noWrap/>
            <w:vAlign w:val="bottom"/>
          </w:tcPr>
          <w:p>
            <w:pPr>
              <w:rPr>
                <w:rFonts w:hint="default" w:ascii="Arial" w:hAnsi="Arial" w:cs="Arial"/>
                <w:i w:val="0"/>
                <w:iCs w:val="0"/>
                <w:color w:val="000000"/>
                <w:sz w:val="20"/>
                <w:szCs w:val="20"/>
                <w:u w:val="none"/>
              </w:rPr>
            </w:pPr>
          </w:p>
        </w:tc>
        <w:tc>
          <w:tcPr>
            <w:tcW w:w="0" w:type="auto"/>
            <w:tcBorders>
              <w:top w:val="single" w:color="6F9731" w:sz="0" w:space="0"/>
              <w:left w:val="single" w:color="DBEBC2" w:sz="0" w:space="0"/>
              <w:bottom w:val="single" w:color="DBEBC2" w:sz="0" w:space="0"/>
              <w:right w:val="single" w:color="DBEBC2" w:sz="0"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DBEBC2" w:sz="0" w:space="0"/>
              <w:left w:val="single" w:color="DBEBC2" w:sz="0" w:space="0"/>
              <w:bottom w:val="single" w:color="DBEBC2" w:sz="0" w:space="0"/>
              <w:right w:val="single" w:color="DBEBC2" w:sz="0" w:space="0"/>
            </w:tcBorders>
            <w:shd w:val="clear" w:color="auto" w:fill="A4CD66"/>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部门：怀化市生态环境局溆浦分局</w:t>
            </w:r>
          </w:p>
        </w:tc>
        <w:tc>
          <w:tcPr>
            <w:tcW w:w="0" w:type="auto"/>
            <w:tcBorders>
              <w:top w:val="single" w:color="DBEBC2" w:sz="0" w:space="0"/>
              <w:left w:val="single" w:color="DBEBC2" w:sz="0" w:space="0"/>
              <w:bottom w:val="single" w:color="DBEBC2" w:sz="0" w:space="0"/>
              <w:right w:val="single" w:color="DBEBC2" w:sz="0" w:space="0"/>
            </w:tcBorders>
            <w:shd w:val="clear" w:color="auto" w:fill="EEF6E1"/>
            <w:noWrap/>
            <w:vAlign w:val="bottom"/>
          </w:tcPr>
          <w:p>
            <w:pPr>
              <w:rPr>
                <w:rFonts w:hint="default" w:ascii="Arial" w:hAnsi="Arial" w:cs="Arial"/>
                <w:i w:val="0"/>
                <w:iCs w:val="0"/>
                <w:color w:val="000000"/>
                <w:sz w:val="20"/>
                <w:szCs w:val="20"/>
                <w:u w:val="none"/>
              </w:rPr>
            </w:pPr>
          </w:p>
        </w:tc>
        <w:tc>
          <w:tcPr>
            <w:tcW w:w="0" w:type="auto"/>
            <w:tcBorders>
              <w:top w:val="single" w:color="DBEBC2" w:sz="0" w:space="0"/>
              <w:left w:val="single" w:color="DBEBC2" w:sz="0" w:space="0"/>
              <w:bottom w:val="single" w:color="DBEBC2" w:sz="0" w:space="0"/>
              <w:right w:val="single" w:color="DBEBC2" w:sz="0" w:space="0"/>
            </w:tcBorders>
            <w:shd w:val="clear" w:color="auto" w:fill="EEF6E1"/>
            <w:noWrap/>
            <w:vAlign w:val="bottom"/>
          </w:tcPr>
          <w:p>
            <w:pPr>
              <w:rPr>
                <w:rFonts w:hint="default" w:ascii="Arial" w:hAnsi="Arial" w:cs="Arial"/>
                <w:i w:val="0"/>
                <w:iCs w:val="0"/>
                <w:color w:val="000000"/>
                <w:sz w:val="20"/>
                <w:szCs w:val="20"/>
                <w:u w:val="none"/>
              </w:rPr>
            </w:pPr>
          </w:p>
        </w:tc>
        <w:tc>
          <w:tcPr>
            <w:tcW w:w="0" w:type="auto"/>
            <w:tcBorders>
              <w:top w:val="single" w:color="DBEBC2" w:sz="0" w:space="0"/>
              <w:left w:val="single" w:color="DBEBC2" w:sz="0" w:space="0"/>
              <w:bottom w:val="single" w:color="DBEBC2" w:sz="0" w:space="0"/>
              <w:right w:val="single" w:color="DBEBC2" w:sz="0" w:space="0"/>
            </w:tcBorders>
            <w:shd w:val="clear" w:color="auto" w:fill="EEF6E1"/>
            <w:noWrap/>
            <w:vAlign w:val="bottom"/>
          </w:tcPr>
          <w:p>
            <w:pPr>
              <w:rPr>
                <w:rFonts w:hint="default" w:ascii="Arial" w:hAnsi="Arial" w:cs="Arial"/>
                <w:i w:val="0"/>
                <w:iCs w:val="0"/>
                <w:color w:val="000000"/>
                <w:sz w:val="20"/>
                <w:szCs w:val="20"/>
                <w:u w:val="none"/>
              </w:rPr>
            </w:pPr>
          </w:p>
        </w:tc>
        <w:tc>
          <w:tcPr>
            <w:tcW w:w="0" w:type="auto"/>
            <w:tcBorders>
              <w:top w:val="single" w:color="DBEBC2" w:sz="0" w:space="0"/>
              <w:left w:val="single" w:color="DBEBC2" w:sz="0" w:space="0"/>
              <w:bottom w:val="single" w:color="DBEBC2" w:sz="0" w:space="0"/>
              <w:right w:val="single" w:color="DBEBC2" w:sz="0" w:space="0"/>
            </w:tcBorders>
            <w:shd w:val="clear" w:color="auto" w:fill="EEF6E1"/>
            <w:noWrap/>
            <w:vAlign w:val="bottom"/>
          </w:tcPr>
          <w:p>
            <w:pPr>
              <w:rPr>
                <w:rFonts w:hint="default" w:ascii="Arial" w:hAnsi="Arial" w:cs="Arial"/>
                <w:i w:val="0"/>
                <w:iCs w:val="0"/>
                <w:color w:val="000000"/>
                <w:sz w:val="20"/>
                <w:szCs w:val="20"/>
                <w:u w:val="none"/>
              </w:rPr>
            </w:pPr>
          </w:p>
        </w:tc>
        <w:tc>
          <w:tcPr>
            <w:tcW w:w="0" w:type="auto"/>
            <w:tcBorders>
              <w:top w:val="single" w:color="DBEBC2" w:sz="0" w:space="0"/>
              <w:left w:val="single" w:color="DBEBC2" w:sz="0" w:space="0"/>
              <w:bottom w:val="single" w:color="DBEBC2" w:sz="0" w:space="0"/>
              <w:right w:val="single" w:color="DBEBC2" w:sz="0" w:space="0"/>
            </w:tcBorders>
            <w:shd w:val="clear" w:color="auto" w:fill="EEF6E1"/>
            <w:noWrap/>
            <w:vAlign w:val="bottom"/>
          </w:tcPr>
          <w:p>
            <w:pPr>
              <w:rPr>
                <w:rFonts w:hint="default" w:ascii="Arial" w:hAnsi="Arial" w:cs="Arial"/>
                <w:i w:val="0"/>
                <w:iCs w:val="0"/>
                <w:color w:val="000000"/>
                <w:sz w:val="20"/>
                <w:szCs w:val="20"/>
                <w:u w:val="none"/>
              </w:rPr>
            </w:pPr>
          </w:p>
        </w:tc>
        <w:tc>
          <w:tcPr>
            <w:tcW w:w="0" w:type="auto"/>
            <w:tcBorders>
              <w:top w:val="single" w:color="DBEBC2" w:sz="0" w:space="0"/>
              <w:left w:val="single" w:color="DBEBC2" w:sz="0" w:space="0"/>
              <w:bottom w:val="single" w:color="DBEBC2" w:sz="0" w:space="0"/>
              <w:right w:val="single" w:color="DBEBC2" w:sz="0" w:space="0"/>
            </w:tcBorders>
            <w:shd w:val="clear" w:color="auto" w:fill="EEF6E1"/>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DBEBC2" w:sz="4" w:space="0"/>
              <w:left w:val="single" w:color="DBEBC2" w:sz="4" w:space="0"/>
              <w:bottom w:val="single" w:color="DBEBC2" w:sz="4" w:space="0"/>
              <w:right w:val="single" w:color="DBEBC2" w:sz="4" w:space="0"/>
            </w:tcBorders>
            <w:shd w:val="clear" w:color="FFFFFF" w:fill="A4CD6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50" w:type="dxa"/>
            <w:gridSpan w:val="3"/>
            <w:tcBorders>
              <w:top w:val="single" w:color="DBEBC2" w:sz="4" w:space="0"/>
              <w:left w:val="single" w:color="DBEBC2" w:sz="0" w:space="0"/>
              <w:bottom w:val="single" w:color="DBEBC2" w:sz="4" w:space="0"/>
              <w:right w:val="single" w:color="DBEBC2" w:sz="4" w:space="0"/>
            </w:tcBorders>
            <w:shd w:val="clear" w:color="FFFFFF" w:fill="EEF6E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restart"/>
            <w:tcBorders>
              <w:top w:val="single" w:color="DBEBC2" w:sz="0" w:space="0"/>
              <w:left w:val="single" w:color="DBEBC2" w:sz="4" w:space="0"/>
              <w:bottom w:val="single" w:color="DBEBC2" w:sz="4" w:space="0"/>
              <w:right w:val="single" w:color="DBEBC2" w:sz="4" w:space="0"/>
            </w:tcBorders>
            <w:shd w:val="clear" w:color="FFFFFF" w:fill="A4CD6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DBEBC2" w:sz="0" w:space="0"/>
              <w:left w:val="single" w:color="DBEBC2" w:sz="0" w:space="0"/>
              <w:bottom w:val="single" w:color="DBEBC2" w:sz="4" w:space="0"/>
              <w:right w:val="single" w:color="DBEBC2" w:sz="4" w:space="0"/>
            </w:tcBorders>
            <w:shd w:val="clear" w:color="FFFFFF" w:fill="EEF6E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50" w:type="dxa"/>
            <w:vMerge w:val="restart"/>
            <w:tcBorders>
              <w:top w:val="single" w:color="DBEBC2" w:sz="0" w:space="0"/>
              <w:left w:val="single" w:color="DBEBC2" w:sz="0" w:space="0"/>
              <w:bottom w:val="single" w:color="DBEBC2" w:sz="4" w:space="0"/>
              <w:right w:val="single" w:color="DBEBC2" w:sz="4" w:space="0"/>
            </w:tcBorders>
            <w:shd w:val="clear" w:color="FFFFFF" w:fill="EEF6E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250" w:type="dxa"/>
            <w:vMerge w:val="restart"/>
            <w:tcBorders>
              <w:top w:val="single" w:color="DBEBC2" w:sz="0" w:space="0"/>
              <w:left w:val="single" w:color="DBEBC2" w:sz="0" w:space="0"/>
              <w:bottom w:val="single" w:color="DBEBC2" w:sz="4" w:space="0"/>
              <w:right w:val="single" w:color="DBEBC2" w:sz="4" w:space="0"/>
            </w:tcBorders>
            <w:shd w:val="clear" w:color="FFFFFF" w:fill="EEF6E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250" w:type="dxa"/>
            <w:vMerge w:val="restart"/>
            <w:tcBorders>
              <w:top w:val="single" w:color="DBEBC2" w:sz="0" w:space="0"/>
              <w:left w:val="single" w:color="DBEBC2" w:sz="0" w:space="0"/>
              <w:bottom w:val="single" w:color="DBEBC2" w:sz="4" w:space="0"/>
              <w:right w:val="single" w:color="DBEBC2" w:sz="4" w:space="0"/>
            </w:tcBorders>
            <w:shd w:val="clear" w:color="FFFFFF" w:fill="EEF6E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990" w:type="dxa"/>
            <w:gridSpan w:val="3"/>
            <w:vMerge w:val="continue"/>
            <w:tcBorders>
              <w:top w:val="single" w:color="DBEBC2" w:sz="0" w:space="0"/>
              <w:left w:val="single" w:color="DBEBC2" w:sz="4" w:space="0"/>
              <w:bottom w:val="single" w:color="DBEBC2" w:sz="4" w:space="0"/>
              <w:right w:val="single" w:color="DBEBC2" w:sz="4" w:space="0"/>
            </w:tcBorders>
            <w:shd w:val="clear" w:color="FFFFFF" w:fill="A4CD66"/>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DBEBC2" w:sz="0" w:space="0"/>
              <w:left w:val="single" w:color="DBEBC2" w:sz="0" w:space="0"/>
              <w:bottom w:val="single" w:color="DBEBC2" w:sz="4" w:space="0"/>
              <w:right w:val="single" w:color="DBEBC2" w:sz="4" w:space="0"/>
            </w:tcBorders>
            <w:shd w:val="clear" w:color="FFFFFF" w:fill="EEF6E1"/>
            <w:noWrap/>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single" w:color="DBEBC2" w:sz="0" w:space="0"/>
              <w:left w:val="single" w:color="DBEBC2" w:sz="0" w:space="0"/>
              <w:bottom w:val="single" w:color="DBEBC2" w:sz="4" w:space="0"/>
              <w:right w:val="single" w:color="DBEBC2"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single" w:color="DBEBC2" w:sz="0" w:space="0"/>
              <w:left w:val="single" w:color="DBEBC2" w:sz="0" w:space="0"/>
              <w:bottom w:val="single" w:color="DBEBC2" w:sz="4" w:space="0"/>
              <w:right w:val="single" w:color="DBEBC2" w:sz="4" w:space="0"/>
            </w:tcBorders>
            <w:shd w:val="clear" w:color="FFFFFF" w:fill="EEF6E1"/>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single" w:color="DBEBC2" w:sz="0" w:space="0"/>
              <w:left w:val="single" w:color="DBEBC2" w:sz="0" w:space="0"/>
              <w:bottom w:val="single" w:color="DBEBC2" w:sz="4" w:space="0"/>
              <w:right w:val="single" w:color="DBEBC2"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single" w:color="DBEBC2" w:sz="0" w:space="0"/>
              <w:left w:val="single" w:color="DBEBC2" w:sz="4" w:space="0"/>
              <w:bottom w:val="single" w:color="DBEBC2" w:sz="4" w:space="0"/>
              <w:right w:val="single" w:color="DBEBC2" w:sz="4" w:space="0"/>
            </w:tcBorders>
            <w:shd w:val="clear" w:color="FFFFFF" w:fill="A4CD66"/>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DBEBC2" w:sz="0" w:space="0"/>
              <w:left w:val="single" w:color="DBEBC2" w:sz="0" w:space="0"/>
              <w:bottom w:val="single" w:color="DBEBC2" w:sz="4" w:space="0"/>
              <w:right w:val="single" w:color="DBEBC2" w:sz="4" w:space="0"/>
            </w:tcBorders>
            <w:shd w:val="clear" w:color="FFFFFF" w:fill="EEF6E1"/>
            <w:noWrap/>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single" w:color="DBEBC2" w:sz="0" w:space="0"/>
              <w:left w:val="single" w:color="DBEBC2" w:sz="0" w:space="0"/>
              <w:bottom w:val="single" w:color="DBEBC2" w:sz="4" w:space="0"/>
              <w:right w:val="single" w:color="DBEBC2"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single" w:color="DBEBC2" w:sz="0" w:space="0"/>
              <w:left w:val="single" w:color="DBEBC2" w:sz="0" w:space="0"/>
              <w:bottom w:val="single" w:color="DBEBC2" w:sz="4" w:space="0"/>
              <w:right w:val="single" w:color="DBEBC2" w:sz="4" w:space="0"/>
            </w:tcBorders>
            <w:shd w:val="clear" w:color="FFFFFF" w:fill="EEF6E1"/>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single" w:color="DBEBC2" w:sz="0" w:space="0"/>
              <w:left w:val="single" w:color="DBEBC2" w:sz="0" w:space="0"/>
              <w:bottom w:val="single" w:color="DBEBC2" w:sz="4" w:space="0"/>
              <w:right w:val="single" w:color="DBEBC2"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DBEBC2" w:sz="0" w:space="0"/>
              <w:left w:val="single" w:color="DBEBC2" w:sz="4" w:space="0"/>
              <w:bottom w:val="single" w:color="DBEBC2" w:sz="4" w:space="0"/>
              <w:right w:val="single" w:color="DBEBC2" w:sz="4" w:space="0"/>
            </w:tcBorders>
            <w:shd w:val="clear" w:color="FFFFFF" w:fill="A4CD6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DBEBC2" w:sz="0" w:space="0"/>
              <w:left w:val="single" w:color="DBEBC2" w:sz="0" w:space="0"/>
              <w:bottom w:val="single" w:color="DBEBC2" w:sz="4" w:space="0"/>
              <w:right w:val="single" w:color="DBEBC2" w:sz="4" w:space="0"/>
            </w:tcBorders>
            <w:shd w:val="clear" w:color="FFFFFF" w:fill="EEF6E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DBEBC2" w:sz="0" w:space="0"/>
              <w:left w:val="single" w:color="DBEBC2" w:sz="0" w:space="0"/>
              <w:bottom w:val="single" w:color="DBEBC2" w:sz="4" w:space="0"/>
              <w:right w:val="single" w:color="DBEBC2"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DBEBC2" w:sz="0" w:space="0"/>
              <w:left w:val="single" w:color="DBEBC2" w:sz="0" w:space="0"/>
              <w:bottom w:val="single" w:color="DBEBC2" w:sz="4" w:space="0"/>
              <w:right w:val="single" w:color="DBEBC2" w:sz="4" w:space="0"/>
            </w:tcBorders>
            <w:shd w:val="clear" w:color="FFFFFF" w:fill="EEF6E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DBEBC2" w:sz="0" w:space="0"/>
              <w:left w:val="single" w:color="DBEBC2" w:sz="4" w:space="0"/>
              <w:bottom w:val="single" w:color="DBEBC2" w:sz="4" w:space="0"/>
              <w:right w:val="single" w:color="DBEBC2" w:sz="4" w:space="0"/>
            </w:tcBorders>
            <w:shd w:val="clear" w:color="FFFFFF" w:fill="A4CD6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DBEBC2" w:sz="0" w:space="0"/>
              <w:left w:val="single" w:color="DBEBC2" w:sz="0" w:space="0"/>
              <w:bottom w:val="single" w:color="DBEBC2" w:sz="4" w:space="0"/>
              <w:right w:val="single" w:color="DBEBC2" w:sz="4" w:space="0"/>
            </w:tcBorders>
            <w:shd w:val="clear" w:color="auto" w:fill="EEF6E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1,043.82</w:t>
            </w:r>
          </w:p>
        </w:tc>
        <w:tc>
          <w:tcPr>
            <w:tcW w:w="0" w:type="auto"/>
            <w:tcBorders>
              <w:top w:val="single" w:color="DBEBC2" w:sz="0" w:space="0"/>
              <w:left w:val="single" w:color="DBEBC2" w:sz="0" w:space="0"/>
              <w:bottom w:val="single" w:color="DBEBC2" w:sz="4" w:space="0"/>
              <w:right w:val="single" w:color="DBEBC2" w:sz="4" w:space="0"/>
            </w:tcBorders>
            <w:shd w:val="clear" w:color="auto" w:fill="EEF6E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1,043.82</w:t>
            </w:r>
          </w:p>
        </w:tc>
        <w:tc>
          <w:tcPr>
            <w:tcW w:w="0" w:type="auto"/>
            <w:tcBorders>
              <w:top w:val="single" w:color="DBEBC2" w:sz="0" w:space="0"/>
              <w:left w:val="single" w:color="DBEBC2" w:sz="0" w:space="0"/>
              <w:bottom w:val="single" w:color="DBEBC2" w:sz="4" w:space="0"/>
              <w:right w:val="single" w:color="DBEBC2" w:sz="4" w:space="0"/>
            </w:tcBorders>
            <w:shd w:val="clear" w:color="auto" w:fill="EEF6E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DBEBC2" w:sz="0" w:space="0"/>
              <w:left w:val="single" w:color="DBEBC2" w:sz="4" w:space="0"/>
              <w:bottom w:val="single" w:color="DBEBC2" w:sz="4" w:space="0"/>
              <w:right w:val="single" w:color="DBEBC2" w:sz="4" w:space="0"/>
            </w:tcBorders>
            <w:shd w:val="clear" w:color="auto" w:fill="A4CD66"/>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DBEBC2" w:sz="0" w:space="0"/>
              <w:left w:val="single" w:color="DBEBC2" w:sz="0" w:space="0"/>
              <w:bottom w:val="single" w:color="DBEBC2" w:sz="4" w:space="0"/>
              <w:right w:val="single" w:color="DBEBC2" w:sz="4" w:space="0"/>
            </w:tcBorders>
            <w:shd w:val="clear" w:color="auto" w:fill="EEF6E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DBEBC2" w:sz="0" w:space="0"/>
              <w:left w:val="single" w:color="DBEBC2" w:sz="0" w:space="0"/>
              <w:bottom w:val="single" w:color="DBEBC2" w:sz="4" w:space="0"/>
              <w:right w:val="single" w:color="DBEBC2"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52.52</w:t>
            </w:r>
          </w:p>
        </w:tc>
        <w:tc>
          <w:tcPr>
            <w:tcW w:w="0" w:type="auto"/>
            <w:tcBorders>
              <w:top w:val="single" w:color="DBEBC2" w:sz="0" w:space="0"/>
              <w:left w:val="single" w:color="DBEBC2" w:sz="0" w:space="0"/>
              <w:bottom w:val="single" w:color="DBEBC2" w:sz="4" w:space="0"/>
              <w:right w:val="single" w:color="DBEBC2" w:sz="4" w:space="0"/>
            </w:tcBorders>
            <w:shd w:val="clear" w:color="auto" w:fill="EEF6E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52.52</w:t>
            </w:r>
          </w:p>
        </w:tc>
        <w:tc>
          <w:tcPr>
            <w:tcW w:w="0" w:type="auto"/>
            <w:tcBorders>
              <w:top w:val="single" w:color="DBEBC2" w:sz="0" w:space="0"/>
              <w:left w:val="single" w:color="DBEBC2" w:sz="0" w:space="0"/>
              <w:bottom w:val="single" w:color="DBEBC2" w:sz="4" w:space="0"/>
              <w:right w:val="single" w:color="DBEBC2"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DBEBC2" w:sz="0" w:space="0"/>
              <w:left w:val="single" w:color="DBEBC2" w:sz="4" w:space="0"/>
              <w:bottom w:val="single" w:color="DBEBC2" w:sz="4" w:space="0"/>
              <w:right w:val="single" w:color="DBEBC2" w:sz="4" w:space="0"/>
            </w:tcBorders>
            <w:shd w:val="clear" w:color="auto" w:fill="A4CD66"/>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single" w:color="DBEBC2" w:sz="0" w:space="0"/>
              <w:left w:val="single" w:color="DBEBC2" w:sz="0" w:space="0"/>
              <w:bottom w:val="single" w:color="DBEBC2" w:sz="4" w:space="0"/>
              <w:right w:val="single" w:color="DBEBC2" w:sz="4" w:space="0"/>
            </w:tcBorders>
            <w:shd w:val="clear" w:color="auto" w:fill="EEF6E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single" w:color="DBEBC2" w:sz="0" w:space="0"/>
              <w:left w:val="single" w:color="DBEBC2" w:sz="0" w:space="0"/>
              <w:bottom w:val="single" w:color="DBEBC2" w:sz="4" w:space="0"/>
              <w:right w:val="single" w:color="DBEBC2" w:sz="4" w:space="0"/>
            </w:tcBorders>
            <w:shd w:val="clear" w:color="auto" w:fill="EEF6E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52.52</w:t>
            </w:r>
          </w:p>
        </w:tc>
        <w:tc>
          <w:tcPr>
            <w:tcW w:w="0" w:type="auto"/>
            <w:tcBorders>
              <w:top w:val="single" w:color="DBEBC2" w:sz="0" w:space="0"/>
              <w:left w:val="single" w:color="DBEBC2" w:sz="0" w:space="0"/>
              <w:bottom w:val="single" w:color="DBEBC2" w:sz="4" w:space="0"/>
              <w:right w:val="single" w:color="DBEBC2" w:sz="4" w:space="0"/>
            </w:tcBorders>
            <w:shd w:val="clear" w:color="auto" w:fill="EEF6E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52.52</w:t>
            </w:r>
          </w:p>
        </w:tc>
        <w:tc>
          <w:tcPr>
            <w:tcW w:w="0" w:type="auto"/>
            <w:tcBorders>
              <w:top w:val="single" w:color="DBEBC2" w:sz="0" w:space="0"/>
              <w:left w:val="single" w:color="DBEBC2" w:sz="0" w:space="0"/>
              <w:bottom w:val="single" w:color="DBEBC2" w:sz="4" w:space="0"/>
              <w:right w:val="single" w:color="DBEBC2" w:sz="4" w:space="0"/>
            </w:tcBorders>
            <w:shd w:val="clear" w:color="auto" w:fill="EEF6E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DBEBC2" w:sz="0" w:space="0"/>
              <w:left w:val="single" w:color="DBEBC2" w:sz="4" w:space="0"/>
              <w:bottom w:val="single" w:color="DBEBC2" w:sz="4" w:space="0"/>
              <w:right w:val="single" w:color="DBEBC2" w:sz="4" w:space="0"/>
            </w:tcBorders>
            <w:shd w:val="clear" w:color="auto" w:fill="A4CD66"/>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DBEBC2" w:sz="0" w:space="0"/>
              <w:left w:val="single" w:color="DBEBC2" w:sz="0" w:space="0"/>
              <w:bottom w:val="single" w:color="DBEBC2" w:sz="4" w:space="0"/>
              <w:right w:val="single" w:color="DBEBC2" w:sz="4" w:space="0"/>
            </w:tcBorders>
            <w:shd w:val="clear" w:color="auto" w:fill="EEF6E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single" w:color="DBEBC2" w:sz="0" w:space="0"/>
              <w:left w:val="single" w:color="DBEBC2" w:sz="0" w:space="0"/>
              <w:bottom w:val="single" w:color="DBEBC2" w:sz="4" w:space="0"/>
              <w:right w:val="single" w:color="DBEBC2"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52.52</w:t>
            </w:r>
          </w:p>
        </w:tc>
        <w:tc>
          <w:tcPr>
            <w:tcW w:w="0" w:type="auto"/>
            <w:tcBorders>
              <w:top w:val="single" w:color="DBEBC2" w:sz="0" w:space="0"/>
              <w:left w:val="single" w:color="DBEBC2" w:sz="0" w:space="0"/>
              <w:bottom w:val="single" w:color="DBEBC2" w:sz="4" w:space="0"/>
              <w:right w:val="single" w:color="DBEBC2" w:sz="4" w:space="0"/>
            </w:tcBorders>
            <w:shd w:val="clear" w:color="auto" w:fill="EEF6E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52.52</w:t>
            </w:r>
          </w:p>
        </w:tc>
        <w:tc>
          <w:tcPr>
            <w:tcW w:w="0" w:type="auto"/>
            <w:tcBorders>
              <w:top w:val="single" w:color="DBEBC2" w:sz="0" w:space="0"/>
              <w:left w:val="single" w:color="DBEBC2" w:sz="0" w:space="0"/>
              <w:bottom w:val="single" w:color="DBEBC2" w:sz="4" w:space="0"/>
              <w:right w:val="single" w:color="DBEBC2"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DBEBC2" w:sz="0" w:space="0"/>
              <w:left w:val="single" w:color="DBEBC2" w:sz="4" w:space="0"/>
              <w:bottom w:val="single" w:color="DBEBC2" w:sz="4" w:space="0"/>
              <w:right w:val="single" w:color="DBEBC2" w:sz="4" w:space="0"/>
            </w:tcBorders>
            <w:shd w:val="clear" w:color="auto" w:fill="A4CD66"/>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DBEBC2" w:sz="0" w:space="0"/>
              <w:left w:val="single" w:color="DBEBC2" w:sz="0" w:space="0"/>
              <w:bottom w:val="single" w:color="DBEBC2" w:sz="4" w:space="0"/>
              <w:right w:val="single" w:color="DBEBC2" w:sz="4" w:space="0"/>
            </w:tcBorders>
            <w:shd w:val="clear" w:color="auto" w:fill="EEF6E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single" w:color="DBEBC2" w:sz="0" w:space="0"/>
              <w:left w:val="single" w:color="DBEBC2" w:sz="0" w:space="0"/>
              <w:bottom w:val="single" w:color="DBEBC2" w:sz="4" w:space="0"/>
              <w:right w:val="single" w:color="DBEBC2" w:sz="4" w:space="0"/>
            </w:tcBorders>
            <w:shd w:val="clear" w:color="auto" w:fill="EEF6E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55.67</w:t>
            </w:r>
          </w:p>
        </w:tc>
        <w:tc>
          <w:tcPr>
            <w:tcW w:w="0" w:type="auto"/>
            <w:tcBorders>
              <w:top w:val="single" w:color="DBEBC2" w:sz="0" w:space="0"/>
              <w:left w:val="single" w:color="DBEBC2" w:sz="0" w:space="0"/>
              <w:bottom w:val="single" w:color="DBEBC2" w:sz="4" w:space="0"/>
              <w:right w:val="single" w:color="DBEBC2" w:sz="4" w:space="0"/>
            </w:tcBorders>
            <w:shd w:val="clear" w:color="auto" w:fill="EEF6E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55.67</w:t>
            </w:r>
          </w:p>
        </w:tc>
        <w:tc>
          <w:tcPr>
            <w:tcW w:w="0" w:type="auto"/>
            <w:tcBorders>
              <w:top w:val="single" w:color="DBEBC2" w:sz="0" w:space="0"/>
              <w:left w:val="single" w:color="DBEBC2" w:sz="0" w:space="0"/>
              <w:bottom w:val="single" w:color="DBEBC2" w:sz="4" w:space="0"/>
              <w:right w:val="single" w:color="DBEBC2" w:sz="4" w:space="0"/>
            </w:tcBorders>
            <w:shd w:val="clear" w:color="auto" w:fill="EEF6E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DBEBC2" w:sz="0" w:space="0"/>
              <w:left w:val="single" w:color="DBEBC2" w:sz="4" w:space="0"/>
              <w:bottom w:val="single" w:color="DBEBC2" w:sz="4" w:space="0"/>
              <w:right w:val="single" w:color="DBEBC2" w:sz="4" w:space="0"/>
            </w:tcBorders>
            <w:shd w:val="clear" w:color="auto" w:fill="A4CD66"/>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single" w:color="DBEBC2" w:sz="0" w:space="0"/>
              <w:left w:val="single" w:color="DBEBC2" w:sz="0" w:space="0"/>
              <w:bottom w:val="single" w:color="DBEBC2" w:sz="4" w:space="0"/>
              <w:right w:val="single" w:color="DBEBC2" w:sz="4" w:space="0"/>
            </w:tcBorders>
            <w:shd w:val="clear" w:color="auto" w:fill="EEF6E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single" w:color="DBEBC2" w:sz="0" w:space="0"/>
              <w:left w:val="single" w:color="DBEBC2" w:sz="0" w:space="0"/>
              <w:bottom w:val="single" w:color="DBEBC2" w:sz="4" w:space="0"/>
              <w:right w:val="single" w:color="DBEBC2"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55.67</w:t>
            </w:r>
          </w:p>
        </w:tc>
        <w:tc>
          <w:tcPr>
            <w:tcW w:w="0" w:type="auto"/>
            <w:tcBorders>
              <w:top w:val="single" w:color="DBEBC2" w:sz="0" w:space="0"/>
              <w:left w:val="single" w:color="DBEBC2" w:sz="0" w:space="0"/>
              <w:bottom w:val="single" w:color="DBEBC2" w:sz="4" w:space="0"/>
              <w:right w:val="single" w:color="DBEBC2" w:sz="4" w:space="0"/>
            </w:tcBorders>
            <w:shd w:val="clear" w:color="auto" w:fill="EEF6E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55.67</w:t>
            </w:r>
          </w:p>
        </w:tc>
        <w:tc>
          <w:tcPr>
            <w:tcW w:w="0" w:type="auto"/>
            <w:tcBorders>
              <w:top w:val="single" w:color="DBEBC2" w:sz="0" w:space="0"/>
              <w:left w:val="single" w:color="DBEBC2" w:sz="0" w:space="0"/>
              <w:bottom w:val="single" w:color="DBEBC2" w:sz="4" w:space="0"/>
              <w:right w:val="single" w:color="DBEBC2"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DBEBC2" w:sz="0" w:space="0"/>
              <w:left w:val="single" w:color="DBEBC2" w:sz="4" w:space="0"/>
              <w:bottom w:val="single" w:color="DBEBC2" w:sz="4" w:space="0"/>
              <w:right w:val="single" w:color="DBEBC2" w:sz="4" w:space="0"/>
            </w:tcBorders>
            <w:shd w:val="clear" w:color="auto" w:fill="A4CD66"/>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single" w:color="DBEBC2" w:sz="0" w:space="0"/>
              <w:left w:val="single" w:color="DBEBC2" w:sz="0" w:space="0"/>
              <w:bottom w:val="single" w:color="DBEBC2" w:sz="4" w:space="0"/>
              <w:right w:val="single" w:color="DBEBC2" w:sz="4" w:space="0"/>
            </w:tcBorders>
            <w:shd w:val="clear" w:color="auto" w:fill="EEF6E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single" w:color="DBEBC2" w:sz="0" w:space="0"/>
              <w:left w:val="single" w:color="DBEBC2" w:sz="0" w:space="0"/>
              <w:bottom w:val="single" w:color="DBEBC2" w:sz="4" w:space="0"/>
              <w:right w:val="single" w:color="DBEBC2" w:sz="4" w:space="0"/>
            </w:tcBorders>
            <w:shd w:val="clear" w:color="auto" w:fill="EEF6E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55.67</w:t>
            </w:r>
          </w:p>
        </w:tc>
        <w:tc>
          <w:tcPr>
            <w:tcW w:w="0" w:type="auto"/>
            <w:tcBorders>
              <w:top w:val="single" w:color="DBEBC2" w:sz="0" w:space="0"/>
              <w:left w:val="single" w:color="DBEBC2" w:sz="0" w:space="0"/>
              <w:bottom w:val="single" w:color="DBEBC2" w:sz="4" w:space="0"/>
              <w:right w:val="single" w:color="DBEBC2" w:sz="4" w:space="0"/>
            </w:tcBorders>
            <w:shd w:val="clear" w:color="auto" w:fill="EEF6E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55.67</w:t>
            </w:r>
          </w:p>
        </w:tc>
        <w:tc>
          <w:tcPr>
            <w:tcW w:w="0" w:type="auto"/>
            <w:tcBorders>
              <w:top w:val="single" w:color="DBEBC2" w:sz="0" w:space="0"/>
              <w:left w:val="single" w:color="DBEBC2" w:sz="0" w:space="0"/>
              <w:bottom w:val="single" w:color="DBEBC2" w:sz="4" w:space="0"/>
              <w:right w:val="single" w:color="DBEBC2" w:sz="4" w:space="0"/>
            </w:tcBorders>
            <w:shd w:val="clear" w:color="auto" w:fill="EEF6E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DBEBC2" w:sz="0" w:space="0"/>
              <w:left w:val="single" w:color="DBEBC2" w:sz="4" w:space="0"/>
              <w:bottom w:val="single" w:color="DBEBC2" w:sz="4" w:space="0"/>
              <w:right w:val="single" w:color="DBEBC2" w:sz="4" w:space="0"/>
            </w:tcBorders>
            <w:shd w:val="clear" w:color="auto" w:fill="A4CD66"/>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single" w:color="DBEBC2" w:sz="0" w:space="0"/>
              <w:left w:val="single" w:color="DBEBC2" w:sz="0" w:space="0"/>
              <w:bottom w:val="single" w:color="DBEBC2" w:sz="4" w:space="0"/>
              <w:right w:val="single" w:color="DBEBC2" w:sz="4" w:space="0"/>
            </w:tcBorders>
            <w:shd w:val="clear" w:color="auto" w:fill="EEF6E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0" w:type="auto"/>
            <w:tcBorders>
              <w:top w:val="single" w:color="DBEBC2" w:sz="0" w:space="0"/>
              <w:left w:val="single" w:color="DBEBC2" w:sz="0" w:space="0"/>
              <w:bottom w:val="single" w:color="DBEBC2" w:sz="4" w:space="0"/>
              <w:right w:val="single" w:color="DBEBC2"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935.63</w:t>
            </w:r>
          </w:p>
        </w:tc>
        <w:tc>
          <w:tcPr>
            <w:tcW w:w="0" w:type="auto"/>
            <w:tcBorders>
              <w:top w:val="single" w:color="DBEBC2" w:sz="0" w:space="0"/>
              <w:left w:val="single" w:color="DBEBC2" w:sz="0" w:space="0"/>
              <w:bottom w:val="single" w:color="DBEBC2" w:sz="4" w:space="0"/>
              <w:right w:val="single" w:color="DBEBC2" w:sz="4" w:space="0"/>
            </w:tcBorders>
            <w:shd w:val="clear" w:color="auto" w:fill="EEF6E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935.63</w:t>
            </w:r>
          </w:p>
        </w:tc>
        <w:tc>
          <w:tcPr>
            <w:tcW w:w="0" w:type="auto"/>
            <w:tcBorders>
              <w:top w:val="single" w:color="DBEBC2" w:sz="0" w:space="0"/>
              <w:left w:val="single" w:color="DBEBC2" w:sz="0" w:space="0"/>
              <w:bottom w:val="single" w:color="DBEBC2" w:sz="4" w:space="0"/>
              <w:right w:val="single" w:color="DBEBC2"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DBEBC2" w:sz="0" w:space="0"/>
              <w:left w:val="single" w:color="DBEBC2" w:sz="4" w:space="0"/>
              <w:bottom w:val="single" w:color="DBEBC2" w:sz="4" w:space="0"/>
              <w:right w:val="single" w:color="DBEBC2" w:sz="4" w:space="0"/>
            </w:tcBorders>
            <w:shd w:val="clear" w:color="auto" w:fill="A4CD66"/>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w:t>
            </w:r>
          </w:p>
        </w:tc>
        <w:tc>
          <w:tcPr>
            <w:tcW w:w="0" w:type="auto"/>
            <w:tcBorders>
              <w:top w:val="single" w:color="DBEBC2" w:sz="0" w:space="0"/>
              <w:left w:val="single" w:color="DBEBC2" w:sz="0" w:space="0"/>
              <w:bottom w:val="single" w:color="DBEBC2" w:sz="4" w:space="0"/>
              <w:right w:val="single" w:color="DBEBC2" w:sz="4" w:space="0"/>
            </w:tcBorders>
            <w:shd w:val="clear" w:color="auto" w:fill="EEF6E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环境保护管理事务</w:t>
            </w:r>
          </w:p>
        </w:tc>
        <w:tc>
          <w:tcPr>
            <w:tcW w:w="0" w:type="auto"/>
            <w:tcBorders>
              <w:top w:val="single" w:color="DBEBC2" w:sz="0" w:space="0"/>
              <w:left w:val="single" w:color="DBEBC2" w:sz="0" w:space="0"/>
              <w:bottom w:val="single" w:color="DBEBC2" w:sz="4" w:space="0"/>
              <w:right w:val="single" w:color="DBEBC2" w:sz="4" w:space="0"/>
            </w:tcBorders>
            <w:shd w:val="clear" w:color="auto" w:fill="EEF6E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935.63</w:t>
            </w:r>
          </w:p>
        </w:tc>
        <w:tc>
          <w:tcPr>
            <w:tcW w:w="0" w:type="auto"/>
            <w:tcBorders>
              <w:top w:val="single" w:color="DBEBC2" w:sz="0" w:space="0"/>
              <w:left w:val="single" w:color="DBEBC2" w:sz="0" w:space="0"/>
              <w:bottom w:val="single" w:color="DBEBC2" w:sz="4" w:space="0"/>
              <w:right w:val="single" w:color="DBEBC2" w:sz="4" w:space="0"/>
            </w:tcBorders>
            <w:shd w:val="clear" w:color="auto" w:fill="EEF6E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935.63</w:t>
            </w:r>
          </w:p>
        </w:tc>
        <w:tc>
          <w:tcPr>
            <w:tcW w:w="0" w:type="auto"/>
            <w:tcBorders>
              <w:top w:val="single" w:color="DBEBC2" w:sz="0" w:space="0"/>
              <w:left w:val="single" w:color="DBEBC2" w:sz="0" w:space="0"/>
              <w:bottom w:val="single" w:color="DBEBC2" w:sz="4" w:space="0"/>
              <w:right w:val="single" w:color="DBEBC2" w:sz="4" w:space="0"/>
            </w:tcBorders>
            <w:shd w:val="clear" w:color="auto" w:fill="EEF6E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DBEBC2" w:sz="0" w:space="0"/>
              <w:left w:val="single" w:color="DBEBC2" w:sz="4" w:space="0"/>
              <w:bottom w:val="single" w:color="DBEBC2" w:sz="4" w:space="0"/>
              <w:right w:val="single" w:color="DBEBC2" w:sz="4" w:space="0"/>
            </w:tcBorders>
            <w:shd w:val="clear" w:color="auto" w:fill="A4CD66"/>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2110101</w:t>
            </w:r>
          </w:p>
        </w:tc>
        <w:tc>
          <w:tcPr>
            <w:tcW w:w="0" w:type="auto"/>
            <w:tcBorders>
              <w:top w:val="single" w:color="DBEBC2" w:sz="0" w:space="0"/>
              <w:left w:val="single" w:color="DBEBC2" w:sz="0" w:space="0"/>
              <w:bottom w:val="single" w:color="DBEBC2" w:sz="4" w:space="0"/>
              <w:right w:val="single" w:color="DBEBC2" w:sz="4" w:space="0"/>
            </w:tcBorders>
            <w:shd w:val="clear" w:color="auto" w:fill="EEF6E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single" w:color="DBEBC2" w:sz="0" w:space="0"/>
              <w:left w:val="single" w:color="DBEBC2" w:sz="0" w:space="0"/>
              <w:bottom w:val="single" w:color="DBEBC2" w:sz="4" w:space="0"/>
              <w:right w:val="single" w:color="DBEBC2"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935.63</w:t>
            </w:r>
          </w:p>
        </w:tc>
        <w:tc>
          <w:tcPr>
            <w:tcW w:w="0" w:type="auto"/>
            <w:tcBorders>
              <w:top w:val="single" w:color="DBEBC2" w:sz="0" w:space="0"/>
              <w:left w:val="single" w:color="DBEBC2" w:sz="0" w:space="0"/>
              <w:bottom w:val="single" w:color="DBEBC2" w:sz="4" w:space="0"/>
              <w:right w:val="single" w:color="DBEBC2" w:sz="4" w:space="0"/>
            </w:tcBorders>
            <w:shd w:val="clear" w:color="auto" w:fill="EEF6E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935.63</w:t>
            </w:r>
          </w:p>
        </w:tc>
        <w:tc>
          <w:tcPr>
            <w:tcW w:w="0" w:type="auto"/>
            <w:tcBorders>
              <w:top w:val="single" w:color="DBEBC2" w:sz="0" w:space="0"/>
              <w:left w:val="single" w:color="DBEBC2" w:sz="0" w:space="0"/>
              <w:bottom w:val="single" w:color="DBEBC2" w:sz="4" w:space="0"/>
              <w:right w:val="single" w:color="DBEBC2"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DBEBC2" w:sz="0" w:space="0"/>
              <w:left w:val="single" w:color="DBEBC2" w:sz="4" w:space="0"/>
              <w:bottom w:val="single" w:color="DBEBC2" w:sz="4" w:space="0"/>
              <w:right w:val="single" w:color="DBEBC2" w:sz="4" w:space="0"/>
            </w:tcBorders>
            <w:shd w:val="clear" w:color="auto" w:fill="A4CD66"/>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DBEBC2" w:sz="0" w:space="0"/>
              <w:left w:val="single" w:color="DBEBC2" w:sz="0" w:space="0"/>
              <w:bottom w:val="single" w:color="DBEBC2" w:sz="4" w:space="0"/>
              <w:right w:val="single" w:color="DBEBC2" w:sz="4" w:space="0"/>
            </w:tcBorders>
            <w:shd w:val="clear" w:color="auto" w:fill="EEF6E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DBEBC2" w:sz="0" w:space="0"/>
              <w:left w:val="single" w:color="DBEBC2" w:sz="0" w:space="0"/>
              <w:bottom w:val="single" w:color="DBEBC2" w:sz="4" w:space="0"/>
              <w:right w:val="single" w:color="DBEBC2" w:sz="4" w:space="0"/>
            </w:tcBorders>
            <w:shd w:val="clear" w:color="auto" w:fill="EEF6E1"/>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DBEBC2" w:sz="0" w:space="0"/>
              <w:left w:val="single" w:color="DBEBC2" w:sz="0" w:space="0"/>
              <w:bottom w:val="single" w:color="DBEBC2" w:sz="4" w:space="0"/>
              <w:right w:val="single" w:color="DBEBC2" w:sz="4" w:space="0"/>
            </w:tcBorders>
            <w:shd w:val="clear" w:color="auto" w:fill="EEF6E1"/>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DBEBC2" w:sz="0" w:space="0"/>
              <w:left w:val="single" w:color="DBEBC2" w:sz="0" w:space="0"/>
              <w:bottom w:val="single" w:color="DBEBC2" w:sz="4" w:space="0"/>
              <w:right w:val="single" w:color="DBEBC2" w:sz="4" w:space="0"/>
            </w:tcBorders>
            <w:shd w:val="clear" w:color="auto" w:fill="EEF6E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DBEBC2" w:sz="0" w:space="0"/>
              <w:left w:val="single" w:color="DBEBC2" w:sz="4" w:space="0"/>
              <w:bottom w:val="single" w:color="DBEBC2" w:sz="4" w:space="0"/>
              <w:right w:val="single" w:color="DBEBC2" w:sz="4" w:space="0"/>
            </w:tcBorders>
            <w:shd w:val="clear" w:color="auto" w:fill="A4CD66"/>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DBEBC2" w:sz="0" w:space="0"/>
              <w:left w:val="single" w:color="DBEBC2" w:sz="0" w:space="0"/>
              <w:bottom w:val="single" w:color="DBEBC2" w:sz="4" w:space="0"/>
              <w:right w:val="single" w:color="DBEBC2" w:sz="4" w:space="0"/>
            </w:tcBorders>
            <w:shd w:val="clear" w:color="auto" w:fill="EEF6E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DBEBC2" w:sz="0" w:space="0"/>
              <w:left w:val="single" w:color="DBEBC2" w:sz="0" w:space="0"/>
              <w:bottom w:val="single" w:color="DBEBC2" w:sz="4" w:space="0"/>
              <w:right w:val="single" w:color="DBEBC2"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DBEBC2" w:sz="0" w:space="0"/>
              <w:left w:val="single" w:color="DBEBC2" w:sz="0" w:space="0"/>
              <w:bottom w:val="single" w:color="DBEBC2" w:sz="4" w:space="0"/>
              <w:right w:val="single" w:color="DBEBC2" w:sz="4" w:space="0"/>
            </w:tcBorders>
            <w:shd w:val="clear" w:color="auto" w:fill="EEF6E1"/>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DBEBC2" w:sz="0" w:space="0"/>
              <w:left w:val="single" w:color="DBEBC2" w:sz="0" w:space="0"/>
              <w:bottom w:val="single" w:color="DBEBC2" w:sz="4" w:space="0"/>
              <w:right w:val="single" w:color="DBEBC2"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DBEBC2" w:sz="0" w:space="0"/>
              <w:left w:val="single" w:color="DBEBC2" w:sz="4" w:space="0"/>
              <w:bottom w:val="single" w:color="DBEBC2" w:sz="4" w:space="0"/>
              <w:right w:val="single" w:color="DBEBC2" w:sz="4" w:space="0"/>
            </w:tcBorders>
            <w:shd w:val="clear" w:color="auto" w:fill="A4CD66"/>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DBEBC2" w:sz="0" w:space="0"/>
              <w:left w:val="single" w:color="DBEBC2" w:sz="0" w:space="0"/>
              <w:bottom w:val="single" w:color="DBEBC2" w:sz="4" w:space="0"/>
              <w:right w:val="single" w:color="DBEBC2" w:sz="4" w:space="0"/>
            </w:tcBorders>
            <w:shd w:val="clear" w:color="auto" w:fill="EEF6E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DBEBC2" w:sz="0" w:space="0"/>
              <w:left w:val="single" w:color="DBEBC2" w:sz="0" w:space="0"/>
              <w:bottom w:val="single" w:color="DBEBC2" w:sz="4" w:space="0"/>
              <w:right w:val="single" w:color="DBEBC2" w:sz="4" w:space="0"/>
            </w:tcBorders>
            <w:shd w:val="clear" w:color="auto" w:fill="EEF6E1"/>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DBEBC2" w:sz="0" w:space="0"/>
              <w:left w:val="single" w:color="DBEBC2" w:sz="0" w:space="0"/>
              <w:bottom w:val="single" w:color="DBEBC2" w:sz="4" w:space="0"/>
              <w:right w:val="single" w:color="DBEBC2" w:sz="4" w:space="0"/>
            </w:tcBorders>
            <w:shd w:val="clear" w:color="auto" w:fill="EEF6E1"/>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DBEBC2" w:sz="0" w:space="0"/>
              <w:left w:val="single" w:color="DBEBC2" w:sz="0" w:space="0"/>
              <w:bottom w:val="single" w:color="DBEBC2" w:sz="4" w:space="0"/>
              <w:right w:val="single" w:color="DBEBC2" w:sz="4" w:space="0"/>
            </w:tcBorders>
            <w:shd w:val="clear" w:color="auto" w:fill="EEF6E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7"/>
            <w:tcBorders>
              <w:top w:val="single" w:color="DBEBC2" w:sz="0" w:space="0"/>
              <w:left w:val="single" w:color="DBEBC2" w:sz="0" w:space="0"/>
              <w:bottom w:val="single" w:color="6F9731" w:sz="0" w:space="0"/>
              <w:right w:val="single" w:color="DBEBC2" w:sz="0" w:space="0"/>
            </w:tcBorders>
            <w:shd w:val="clear" w:color="auto" w:fill="A4CD66"/>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tbl>
      <w:tblPr>
        <w:tblStyle w:val="6"/>
        <w:tblW w:w="18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16"/>
        <w:gridCol w:w="3525"/>
        <w:gridCol w:w="889"/>
        <w:gridCol w:w="766"/>
        <w:gridCol w:w="2441"/>
        <w:gridCol w:w="889"/>
        <w:gridCol w:w="766"/>
        <w:gridCol w:w="4439"/>
        <w:gridCol w:w="14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8420"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部门：怀化市生态环境局溆浦分局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35"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52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3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7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3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51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35"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52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3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7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3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51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828.06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215.76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383.38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251.64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136.78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83.41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8.94</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828.06</w:t>
            </w:r>
          </w:p>
        </w:tc>
        <w:tc>
          <w:tcPr>
            <w:tcW w:w="0" w:type="auto"/>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tbl>
      <w:tblPr>
        <w:tblStyle w:val="6"/>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25"/>
        <w:gridCol w:w="285"/>
        <w:gridCol w:w="285"/>
        <w:gridCol w:w="1406"/>
        <w:gridCol w:w="1357"/>
        <w:gridCol w:w="1357"/>
        <w:gridCol w:w="1357"/>
        <w:gridCol w:w="1357"/>
        <w:gridCol w:w="1357"/>
        <w:gridCol w:w="2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000"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部门：怀化市生态环境局溆浦分局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6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5040"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bl>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tbl>
      <w:tblPr>
        <w:tblStyle w:val="6"/>
        <w:tblW w:w="9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60"/>
        <w:gridCol w:w="260"/>
        <w:gridCol w:w="260"/>
        <w:gridCol w:w="1281"/>
        <w:gridCol w:w="1237"/>
        <w:gridCol w:w="1237"/>
        <w:gridCol w:w="1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96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部门：怀化市生态环境局溆浦分局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040"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bl>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49"/>
        <w:gridCol w:w="1367"/>
        <w:gridCol w:w="663"/>
        <w:gridCol w:w="1145"/>
        <w:gridCol w:w="1337"/>
        <w:gridCol w:w="952"/>
        <w:gridCol w:w="663"/>
        <w:gridCol w:w="1367"/>
        <w:gridCol w:w="663"/>
        <w:gridCol w:w="1145"/>
        <w:gridCol w:w="1337"/>
        <w:gridCol w:w="1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部门：怀化市生态环境局溆浦分局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0" w:type="auto"/>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0" w:type="auto"/>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0" w:type="auto"/>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pPr>
    </w:p>
    <w:p>
      <w:pPr>
        <w:widowControl/>
        <w:jc w:val="both"/>
        <w:rPr>
          <w:rFonts w:ascii="黑体" w:hAnsi="黑体" w:eastAsia="黑体"/>
          <w:szCs w:val="21"/>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0"/>
        <w:jc w:val="center"/>
        <w:rPr>
          <w:rFonts w:hint="eastAsia" w:ascii="方正小标宋_GBK" w:hAnsi="方正小标宋_GBK" w:eastAsia="方正小标宋_GBK" w:cs="方正小标宋_GBK"/>
          <w:sz w:val="70"/>
          <w:szCs w:val="70"/>
        </w:rPr>
      </w:pPr>
    </w:p>
    <w:p>
      <w:pPr>
        <w:pStyle w:val="10"/>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2231.67</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2231.67</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%，主要是因为2022年本单位公用经费、人员经费纳入市级财政预算管理。</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2231.67</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1043.82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46.77</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1187.85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（为县财政拨款）</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53.23</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2231.67</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1650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73.94</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581.67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26.06</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1043.82</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1043.82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%，主要是因为2022年本单位公用经费、人员经费纳入市级财政预算管理。</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1043.82</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46.77</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1043.82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%，主要是因为2022年本单位公用经费、人员经费纳入市级财政预算管理。</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1043.82</w:t>
      </w:r>
      <w:r>
        <w:rPr>
          <w:rFonts w:hint="eastAsia" w:ascii="Times New Roman" w:hAnsi="Times New Roman" w:eastAsia="仿宋_GB2312"/>
          <w:sz w:val="32"/>
          <w:szCs w:val="32"/>
        </w:rPr>
        <w:t>万元，主要用于以下方面：社会保障和就业支出</w:t>
      </w:r>
      <w:r>
        <w:rPr>
          <w:rFonts w:hint="eastAsia" w:ascii="Times New Roman" w:hAnsi="Times New Roman" w:eastAsia="仿宋_GB2312"/>
          <w:sz w:val="32"/>
          <w:szCs w:val="32"/>
          <w:lang w:val="en-US" w:eastAsia="zh-CN"/>
        </w:rPr>
        <w:t>52.52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5.03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卫生健康支出</w:t>
      </w:r>
      <w:r>
        <w:rPr>
          <w:rFonts w:hint="eastAsia" w:ascii="Times New Roman" w:hAnsi="Times New Roman" w:eastAsia="仿宋_GB2312"/>
          <w:sz w:val="32"/>
          <w:szCs w:val="32"/>
          <w:lang w:val="en-US" w:eastAsia="zh-CN"/>
        </w:rPr>
        <w:t>55.67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5.33</w:t>
      </w:r>
      <w:r>
        <w:rPr>
          <w:rFonts w:hint="eastAsia" w:ascii="Times New Roman" w:hAnsi="Times New Roman" w:eastAsia="仿宋_GB2312"/>
          <w:sz w:val="32"/>
          <w:szCs w:val="32"/>
        </w:rPr>
        <w:t>%；节能环保支出</w:t>
      </w:r>
      <w:r>
        <w:rPr>
          <w:rFonts w:hint="eastAsia" w:ascii="Times New Roman" w:hAnsi="Times New Roman" w:eastAsia="仿宋_GB2312"/>
          <w:sz w:val="32"/>
          <w:szCs w:val="32"/>
          <w:lang w:val="en-US" w:eastAsia="zh-CN"/>
        </w:rPr>
        <w:t>935.63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89.64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eastAsia="仿宋_GB2312"/>
          <w:sz w:val="32"/>
          <w:szCs w:val="32"/>
        </w:rPr>
        <w:t>1280.47</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1043.82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81.52</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1、社会保障和就业支出（类）行政事业单位养老支出（款）-机关事业单位基本养老保险缴费支出（项）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年初预算为131.86万元，支出决算为52.52万元，完成预算的39.83%。决算数比年初预算少79.34万元，主要是因为环保部门体制改革，</w:t>
      </w:r>
      <w:r>
        <w:rPr>
          <w:rFonts w:hint="eastAsia" w:ascii="Times New Roman" w:hAnsi="Times New Roman" w:eastAsia="仿宋_GB2312"/>
          <w:sz w:val="32"/>
          <w:szCs w:val="32"/>
        </w:rPr>
        <w:t>在养老保险上收工作中</w:t>
      </w:r>
      <w:r>
        <w:rPr>
          <w:rFonts w:hint="eastAsia" w:ascii="Times New Roman" w:hAnsi="Times New Roman" w:eastAsia="仿宋_GB2312"/>
          <w:sz w:val="32"/>
          <w:szCs w:val="32"/>
          <w:lang w:eastAsia="zh-CN"/>
        </w:rPr>
        <w:t>因</w:t>
      </w:r>
      <w:r>
        <w:rPr>
          <w:rFonts w:hint="eastAsia" w:ascii="Times New Roman" w:hAnsi="Times New Roman" w:eastAsia="仿宋_GB2312"/>
          <w:sz w:val="32"/>
          <w:szCs w:val="32"/>
          <w:lang w:val="en-US" w:eastAsia="zh-CN"/>
        </w:rPr>
        <w:t>2020年之前的职业年金由县级财政记实、2022年2月</w:t>
      </w:r>
      <w:r>
        <w:rPr>
          <w:rFonts w:hint="eastAsia" w:ascii="Times New Roman" w:hAnsi="Times New Roman" w:eastAsia="仿宋_GB2312"/>
          <w:sz w:val="32"/>
          <w:szCs w:val="32"/>
        </w:rPr>
        <w:t>退休人员异动</w:t>
      </w:r>
      <w:r>
        <w:rPr>
          <w:rFonts w:hint="eastAsia" w:ascii="Times New Roman" w:hAnsi="Times New Roman" w:eastAsia="仿宋_GB2312"/>
          <w:sz w:val="32"/>
          <w:szCs w:val="32"/>
          <w:lang w:eastAsia="zh-CN"/>
        </w:rPr>
        <w:t>等问题到</w:t>
      </w:r>
      <w:r>
        <w:rPr>
          <w:rFonts w:hint="eastAsia" w:ascii="Times New Roman" w:hAnsi="Times New Roman" w:eastAsia="仿宋_GB2312"/>
          <w:sz w:val="32"/>
          <w:szCs w:val="32"/>
        </w:rPr>
        <w:t>2022年12月底才解决，导致2022年</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—12月的养老保险缴费滞后。</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2、卫生健康支出（类）行政事业单位医疗（款）行政单位医疗（项）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年初预算为59.42万元，支出决算为55.67万元，完成预算的93.69%。决算数比年初预算少3.75万元，主要是因为人员因退休等减少。</w:t>
      </w:r>
    </w:p>
    <w:p>
      <w:pPr>
        <w:pStyle w:val="10"/>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3、节能环保支出（类）环境保护管理事务（款）-行政运行（项）</w:t>
      </w:r>
    </w:p>
    <w:p>
      <w:pPr>
        <w:pStyle w:val="10"/>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年初预算数为</w:t>
      </w:r>
      <w:r>
        <w:rPr>
          <w:rFonts w:hint="eastAsia" w:ascii="仿宋" w:hAnsi="仿宋" w:eastAsia="仿宋" w:cs="仿宋"/>
          <w:b w:val="0"/>
          <w:bCs/>
          <w:sz w:val="32"/>
          <w:szCs w:val="32"/>
        </w:rPr>
        <w:t>1007.71</w:t>
      </w:r>
      <w:r>
        <w:rPr>
          <w:rFonts w:hint="eastAsia" w:ascii="Times New Roman" w:hAnsi="Times New Roman" w:eastAsia="仿宋_GB2312"/>
          <w:sz w:val="32"/>
          <w:szCs w:val="32"/>
          <w:lang w:val="en-US" w:eastAsia="zh-CN"/>
        </w:rPr>
        <w:t>万元，支出决算数935.63万元，完成年初预算的72.08%，决算数比年初预算少72.08万元，主要是因为一是人员异动由年初的114人减少至110人；二是力行节约，日常支出减少。</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1043.82</w:t>
      </w:r>
      <w:r>
        <w:rPr>
          <w:rFonts w:hint="eastAsia" w:ascii="Times New Roman" w:hAnsi="Times New Roman" w:eastAsia="仿宋_GB2312"/>
          <w:sz w:val="32"/>
          <w:szCs w:val="32"/>
        </w:rPr>
        <w:t>万元，其中：</w:t>
      </w:r>
    </w:p>
    <w:p>
      <w:pPr>
        <w:pStyle w:val="10"/>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828.06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79.33</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383.38万元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绩效工资</w:t>
      </w:r>
      <w:r>
        <w:rPr>
          <w:rFonts w:hint="eastAsia" w:ascii="Times New Roman" w:hAnsi="Times New Roman" w:eastAsia="仿宋_GB2312"/>
          <w:sz w:val="32"/>
          <w:szCs w:val="32"/>
          <w:lang w:val="en-US" w:eastAsia="zh-CN"/>
        </w:rPr>
        <w:t>251.64万元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机关事业单位基本养老保险缴费</w:t>
      </w:r>
      <w:r>
        <w:rPr>
          <w:rFonts w:hint="eastAsia" w:ascii="Times New Roman" w:hAnsi="Times New Roman" w:eastAsia="仿宋_GB2312"/>
          <w:sz w:val="32"/>
          <w:szCs w:val="32"/>
          <w:lang w:val="en-US" w:eastAsia="zh-CN"/>
        </w:rPr>
        <w:t>136.78万元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职工基本医疗保险缴费</w:t>
      </w:r>
      <w:r>
        <w:rPr>
          <w:rFonts w:hint="eastAsia" w:ascii="Times New Roman" w:hAnsi="Times New Roman" w:eastAsia="仿宋_GB2312"/>
          <w:sz w:val="32"/>
          <w:szCs w:val="32"/>
          <w:lang w:val="en-US" w:eastAsia="zh-CN"/>
        </w:rPr>
        <w:t>22.26万元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其他工资福利支出34.01万元</w:t>
      </w:r>
      <w:r>
        <w:rPr>
          <w:rFonts w:hint="eastAsia" w:ascii="Times New Roman" w:hAnsi="Times New Roman" w:eastAsia="仿宋_GB2312"/>
          <w:sz w:val="32"/>
          <w:szCs w:val="32"/>
        </w:rPr>
        <w:t>；</w:t>
      </w:r>
    </w:p>
    <w:p>
      <w:pPr>
        <w:pStyle w:val="10"/>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公用经费</w:t>
      </w:r>
      <w:r>
        <w:rPr>
          <w:rFonts w:hint="eastAsia" w:ascii="Times New Roman" w:hAnsi="Times New Roman" w:eastAsia="仿宋_GB2312"/>
          <w:sz w:val="32"/>
          <w:szCs w:val="32"/>
          <w:lang w:val="en-US" w:eastAsia="zh-CN"/>
        </w:rPr>
        <w:t>215.76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20.67</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13.79万元</w:t>
      </w:r>
      <w:r>
        <w:rPr>
          <w:rFonts w:hint="eastAsia" w:ascii="Times New Roman" w:hAnsi="Times New Roman" w:eastAsia="仿宋_GB2312"/>
          <w:sz w:val="32"/>
          <w:szCs w:val="32"/>
          <w:lang w:eastAsia="zh-CN"/>
        </w:rPr>
        <w:t>、印刷费</w:t>
      </w:r>
      <w:r>
        <w:rPr>
          <w:rFonts w:hint="eastAsia" w:ascii="Times New Roman" w:hAnsi="Times New Roman" w:eastAsia="仿宋_GB2312"/>
          <w:sz w:val="32"/>
          <w:szCs w:val="32"/>
          <w:lang w:val="en-US" w:eastAsia="zh-CN"/>
        </w:rPr>
        <w:t>20.02万元、水费1.14万元、电费5.79万元、邮电费3万元、物业管理费5.96万元、差旅费57.41万元、维修（护）费4.7万元、会议费0.32万元、培训费0.53万元、公务接待费5.11万元、专用材料费0.02万元、</w:t>
      </w:r>
      <w:r>
        <w:rPr>
          <w:rFonts w:hint="eastAsia" w:ascii="Times New Roman" w:hAnsi="Times New Roman" w:eastAsia="仿宋_GB2312"/>
          <w:sz w:val="32"/>
          <w:szCs w:val="32"/>
          <w:lang w:eastAsia="zh-CN"/>
        </w:rPr>
        <w:t>劳务费</w:t>
      </w:r>
      <w:r>
        <w:rPr>
          <w:rFonts w:hint="eastAsia" w:ascii="Times New Roman" w:hAnsi="Times New Roman" w:eastAsia="仿宋_GB2312"/>
          <w:sz w:val="32"/>
          <w:szCs w:val="32"/>
          <w:lang w:val="en-US" w:eastAsia="zh-CN"/>
        </w:rPr>
        <w:t>3.19万元</w:t>
      </w:r>
      <w:r>
        <w:rPr>
          <w:rFonts w:hint="eastAsia" w:ascii="Times New Roman" w:hAnsi="Times New Roman" w:eastAsia="仿宋_GB2312"/>
          <w:sz w:val="32"/>
          <w:szCs w:val="32"/>
          <w:lang w:eastAsia="zh-CN"/>
        </w:rPr>
        <w:t>、福利费</w:t>
      </w:r>
      <w:r>
        <w:rPr>
          <w:rFonts w:hint="eastAsia" w:ascii="Times New Roman" w:hAnsi="Times New Roman" w:eastAsia="仿宋_GB2312"/>
          <w:sz w:val="32"/>
          <w:szCs w:val="32"/>
          <w:lang w:val="en-US" w:eastAsia="zh-CN"/>
        </w:rPr>
        <w:t>2.42万元、</w:t>
      </w:r>
      <w:r>
        <w:rPr>
          <w:rFonts w:hint="eastAsia" w:ascii="Times New Roman" w:hAnsi="Times New Roman" w:eastAsia="仿宋_GB2312"/>
          <w:sz w:val="32"/>
          <w:szCs w:val="32"/>
          <w:lang w:eastAsia="zh-CN"/>
        </w:rPr>
        <w:t>其他交通费用</w:t>
      </w:r>
      <w:r>
        <w:rPr>
          <w:rFonts w:hint="eastAsia" w:ascii="Times New Roman" w:hAnsi="Times New Roman" w:eastAsia="仿宋_GB2312"/>
          <w:sz w:val="32"/>
          <w:szCs w:val="32"/>
          <w:lang w:val="en-US" w:eastAsia="zh-CN"/>
        </w:rPr>
        <w:t>83.41万元</w:t>
      </w:r>
      <w:r>
        <w:rPr>
          <w:rFonts w:hint="eastAsia" w:ascii="Times New Roman" w:hAnsi="Times New Roman" w:eastAsia="仿宋_GB2312"/>
          <w:sz w:val="32"/>
          <w:szCs w:val="32"/>
          <w:lang w:eastAsia="zh-CN"/>
        </w:rPr>
        <w:t>、其他商品服务支出</w:t>
      </w:r>
      <w:r>
        <w:rPr>
          <w:rFonts w:hint="eastAsia" w:ascii="Times New Roman" w:hAnsi="Times New Roman" w:eastAsia="仿宋_GB2312"/>
          <w:sz w:val="32"/>
          <w:szCs w:val="32"/>
          <w:lang w:val="en-US" w:eastAsia="zh-CN"/>
        </w:rPr>
        <w:t>8.94万元</w:t>
      </w:r>
      <w:r>
        <w:rPr>
          <w:rFonts w:hint="eastAsia" w:ascii="Times New Roman" w:hAnsi="Times New Roman" w:eastAsia="仿宋_GB2312"/>
          <w:sz w:val="32"/>
          <w:szCs w:val="32"/>
        </w:rPr>
        <w:t>。</w:t>
      </w:r>
    </w:p>
    <w:p>
      <w:pPr>
        <w:pStyle w:val="10"/>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pPr>
        <w:pStyle w:val="10"/>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5.11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85.17</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5.11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85.17</w:t>
      </w:r>
      <w:r>
        <w:rPr>
          <w:rFonts w:hint="eastAsia" w:ascii="Times New Roman" w:hAnsi="Times New Roman" w:eastAsia="仿宋_GB2312"/>
          <w:sz w:val="32"/>
          <w:szCs w:val="32"/>
        </w:rPr>
        <w:t>%，决算数小于预算数的主要原因是响应厉行节约的号召，</w:t>
      </w:r>
      <w:r>
        <w:rPr>
          <w:rFonts w:hint="eastAsia" w:ascii="Times New Roman" w:hAnsi="Times New Roman" w:eastAsia="仿宋_GB2312"/>
          <w:sz w:val="32"/>
          <w:szCs w:val="32"/>
          <w:lang w:eastAsia="zh-CN"/>
        </w:rPr>
        <w:t>积极</w:t>
      </w:r>
      <w:r>
        <w:rPr>
          <w:rFonts w:hint="eastAsia" w:ascii="Times New Roman" w:hAnsi="Times New Roman" w:eastAsia="仿宋_GB2312"/>
          <w:sz w:val="32"/>
          <w:szCs w:val="32"/>
        </w:rPr>
        <w:t>压缩“三公”经费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5.11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rPr>
        <w:t>的主要原因是2022年本单位公用经费、人员经费纳入市级财政预算管理。</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%，与上年</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%，与上年</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5.11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0"/>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lang w:val="en-US"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5.11</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89</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290</w:t>
      </w:r>
      <w:r>
        <w:rPr>
          <w:rFonts w:hint="eastAsia" w:ascii="Times New Roman" w:hAnsi="Times New Roman" w:eastAsia="仿宋_GB2312"/>
          <w:sz w:val="32"/>
          <w:szCs w:val="32"/>
        </w:rPr>
        <w:t>人次，主要是环保督察</w:t>
      </w:r>
      <w:r>
        <w:rPr>
          <w:rFonts w:hint="eastAsia" w:ascii="Times New Roman" w:hAnsi="Times New Roman" w:eastAsia="仿宋_GB2312"/>
          <w:sz w:val="32"/>
          <w:szCs w:val="32"/>
          <w:lang w:eastAsia="zh-CN"/>
        </w:rPr>
        <w:t>及污染防治攻坚战</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0"/>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w:t>
      </w:r>
      <w:r>
        <w:rPr>
          <w:rFonts w:hint="eastAsia" w:asciiTheme="minorEastAsia" w:hAnsiTheme="minorEastAsia" w:eastAsiaTheme="minorEastAsia"/>
          <w:sz w:val="32"/>
          <w:szCs w:val="32"/>
        </w:rPr>
        <w:t>本单位无政府性基金收支</w:t>
      </w:r>
      <w:r>
        <w:rPr>
          <w:rFonts w:hint="eastAsia" w:asciiTheme="minorEastAsia" w:hAnsiTheme="minorEastAsia" w:eastAsiaTheme="minorEastAsia"/>
          <w:sz w:val="32"/>
          <w:szCs w:val="32"/>
          <w:lang w:eastAsia="zh-CN"/>
        </w:rPr>
        <w:t>。</w:t>
      </w:r>
    </w:p>
    <w:p>
      <w:pPr>
        <w:pStyle w:val="10"/>
        <w:keepNext w:val="0"/>
        <w:keepLines w:val="0"/>
        <w:pageBreakBefore w:val="0"/>
        <w:widowControl w:val="0"/>
        <w:numPr>
          <w:numId w:val="0"/>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国有资本经营预算财政拨款</w:t>
      </w:r>
      <w:r>
        <w:rPr>
          <w:rFonts w:hint="eastAsia" w:ascii="黑体" w:hAnsi="黑体" w:eastAsia="黑体" w:cs="黑体"/>
          <w:b w:val="0"/>
          <w:bCs/>
          <w:sz w:val="32"/>
          <w:szCs w:val="32"/>
          <w:lang w:eastAsia="zh-CN"/>
        </w:rPr>
        <w:t>收入</w:t>
      </w:r>
      <w:r>
        <w:rPr>
          <w:rFonts w:hint="eastAsia" w:ascii="黑体" w:hAnsi="黑体" w:eastAsia="黑体" w:cs="黑体"/>
          <w:b w:val="0"/>
          <w:bCs/>
          <w:sz w:val="32"/>
          <w:szCs w:val="32"/>
        </w:rPr>
        <w:t>支出决算情况</w:t>
      </w:r>
    </w:p>
    <w:p>
      <w:pPr>
        <w:pStyle w:val="10"/>
        <w:keepNext w:val="0"/>
        <w:keepLines w:val="0"/>
        <w:pageBreakBefore w:val="0"/>
        <w:widowControl w:val="0"/>
        <w:numPr>
          <w:numId w:val="0"/>
        </w:numPr>
        <w:kinsoku/>
        <w:wordWrap/>
        <w:overflowPunct/>
        <w:topLinePunct w:val="0"/>
        <w:bidi w:val="0"/>
        <w:snapToGrid/>
        <w:spacing w:line="600" w:lineRule="exact"/>
        <w:ind w:leftChars="200"/>
        <w:textAlignment w:val="auto"/>
        <w:rPr>
          <w:rFonts w:hint="eastAsia" w:ascii="黑体" w:hAnsi="黑体" w:eastAsia="仿宋_GB2312" w:cs="黑体"/>
          <w:b w:val="0"/>
          <w:bCs/>
          <w:sz w:val="32"/>
          <w:szCs w:val="32"/>
          <w:lang w:val="en-US" w:eastAsia="zh-CN"/>
        </w:rPr>
      </w:pPr>
      <w:r>
        <w:rPr>
          <w:rFonts w:hint="eastAsia" w:hAnsi="黑体" w:cs="黑体"/>
          <w:b w:val="0"/>
          <w:bCs/>
          <w:sz w:val="32"/>
          <w:szCs w:val="32"/>
          <w:lang w:val="en-US" w:eastAsia="zh-CN"/>
        </w:rPr>
        <w:t xml:space="preserve">  </w:t>
      </w: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年度国有资本经营预算财政拨款</w:t>
      </w:r>
      <w:r>
        <w:rPr>
          <w:rFonts w:hint="eastAsia" w:ascii="Times New Roman" w:hAnsi="Times New Roman" w:eastAsia="仿宋_GB2312"/>
          <w:sz w:val="32"/>
          <w:szCs w:val="32"/>
          <w:lang w:eastAsia="zh-CN"/>
        </w:rPr>
        <w:t>收入</w:t>
      </w:r>
      <w:r>
        <w:rPr>
          <w:rFonts w:hint="eastAsia" w:ascii="Times New Roman" w:hAnsi="Times New Roman" w:eastAsia="仿宋_GB2312"/>
          <w:sz w:val="32"/>
          <w:szCs w:val="32"/>
          <w:lang w:val="en-US" w:eastAsia="zh-CN"/>
        </w:rPr>
        <w:t>0万元；支出0万元：其中基本支出0万元，项目支出0万元。本单位无</w:t>
      </w:r>
      <w:r>
        <w:rPr>
          <w:rFonts w:hint="eastAsia" w:ascii="Times New Roman" w:hAnsi="Times New Roman" w:eastAsia="仿宋_GB2312"/>
          <w:sz w:val="32"/>
          <w:szCs w:val="32"/>
        </w:rPr>
        <w:t>国有资本经营预算财政拨款</w:t>
      </w:r>
      <w:r>
        <w:rPr>
          <w:rFonts w:hint="eastAsia" w:ascii="Times New Roman" w:hAnsi="Times New Roman" w:eastAsia="仿宋_GB2312"/>
          <w:sz w:val="32"/>
          <w:szCs w:val="32"/>
          <w:lang w:eastAsia="zh-CN"/>
        </w:rPr>
        <w:t>支出。</w:t>
      </w:r>
      <w:bookmarkStart w:id="0" w:name="_GoBack"/>
      <w:bookmarkEnd w:id="0"/>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lang w:eastAsia="zh-CN"/>
        </w:rPr>
        <w:t>十</w:t>
      </w:r>
      <w:r>
        <w:rPr>
          <w:rFonts w:hint="eastAsia" w:ascii="Times New Roman" w:hAnsi="Times New Roman" w:eastAsia="仿宋_GB2312"/>
          <w:b/>
          <w:sz w:val="32"/>
          <w:szCs w:val="32"/>
        </w:rPr>
        <w:t>、关于机关运行经费支出说明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215.76</w:t>
      </w:r>
      <w:r>
        <w:rPr>
          <w:rFonts w:hint="eastAsia" w:ascii="Times New Roman" w:hAnsi="Times New Roman" w:eastAsia="仿宋_GB2312"/>
          <w:sz w:val="32"/>
          <w:szCs w:val="32"/>
        </w:rPr>
        <w:t>万元，比年初预算数</w:t>
      </w:r>
      <w:r>
        <w:rPr>
          <w:rFonts w:hint="eastAsia" w:asciiTheme="minorEastAsia" w:hAnsiTheme="minorEastAsia" w:eastAsiaTheme="minorEastAsia"/>
          <w:sz w:val="32"/>
          <w:szCs w:val="32"/>
          <w:lang w:val="en-US" w:eastAsia="zh-CN"/>
        </w:rPr>
        <w:t>265万元</w:t>
      </w:r>
      <w:r>
        <w:rPr>
          <w:rFonts w:hint="eastAsia" w:asciiTheme="minorEastAsia" w:hAnsiTheme="minorEastAsia" w:eastAsiaTheme="minorEastAsia"/>
          <w:sz w:val="32"/>
          <w:szCs w:val="32"/>
        </w:rPr>
        <w:t>减少</w:t>
      </w:r>
      <w:r>
        <w:rPr>
          <w:rFonts w:hint="eastAsia" w:asciiTheme="minorEastAsia" w:hAnsiTheme="minorEastAsia"/>
          <w:sz w:val="32"/>
          <w:szCs w:val="32"/>
          <w:lang w:val="en-US" w:eastAsia="zh-CN"/>
        </w:rPr>
        <w:t>49.24</w:t>
      </w:r>
      <w:r>
        <w:rPr>
          <w:rFonts w:hint="eastAsia" w:asciiTheme="minorEastAsia" w:hAnsiTheme="minorEastAsia" w:eastAsiaTheme="minorEastAsia"/>
          <w:sz w:val="32"/>
          <w:szCs w:val="32"/>
        </w:rPr>
        <w:t xml:space="preserve"> 万元，降低</w:t>
      </w:r>
      <w:r>
        <w:rPr>
          <w:rFonts w:hint="eastAsia" w:asciiTheme="minorEastAsia" w:hAnsiTheme="minorEastAsia"/>
          <w:sz w:val="32"/>
          <w:szCs w:val="32"/>
          <w:lang w:val="en-US" w:eastAsia="zh-CN"/>
        </w:rPr>
        <w:t>18.58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比上年决算数</w:t>
      </w:r>
      <w:r>
        <w:rPr>
          <w:rFonts w:hint="eastAsia" w:asciiTheme="minorEastAsia" w:hAnsiTheme="minorEastAsia" w:eastAsiaTheme="minorEastAsia"/>
          <w:sz w:val="32"/>
          <w:szCs w:val="32"/>
          <w:lang w:val="en-US" w:eastAsia="zh-CN"/>
        </w:rPr>
        <w:t>增加215.76万元，增加100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主要原因是：</w:t>
      </w:r>
      <w:r>
        <w:rPr>
          <w:rFonts w:hint="eastAsia" w:ascii="Times New Roman" w:hAnsi="Times New Roman" w:eastAsia="仿宋_GB2312"/>
          <w:sz w:val="32"/>
          <w:szCs w:val="32"/>
        </w:rPr>
        <w:t>2022年本单位公用经费、人员经费纳入市级财政预算管理。</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pPr>
        <w:pStyle w:val="10"/>
        <w:ind w:firstLine="640" w:firstLineChars="200"/>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0.32</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eastAsia="zh-CN"/>
        </w:rPr>
        <w:t>生态文明示范县创建</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48</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安排创建生态文明示范县工作</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0.53</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eastAsia="zh-CN"/>
        </w:rPr>
        <w:t>监测站人员业务</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监测业务培训</w:t>
      </w:r>
      <w:r>
        <w:rPr>
          <w:rFonts w:hint="eastAsia" w:ascii="Times New Roman" w:hAnsi="Times New Roman" w:eastAsia="仿宋_GB2312"/>
          <w:sz w:val="32"/>
          <w:szCs w:val="32"/>
        </w:rPr>
        <w:t>；未举办任何节庆、晚会、论坛、赛事等活动，开支0万元</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十二、关于政府采购支出说明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十三、关于国有资产占用情况说明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台（套）。</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四</w:t>
      </w:r>
      <w:r>
        <w:rPr>
          <w:rFonts w:hint="eastAsia" w:ascii="黑体" w:hAnsi="黑体" w:eastAsia="黑体" w:cs="黑体"/>
          <w:b w:val="0"/>
          <w:bCs/>
          <w:sz w:val="32"/>
          <w:szCs w:val="32"/>
        </w:rPr>
        <w:t>、关于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5"/>
        <w:widowControl w:val="0"/>
        <w:spacing w:before="0" w:beforeAutospacing="0" w:after="0" w:afterAutospacing="0" w:line="580" w:lineRule="exact"/>
        <w:ind w:firstLine="640" w:firstLineChars="200"/>
        <w:jc w:val="both"/>
        <w:rPr>
          <w:rFonts w:hint="eastAsia" w:ascii="仿宋" w:hAnsi="仿宋" w:eastAsia="仿宋"/>
          <w:sz w:val="32"/>
          <w:szCs w:val="32"/>
        </w:rPr>
      </w:pPr>
      <w:r>
        <w:rPr>
          <w:rFonts w:hint="eastAsia" w:ascii="仿宋" w:hAnsi="仿宋" w:eastAsia="仿宋"/>
          <w:kern w:val="0"/>
          <w:sz w:val="32"/>
          <w:szCs w:val="32"/>
        </w:rPr>
        <w:t>我局根据《会计法》、《预算法》、《行政单位财务规则》等法律和其他有关财务规章的规定，完善了《</w:t>
      </w:r>
      <w:r>
        <w:rPr>
          <w:rFonts w:hint="eastAsia" w:ascii="仿宋" w:hAnsi="仿宋" w:eastAsia="仿宋"/>
          <w:kern w:val="0"/>
          <w:sz w:val="32"/>
          <w:szCs w:val="32"/>
          <w:lang w:eastAsia="zh-CN"/>
        </w:rPr>
        <w:t>怀化市生态环境局溆浦分局</w:t>
      </w:r>
      <w:r>
        <w:rPr>
          <w:rFonts w:hint="eastAsia" w:ascii="仿宋" w:hAnsi="仿宋" w:eastAsia="仿宋"/>
          <w:kern w:val="0"/>
          <w:sz w:val="32"/>
          <w:szCs w:val="32"/>
        </w:rPr>
        <w:t>机关财务管理办法》制度，明确了经费审批权限及程序，资产购置与处置、财务监督等。还单独制订了《</w:t>
      </w:r>
      <w:r>
        <w:rPr>
          <w:rFonts w:hint="eastAsia" w:ascii="仿宋" w:hAnsi="仿宋" w:eastAsia="仿宋"/>
          <w:kern w:val="0"/>
          <w:sz w:val="32"/>
          <w:szCs w:val="32"/>
          <w:lang w:eastAsia="zh-CN"/>
        </w:rPr>
        <w:t>怀化市生态环境局溆浦分局</w:t>
      </w:r>
      <w:r>
        <w:rPr>
          <w:rFonts w:hint="eastAsia" w:ascii="仿宋" w:hAnsi="仿宋" w:eastAsia="仿宋"/>
          <w:kern w:val="0"/>
          <w:sz w:val="32"/>
          <w:szCs w:val="32"/>
        </w:rPr>
        <w:t>机关车辆管理制度》等财务制度，明确了相应原则和要求、开支范围、程序、办法及标准、审批权限等。</w:t>
      </w:r>
      <w:r>
        <w:rPr>
          <w:rFonts w:hint="eastAsia" w:ascii="仿宋" w:hAnsi="仿宋" w:eastAsia="仿宋"/>
          <w:sz w:val="32"/>
          <w:szCs w:val="32"/>
        </w:rPr>
        <w:t>2022年，我们重点围绕环保督察交办问题整改、污染防治攻坚战“夏季攻势”目标任务和“利剑”行动等进一步加强污染防控、环境整治、风险排查、监管执法、环境宣传工作，地表水1个国控断面、4个省控断面水质达标率100%，县城空气质量优良率96.16%。</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pStyle w:val="5"/>
        <w:widowControl w:val="0"/>
        <w:spacing w:before="0" w:beforeAutospacing="0" w:after="0" w:afterAutospacing="0" w:line="580" w:lineRule="exact"/>
        <w:ind w:firstLine="640" w:firstLineChars="200"/>
        <w:jc w:val="both"/>
        <w:rPr>
          <w:rFonts w:hint="eastAsia" w:ascii="仿宋" w:hAnsi="仿宋" w:eastAsia="仿宋"/>
          <w:sz w:val="32"/>
          <w:szCs w:val="32"/>
        </w:rPr>
      </w:pPr>
      <w:r>
        <w:rPr>
          <w:rFonts w:hint="eastAsia" w:ascii="仿宋" w:hAnsi="仿宋" w:eastAsia="仿宋"/>
          <w:sz w:val="32"/>
          <w:szCs w:val="32"/>
        </w:rPr>
        <w:t>1.历史遗留问题存量较大。我县矿产资源丰富，煤矿、非煤矿山、有色金属矿山很多，生态环境破坏、危险废物、涉重金属、涉放射性污染遗留问题比较严重，恢复治理任务非常繁重。</w:t>
      </w:r>
    </w:p>
    <w:p>
      <w:pPr>
        <w:pStyle w:val="5"/>
        <w:widowControl w:val="0"/>
        <w:spacing w:before="0" w:beforeAutospacing="0" w:after="0" w:afterAutospacing="0" w:line="580" w:lineRule="exact"/>
        <w:ind w:firstLine="640" w:firstLineChars="200"/>
        <w:jc w:val="both"/>
        <w:rPr>
          <w:rFonts w:hint="eastAsia" w:ascii="仿宋" w:hAnsi="仿宋" w:eastAsia="仿宋"/>
          <w:sz w:val="32"/>
          <w:szCs w:val="32"/>
        </w:rPr>
      </w:pPr>
      <w:r>
        <w:rPr>
          <w:rFonts w:hint="eastAsia" w:ascii="仿宋" w:hAnsi="仿宋" w:eastAsia="仿宋"/>
          <w:sz w:val="32"/>
          <w:szCs w:val="32"/>
        </w:rPr>
        <w:t>2.环境信访投诉多。溆浦人口多，群众维护环境权益意识浓，每次中央、省环保督察及“回头看”转交的环境信访问题数量都是全市第一，导致环境问题整改压力大，日常协调环境污染投诉任务繁重，特别是企业与周边群众有矛盾时，群众就拿环保问题说事，环保工作人员疲于奔命。</w:t>
      </w:r>
    </w:p>
    <w:p>
      <w:pPr>
        <w:pStyle w:val="5"/>
        <w:widowControl w:val="0"/>
        <w:spacing w:before="0" w:beforeAutospacing="0" w:after="0" w:afterAutospacing="0" w:line="580" w:lineRule="exact"/>
        <w:ind w:firstLine="640" w:firstLineChars="200"/>
        <w:jc w:val="both"/>
        <w:rPr>
          <w:rFonts w:hint="eastAsia" w:ascii="仿宋" w:hAnsi="仿宋" w:eastAsia="仿宋"/>
          <w:sz w:val="32"/>
          <w:szCs w:val="32"/>
        </w:rPr>
      </w:pPr>
      <w:r>
        <w:rPr>
          <w:rFonts w:hint="eastAsia" w:ascii="仿宋" w:hAnsi="仿宋" w:eastAsia="仿宋"/>
          <w:sz w:val="32"/>
          <w:szCs w:val="32"/>
        </w:rPr>
        <w:t>3.环保基础能力建设差距较大。生态环境执法队伍的专业能力、专业水平、专业素养还需进一步提升，生态环境现代化监测监管技术手段和装备十分薄弱，全县没有一台生态环保执法车辆。</w:t>
      </w:r>
    </w:p>
    <w:p>
      <w:pPr>
        <w:pStyle w:val="10"/>
        <w:keepNext w:val="0"/>
        <w:keepLines w:val="0"/>
        <w:pageBreakBefore w:val="0"/>
        <w:widowControl w:val="0"/>
        <w:kinsoku/>
        <w:wordWrap/>
        <w:overflowPunct/>
        <w:topLinePunct w:val="0"/>
        <w:bidi w:val="0"/>
        <w:snapToGrid/>
        <w:spacing w:line="600" w:lineRule="exact"/>
        <w:ind w:firstLine="1440" w:firstLineChars="200"/>
        <w:jc w:val="left"/>
        <w:textAlignment w:val="auto"/>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ind w:firstLine="3600" w:firstLineChars="500"/>
        <w:jc w:val="both"/>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一）、财政拨款收入：本年度从本级财政部门取得的财政拨款，包括一般公共预算财政拨款和政府性基金预算财政拨款。</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（二）事业收入：指事业单位开展专业业务活动及辅助活动所取得的收入。</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（三）其他收入：指除上述“财政拨款收入”、“事业收入”、“经营收入”等以外的收入。</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（四）年初结转和结余：指以前年度尚未完成、结转到本年仍按原规定用途继续使用的资金，或项目已完成等产生的结余资金。</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（五）年末结转和结余：指单位按有关规定结转到下年或以后年度继续使用的资金，或项目已完成等产生的结余资金。</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（六）基本支出：为保障机构正常运转、完成日常工作任务而发生的各项支出。</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（七）项目支出：为完成特定的行政工作任务或事业发展目标，在基本支出之外发生的各项支出</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八）“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（九）其他交通费用：包括公务员交通补贴和租车费。</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（十） 机关运行经费：指为保障行政单位运行用于购 买货物和服务的各项资金，包括办公及印刷费、邮电费、差旅费、会议费、福利费、日常维修费、专用材料以及一般设备购置费、办公用房水电费、办公用房取暖费、办公用房物业管理费、公务用车运行维护费以及其他费用</w:t>
      </w:r>
      <w:r>
        <w:rPr>
          <w:rFonts w:hint="eastAsia" w:ascii="Times New Roman" w:hAnsi="Times New Roman" w:eastAsia="仿宋_GB2312"/>
          <w:sz w:val="32"/>
          <w:szCs w:val="32"/>
          <w:lang w:eastAsia="zh-CN"/>
        </w:rPr>
        <w:t>。</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025FB"/>
    <w:multiLevelType w:val="singleLevel"/>
    <w:tmpl w:val="06C025FB"/>
    <w:lvl w:ilvl="0" w:tentative="0">
      <w:start w:val="7"/>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2YzFiYWE5NDk2MGY4YzZhODhjYWQ5NWIzN2QxZWY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5E0D89"/>
    <w:rsid w:val="03FE3049"/>
    <w:rsid w:val="05D67331"/>
    <w:rsid w:val="07761A22"/>
    <w:rsid w:val="08486095"/>
    <w:rsid w:val="08890191"/>
    <w:rsid w:val="0B6A45A5"/>
    <w:rsid w:val="0C425242"/>
    <w:rsid w:val="0D882D85"/>
    <w:rsid w:val="10492E53"/>
    <w:rsid w:val="107E0DC6"/>
    <w:rsid w:val="10D24723"/>
    <w:rsid w:val="10E53BCF"/>
    <w:rsid w:val="11BE2BEF"/>
    <w:rsid w:val="11C37BB2"/>
    <w:rsid w:val="13EB6497"/>
    <w:rsid w:val="148A394C"/>
    <w:rsid w:val="15270867"/>
    <w:rsid w:val="15542020"/>
    <w:rsid w:val="15C652A2"/>
    <w:rsid w:val="15CC4DBC"/>
    <w:rsid w:val="18BF6762"/>
    <w:rsid w:val="18C86D6A"/>
    <w:rsid w:val="18CE5A16"/>
    <w:rsid w:val="1AE31552"/>
    <w:rsid w:val="1B0E4A1F"/>
    <w:rsid w:val="1E6257AE"/>
    <w:rsid w:val="1F6076E0"/>
    <w:rsid w:val="22547282"/>
    <w:rsid w:val="23F64217"/>
    <w:rsid w:val="25416D88"/>
    <w:rsid w:val="257E498A"/>
    <w:rsid w:val="25901034"/>
    <w:rsid w:val="26F055A4"/>
    <w:rsid w:val="27090EBD"/>
    <w:rsid w:val="274E2D73"/>
    <w:rsid w:val="28863BEA"/>
    <w:rsid w:val="28A547B7"/>
    <w:rsid w:val="298653C8"/>
    <w:rsid w:val="2A1E5633"/>
    <w:rsid w:val="2B163BA8"/>
    <w:rsid w:val="2BD01692"/>
    <w:rsid w:val="2C1C3440"/>
    <w:rsid w:val="2CF83869"/>
    <w:rsid w:val="318C06AB"/>
    <w:rsid w:val="31D73965"/>
    <w:rsid w:val="3369683F"/>
    <w:rsid w:val="338D2C6D"/>
    <w:rsid w:val="33A43D3B"/>
    <w:rsid w:val="345931B5"/>
    <w:rsid w:val="349B3370"/>
    <w:rsid w:val="35240D36"/>
    <w:rsid w:val="36A32050"/>
    <w:rsid w:val="36CD5E45"/>
    <w:rsid w:val="37BD53AB"/>
    <w:rsid w:val="38047597"/>
    <w:rsid w:val="391B6254"/>
    <w:rsid w:val="3A237899"/>
    <w:rsid w:val="3AD612FD"/>
    <w:rsid w:val="3B675D5A"/>
    <w:rsid w:val="3D9F5C7F"/>
    <w:rsid w:val="3E1201FF"/>
    <w:rsid w:val="40232154"/>
    <w:rsid w:val="40716623"/>
    <w:rsid w:val="40DE086C"/>
    <w:rsid w:val="429D4FC3"/>
    <w:rsid w:val="43B370B9"/>
    <w:rsid w:val="43E02B4D"/>
    <w:rsid w:val="43F42155"/>
    <w:rsid w:val="44AB4F09"/>
    <w:rsid w:val="44B63055"/>
    <w:rsid w:val="4512172B"/>
    <w:rsid w:val="467A723C"/>
    <w:rsid w:val="46A9214C"/>
    <w:rsid w:val="47275F70"/>
    <w:rsid w:val="496D2853"/>
    <w:rsid w:val="49B63A50"/>
    <w:rsid w:val="4A513F23"/>
    <w:rsid w:val="4B5F2E23"/>
    <w:rsid w:val="4C360ED7"/>
    <w:rsid w:val="4D15734B"/>
    <w:rsid w:val="4ECF50CE"/>
    <w:rsid w:val="50C85FC3"/>
    <w:rsid w:val="51F43B12"/>
    <w:rsid w:val="52482C16"/>
    <w:rsid w:val="531D54D2"/>
    <w:rsid w:val="55206031"/>
    <w:rsid w:val="55B93614"/>
    <w:rsid w:val="56530F5D"/>
    <w:rsid w:val="5777D4F5"/>
    <w:rsid w:val="582C5F09"/>
    <w:rsid w:val="58481FED"/>
    <w:rsid w:val="588E72E5"/>
    <w:rsid w:val="594E2470"/>
    <w:rsid w:val="5AD71EB0"/>
    <w:rsid w:val="5AE445AB"/>
    <w:rsid w:val="5B8D3E5A"/>
    <w:rsid w:val="5CEA7DB4"/>
    <w:rsid w:val="5EB558FD"/>
    <w:rsid w:val="5EB64A48"/>
    <w:rsid w:val="5EDB5F93"/>
    <w:rsid w:val="5FC6BB1E"/>
    <w:rsid w:val="5FF720F1"/>
    <w:rsid w:val="61FD23CD"/>
    <w:rsid w:val="62195750"/>
    <w:rsid w:val="62711B8F"/>
    <w:rsid w:val="629C17ED"/>
    <w:rsid w:val="62EF64B1"/>
    <w:rsid w:val="637846F9"/>
    <w:rsid w:val="63B367BC"/>
    <w:rsid w:val="63D13398"/>
    <w:rsid w:val="65167A00"/>
    <w:rsid w:val="656D5F99"/>
    <w:rsid w:val="65FE4B07"/>
    <w:rsid w:val="66534921"/>
    <w:rsid w:val="67486190"/>
    <w:rsid w:val="68EC14C9"/>
    <w:rsid w:val="6B572E46"/>
    <w:rsid w:val="6BF22D3B"/>
    <w:rsid w:val="6C5E30B2"/>
    <w:rsid w:val="6CAE2F39"/>
    <w:rsid w:val="6E5D4C17"/>
    <w:rsid w:val="719C5A56"/>
    <w:rsid w:val="72872E0E"/>
    <w:rsid w:val="737D59BA"/>
    <w:rsid w:val="74A70D5B"/>
    <w:rsid w:val="75241FEA"/>
    <w:rsid w:val="760D0CD1"/>
    <w:rsid w:val="765806FC"/>
    <w:rsid w:val="774F403D"/>
    <w:rsid w:val="77C37683"/>
    <w:rsid w:val="789C3183"/>
    <w:rsid w:val="79582329"/>
    <w:rsid w:val="79A56375"/>
    <w:rsid w:val="79FF515B"/>
    <w:rsid w:val="7A847DDC"/>
    <w:rsid w:val="7C9058AB"/>
    <w:rsid w:val="7D2E7EAA"/>
    <w:rsid w:val="7D5B3117"/>
    <w:rsid w:val="7DAE51EE"/>
    <w:rsid w:val="7E9F11B4"/>
    <w:rsid w:val="7FC69637"/>
    <w:rsid w:val="7FD105D6"/>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character" w:customStyle="1" w:styleId="13">
    <w:name w:val="font01"/>
    <w:basedOn w:val="7"/>
    <w:qFormat/>
    <w:uiPriority w:val="0"/>
    <w:rPr>
      <w:rFonts w:hint="eastAsia" w:ascii="宋体" w:hAnsi="宋体" w:eastAsia="宋体" w:cs="宋体"/>
      <w:color w:val="000000"/>
      <w:sz w:val="22"/>
      <w:szCs w:val="22"/>
      <w:u w:val="none"/>
    </w:rPr>
  </w:style>
  <w:style w:type="character" w:customStyle="1" w:styleId="14">
    <w:name w:val="font21"/>
    <w:basedOn w:val="7"/>
    <w:qFormat/>
    <w:uiPriority w:val="0"/>
    <w:rPr>
      <w:rFonts w:hint="eastAsia" w:ascii="宋体" w:hAnsi="宋体" w:eastAsia="宋体" w:cs="宋体"/>
      <w:color w:val="000000"/>
      <w:sz w:val="24"/>
      <w:szCs w:val="24"/>
      <w:u w:val="none"/>
    </w:rPr>
  </w:style>
  <w:style w:type="character" w:customStyle="1" w:styleId="15">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4</TotalTime>
  <ScaleCrop>false</ScaleCrop>
  <LinksUpToDate>false</LinksUpToDate>
  <CharactersWithSpaces>9008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2023-08-15T09:28:00Z</cp:lastPrinted>
  <dcterms:modified xsi:type="dcterms:W3CDTF">2023-09-26T08:34:55Z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0E0905CA1D094EE78141CF2747C0B2D6_12</vt:lpwstr>
  </property>
</Properties>
</file>