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ind w:firstLine="5880" w:firstLineChars="700"/>
        <w:jc w:val="both"/>
        <w:rPr>
          <w:rFonts w:hint="eastAsia"/>
          <w:sz w:val="84"/>
          <w:szCs w:val="84"/>
        </w:rPr>
      </w:pPr>
    </w:p>
    <w:p>
      <w:pPr>
        <w:pStyle w:val="12"/>
        <w:ind w:firstLine="2520" w:firstLineChars="300"/>
        <w:jc w:val="both"/>
        <w:rPr>
          <w:rFonts w:hint="eastAsia"/>
          <w:sz w:val="84"/>
          <w:szCs w:val="84"/>
        </w:rPr>
      </w:pPr>
      <w:r>
        <w:rPr>
          <w:rFonts w:hint="eastAsia"/>
          <w:sz w:val="84"/>
          <w:szCs w:val="84"/>
        </w:rPr>
        <w:t>2019年度溆浦县环境保护局</w:t>
      </w:r>
    </w:p>
    <w:p>
      <w:pPr>
        <w:pStyle w:val="12"/>
        <w:jc w:val="center"/>
        <w:rPr>
          <w:sz w:val="84"/>
          <w:szCs w:val="84"/>
        </w:rPr>
      </w:pPr>
      <w:r>
        <w:rPr>
          <w:rFonts w:hint="eastAsia"/>
          <w:sz w:val="84"/>
          <w:szCs w:val="84"/>
        </w:rPr>
        <w:t>部门决算公开</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keepLines/>
        <w:spacing w:line="120" w:lineRule="auto"/>
        <w:ind w:firstLine="6626" w:firstLineChars="1500"/>
        <w:rPr>
          <w:rFonts w:hint="eastAsia" w:ascii="仿宋" w:hAnsi="仿宋" w:eastAsia="仿宋"/>
          <w:b/>
          <w:bCs/>
          <w:kern w:val="0"/>
          <w:sz w:val="44"/>
          <w:szCs w:val="44"/>
        </w:rPr>
      </w:pPr>
    </w:p>
    <w:p>
      <w:pPr>
        <w:keepLines/>
        <w:spacing w:line="120" w:lineRule="auto"/>
        <w:ind w:firstLine="6786" w:firstLineChars="1300"/>
        <w:rPr>
          <w:rFonts w:ascii="仿宋" w:hAnsi="仿宋" w:eastAsia="仿宋"/>
          <w:b/>
          <w:bCs/>
          <w:kern w:val="0"/>
          <w:sz w:val="52"/>
          <w:szCs w:val="52"/>
        </w:rPr>
      </w:pPr>
      <w:r>
        <w:rPr>
          <w:rFonts w:hint="eastAsia" w:ascii="仿宋" w:hAnsi="仿宋" w:eastAsia="仿宋"/>
          <w:b/>
          <w:bCs/>
          <w:kern w:val="0"/>
          <w:sz w:val="52"/>
          <w:szCs w:val="52"/>
        </w:rPr>
        <w:t xml:space="preserve">目   </w:t>
      </w:r>
      <w:r>
        <w:rPr>
          <w:rFonts w:hint="eastAsia" w:ascii="仿宋" w:hAnsi="仿宋" w:eastAsia="仿宋"/>
          <w:b/>
          <w:bCs/>
          <w:kern w:val="0"/>
          <w:sz w:val="52"/>
          <w:szCs w:val="52"/>
          <w:lang w:val="en-US" w:eastAsia="zh-CN"/>
        </w:rPr>
        <w:t xml:space="preserve">      </w:t>
      </w:r>
      <w:r>
        <w:rPr>
          <w:rFonts w:hint="eastAsia" w:ascii="仿宋" w:hAnsi="仿宋" w:eastAsia="仿宋"/>
          <w:b/>
          <w:bCs/>
          <w:kern w:val="0"/>
          <w:sz w:val="52"/>
          <w:szCs w:val="52"/>
        </w:rPr>
        <w:t>录</w:t>
      </w:r>
    </w:p>
    <w:p>
      <w:pPr>
        <w:keepLines/>
        <w:spacing w:line="60" w:lineRule="auto"/>
        <w:rPr>
          <w:rFonts w:ascii="宋体" w:hAnsi="宋体"/>
          <w:b/>
          <w:bCs/>
          <w:kern w:val="0"/>
          <w:sz w:val="32"/>
          <w:szCs w:val="32"/>
        </w:rPr>
      </w:pPr>
    </w:p>
    <w:p>
      <w:pPr>
        <w:keepLines/>
        <w:spacing w:line="60" w:lineRule="auto"/>
        <w:ind w:firstLine="321" w:firstLineChars="100"/>
        <w:jc w:val="left"/>
        <w:rPr>
          <w:rFonts w:ascii="宋体" w:hAnsi="宋体"/>
          <w:b/>
          <w:bCs/>
          <w:kern w:val="0"/>
          <w:sz w:val="44"/>
          <w:szCs w:val="44"/>
        </w:rPr>
      </w:pPr>
      <w:r>
        <w:rPr>
          <w:rFonts w:hint="eastAsia" w:ascii="宋体" w:hAnsi="宋体"/>
          <w:b/>
          <w:bCs/>
          <w:kern w:val="0"/>
          <w:sz w:val="32"/>
          <w:szCs w:val="32"/>
        </w:rPr>
        <w:t>第一部分  溆浦县环境保护局概况</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一、部门职责</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二、机构设置</w:t>
      </w:r>
    </w:p>
    <w:p>
      <w:pPr>
        <w:keepLines/>
        <w:spacing w:line="60" w:lineRule="auto"/>
        <w:ind w:firstLine="321" w:firstLineChars="100"/>
        <w:jc w:val="left"/>
        <w:rPr>
          <w:rFonts w:ascii="宋体" w:hAnsi="宋体"/>
          <w:b/>
          <w:bCs/>
          <w:kern w:val="0"/>
          <w:sz w:val="32"/>
          <w:szCs w:val="32"/>
        </w:rPr>
      </w:pPr>
      <w:r>
        <w:rPr>
          <w:rFonts w:hint="eastAsia" w:ascii="宋体" w:hAnsi="宋体"/>
          <w:b/>
          <w:bCs/>
          <w:kern w:val="0"/>
          <w:sz w:val="32"/>
          <w:szCs w:val="32"/>
        </w:rPr>
        <w:t>第二部分  溆浦县环境保护局2019年度部门决算表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一、收入支出决算总表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二、收入决算表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三、支出决算表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四、财政拨款收入支出决算总表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五、一般公共预算财政拨款支出决算表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六、一般公共预算财政拨款基本支出决算表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七、一般公共预算财政拨款“三公”经费支出决算表</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八、政府性基金预算财政拨款收入支出决算表</w:t>
      </w:r>
    </w:p>
    <w:p>
      <w:pPr>
        <w:keepLines/>
        <w:spacing w:line="60" w:lineRule="auto"/>
        <w:ind w:firstLine="321" w:firstLineChars="100"/>
        <w:jc w:val="left"/>
        <w:rPr>
          <w:rFonts w:ascii="宋体" w:hAnsi="宋体"/>
          <w:b/>
          <w:bCs/>
          <w:kern w:val="0"/>
          <w:sz w:val="32"/>
          <w:szCs w:val="32"/>
        </w:rPr>
      </w:pPr>
      <w:r>
        <w:rPr>
          <w:rFonts w:hint="eastAsia" w:ascii="宋体" w:hAnsi="宋体"/>
          <w:b/>
          <w:bCs/>
          <w:kern w:val="0"/>
          <w:sz w:val="32"/>
          <w:szCs w:val="32"/>
        </w:rPr>
        <w:t>第三部分  溆浦县环境保护局2019年度部门决算情况说明</w:t>
      </w:r>
    </w:p>
    <w:p>
      <w:pPr>
        <w:keepLines/>
        <w:spacing w:line="60" w:lineRule="auto"/>
        <w:ind w:firstLine="640"/>
        <w:jc w:val="left"/>
        <w:rPr>
          <w:rFonts w:ascii="宋体" w:hAnsi="宋体"/>
          <w:bCs/>
          <w:kern w:val="0"/>
          <w:sz w:val="30"/>
          <w:szCs w:val="30"/>
        </w:rPr>
      </w:pPr>
      <w:r>
        <w:rPr>
          <w:rFonts w:hint="eastAsia" w:ascii="宋体" w:hAnsi="宋体"/>
          <w:bCs/>
          <w:kern w:val="0"/>
          <w:sz w:val="30"/>
          <w:szCs w:val="30"/>
        </w:rPr>
        <w:t>一、收入支出决算总体情况说明</w:t>
      </w:r>
    </w:p>
    <w:p>
      <w:pPr>
        <w:keepLines/>
        <w:spacing w:line="60" w:lineRule="auto"/>
        <w:ind w:firstLine="640"/>
        <w:jc w:val="left"/>
        <w:rPr>
          <w:rFonts w:ascii="宋体" w:hAnsi="宋体"/>
          <w:bCs/>
          <w:kern w:val="0"/>
          <w:sz w:val="30"/>
          <w:szCs w:val="30"/>
        </w:rPr>
      </w:pPr>
      <w:r>
        <w:rPr>
          <w:rFonts w:hint="eastAsia" w:ascii="宋体" w:hAnsi="宋体"/>
          <w:bCs/>
          <w:kern w:val="0"/>
          <w:sz w:val="30"/>
          <w:szCs w:val="30"/>
        </w:rPr>
        <w:t>二、收入决算情况说明</w:t>
      </w:r>
    </w:p>
    <w:p>
      <w:pPr>
        <w:keepLines/>
        <w:spacing w:line="60" w:lineRule="auto"/>
        <w:ind w:firstLine="640"/>
        <w:jc w:val="left"/>
        <w:rPr>
          <w:rFonts w:ascii="宋体" w:hAnsi="宋体"/>
          <w:bCs/>
          <w:kern w:val="0"/>
          <w:sz w:val="30"/>
          <w:szCs w:val="30"/>
        </w:rPr>
      </w:pPr>
      <w:r>
        <w:rPr>
          <w:rFonts w:hint="eastAsia" w:ascii="宋体" w:hAnsi="宋体"/>
          <w:bCs/>
          <w:kern w:val="0"/>
          <w:sz w:val="30"/>
          <w:szCs w:val="30"/>
        </w:rPr>
        <w:t>三、支出决算情况说明</w:t>
      </w:r>
    </w:p>
    <w:p>
      <w:pPr>
        <w:keepLines/>
        <w:spacing w:line="60" w:lineRule="auto"/>
        <w:ind w:firstLine="640"/>
        <w:jc w:val="left"/>
        <w:rPr>
          <w:rFonts w:ascii="宋体" w:hAnsi="宋体"/>
          <w:bCs/>
          <w:kern w:val="0"/>
          <w:sz w:val="30"/>
          <w:szCs w:val="30"/>
        </w:rPr>
      </w:pPr>
      <w:r>
        <w:rPr>
          <w:rFonts w:hint="eastAsia" w:ascii="宋体" w:hAnsi="宋体"/>
          <w:bCs/>
          <w:kern w:val="0"/>
          <w:sz w:val="30"/>
          <w:szCs w:val="30"/>
        </w:rPr>
        <w:t>四、财政拨款收入支出决算总体情况说明</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五、一般公共预算财政拨款支出决算情况说明</w:t>
      </w:r>
    </w:p>
    <w:p>
      <w:pPr>
        <w:keepLines/>
        <w:spacing w:line="60" w:lineRule="auto"/>
        <w:ind w:firstLine="600" w:firstLineChars="200"/>
        <w:jc w:val="left"/>
        <w:rPr>
          <w:rFonts w:ascii="宋体" w:hAnsi="宋体"/>
          <w:bCs/>
          <w:kern w:val="0"/>
          <w:sz w:val="30"/>
          <w:szCs w:val="30"/>
        </w:rPr>
      </w:pPr>
      <w:r>
        <w:rPr>
          <w:rFonts w:hint="eastAsia" w:ascii="宋体" w:hAnsi="宋体"/>
          <w:bCs/>
          <w:kern w:val="0"/>
          <w:sz w:val="30"/>
          <w:szCs w:val="30"/>
        </w:rPr>
        <w:t>六、一般公共预算财政拨款基本支出决算情况说明</w:t>
      </w:r>
    </w:p>
    <w:p>
      <w:pPr>
        <w:keepLines/>
        <w:spacing w:line="60" w:lineRule="auto"/>
        <w:ind w:firstLine="750" w:firstLineChars="250"/>
        <w:jc w:val="left"/>
        <w:rPr>
          <w:rFonts w:ascii="宋体" w:hAnsi="宋体"/>
          <w:bCs/>
          <w:kern w:val="0"/>
          <w:sz w:val="30"/>
          <w:szCs w:val="30"/>
        </w:rPr>
      </w:pPr>
      <w:r>
        <w:rPr>
          <w:rFonts w:hint="eastAsia" w:ascii="宋体" w:hAnsi="宋体"/>
          <w:bCs/>
          <w:kern w:val="0"/>
          <w:sz w:val="30"/>
          <w:szCs w:val="30"/>
        </w:rPr>
        <w:t>七、一般公共预算财政拨款“三公”经费支出情况决算情况说明</w:t>
      </w:r>
    </w:p>
    <w:p>
      <w:pPr>
        <w:keepLines/>
        <w:spacing w:line="60" w:lineRule="auto"/>
        <w:ind w:firstLine="750" w:firstLineChars="250"/>
        <w:rPr>
          <w:rFonts w:ascii="宋体" w:hAnsi="宋体"/>
          <w:bCs/>
          <w:kern w:val="0"/>
          <w:sz w:val="30"/>
          <w:szCs w:val="30"/>
        </w:rPr>
      </w:pPr>
      <w:r>
        <w:rPr>
          <w:rFonts w:hint="eastAsia" w:ascii="宋体" w:hAnsi="宋体"/>
          <w:bCs/>
          <w:kern w:val="0"/>
          <w:sz w:val="30"/>
          <w:szCs w:val="30"/>
        </w:rPr>
        <w:t>八、预算绩效情况说明</w:t>
      </w:r>
    </w:p>
    <w:p>
      <w:pPr>
        <w:keepLines/>
        <w:spacing w:line="60" w:lineRule="auto"/>
        <w:ind w:firstLine="750" w:firstLineChars="250"/>
        <w:rPr>
          <w:rFonts w:ascii="宋体" w:hAnsi="宋体"/>
          <w:bCs/>
          <w:kern w:val="0"/>
          <w:sz w:val="30"/>
          <w:szCs w:val="30"/>
        </w:rPr>
      </w:pPr>
      <w:r>
        <w:rPr>
          <w:rFonts w:hint="eastAsia" w:ascii="宋体" w:hAnsi="宋体"/>
          <w:bCs/>
          <w:kern w:val="0"/>
          <w:sz w:val="30"/>
          <w:szCs w:val="30"/>
        </w:rPr>
        <w:t>九、其他重要事项的情况说明</w:t>
      </w:r>
    </w:p>
    <w:p>
      <w:pPr>
        <w:keepLines/>
        <w:spacing w:line="60" w:lineRule="auto"/>
        <w:ind w:firstLine="321" w:firstLineChars="100"/>
        <w:rPr>
          <w:rFonts w:ascii="宋体" w:hAnsi="宋体"/>
          <w:b/>
          <w:bCs/>
          <w:kern w:val="0"/>
          <w:sz w:val="32"/>
          <w:szCs w:val="32"/>
        </w:rPr>
      </w:pPr>
      <w:r>
        <w:rPr>
          <w:rFonts w:hint="eastAsia" w:ascii="宋体" w:hAnsi="宋体"/>
          <w:b/>
          <w:bCs/>
          <w:kern w:val="0"/>
          <w:sz w:val="32"/>
          <w:szCs w:val="32"/>
        </w:rPr>
        <w:t>第四部分  名称解释</w:t>
      </w:r>
    </w:p>
    <w:p>
      <w:pPr>
        <w:widowControl/>
        <w:rPr>
          <w:rFonts w:hint="eastAsia" w:ascii="黑体" w:hAnsi="黑体" w:eastAsia="黑体" w:cs="黑体"/>
          <w:b/>
          <w:bCs/>
          <w:kern w:val="0"/>
          <w:sz w:val="52"/>
          <w:szCs w:val="52"/>
        </w:rPr>
      </w:pPr>
    </w:p>
    <w:p>
      <w:pPr>
        <w:widowControl/>
        <w:ind w:firstLine="3132" w:firstLineChars="600"/>
        <w:rPr>
          <w:rFonts w:hint="eastAsia" w:ascii="黑体" w:hAnsi="黑体" w:eastAsia="黑体" w:cs="黑体"/>
          <w:b/>
          <w:bCs/>
          <w:kern w:val="0"/>
          <w:sz w:val="52"/>
          <w:szCs w:val="52"/>
        </w:rPr>
      </w:pPr>
    </w:p>
    <w:p>
      <w:pPr>
        <w:widowControl/>
        <w:ind w:firstLine="2610" w:firstLineChars="500"/>
        <w:rPr>
          <w:rFonts w:hint="eastAsia" w:ascii="黑体" w:hAnsi="黑体" w:eastAsia="黑体" w:cs="黑体"/>
          <w:b/>
          <w:bCs/>
          <w:kern w:val="0"/>
          <w:sz w:val="52"/>
          <w:szCs w:val="52"/>
        </w:rPr>
      </w:pPr>
    </w:p>
    <w:p>
      <w:pPr>
        <w:widowControl/>
        <w:ind w:firstLine="2610" w:firstLineChars="500"/>
        <w:rPr>
          <w:rFonts w:ascii="黑体" w:hAnsi="黑体" w:eastAsia="黑体" w:cs="黑体"/>
          <w:b/>
          <w:bCs/>
          <w:kern w:val="0"/>
          <w:sz w:val="52"/>
          <w:szCs w:val="52"/>
        </w:rPr>
      </w:pPr>
      <w:r>
        <w:rPr>
          <w:rFonts w:hint="eastAsia" w:ascii="黑体" w:hAnsi="黑体" w:eastAsia="黑体" w:cs="黑体"/>
          <w:b/>
          <w:bCs/>
          <w:kern w:val="0"/>
          <w:sz w:val="52"/>
          <w:szCs w:val="52"/>
        </w:rPr>
        <w:t>第一部分  溆浦县环境保护局概况</w:t>
      </w:r>
    </w:p>
    <w:p>
      <w:pPr>
        <w:ind w:firstLine="450" w:firstLineChars="150"/>
        <w:rPr>
          <w:rFonts w:ascii="仿宋" w:hAnsi="仿宋" w:eastAsia="仿宋"/>
          <w:sz w:val="30"/>
          <w:szCs w:val="30"/>
        </w:rPr>
      </w:pPr>
    </w:p>
    <w:p>
      <w:pPr>
        <w:ind w:firstLine="750" w:firstLineChars="250"/>
        <w:rPr>
          <w:rFonts w:ascii="仿宋" w:hAnsi="仿宋" w:eastAsia="仿宋"/>
          <w:sz w:val="30"/>
          <w:szCs w:val="30"/>
        </w:rPr>
      </w:pPr>
      <w:r>
        <w:rPr>
          <w:rFonts w:hint="eastAsia" w:ascii="仿宋" w:hAnsi="仿宋" w:eastAsia="仿宋"/>
          <w:sz w:val="30"/>
          <w:szCs w:val="30"/>
        </w:rPr>
        <w:t>本单位是行政单位，现有编制127人，其中行政编制15人，事业编制112人。2019年本单位实有在职人员119人，其中行政编制15人，事业编制104人。离退休人员共21人（其中提前退休3人）。</w:t>
      </w:r>
    </w:p>
    <w:p>
      <w:pPr>
        <w:spacing w:line="400" w:lineRule="exact"/>
        <w:ind w:firstLine="472" w:firstLineChars="147"/>
        <w:rPr>
          <w:rFonts w:ascii="宋体" w:hAnsi="宋体"/>
          <w:b/>
          <w:bCs/>
          <w:kern w:val="0"/>
          <w:sz w:val="32"/>
          <w:szCs w:val="32"/>
        </w:rPr>
      </w:pPr>
      <w:r>
        <w:rPr>
          <w:rFonts w:hint="eastAsia" w:ascii="宋体" w:hAnsi="宋体" w:cs="黑体"/>
          <w:b/>
          <w:bCs/>
          <w:kern w:val="0"/>
          <w:sz w:val="32"/>
          <w:szCs w:val="32"/>
        </w:rPr>
        <w:t>一、部门职责</w:t>
      </w:r>
      <w:r>
        <w:rPr>
          <w:rFonts w:hint="eastAsia" w:ascii="宋体" w:hAnsi="宋体"/>
          <w:b/>
          <w:bCs/>
          <w:kern w:val="0"/>
          <w:sz w:val="32"/>
          <w:szCs w:val="32"/>
        </w:rPr>
        <w:t xml:space="preserve"> </w:t>
      </w:r>
    </w:p>
    <w:p>
      <w:pPr>
        <w:ind w:firstLine="450" w:firstLineChars="15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一</w:t>
      </w:r>
      <w:r>
        <w:rPr>
          <w:rFonts w:ascii="仿宋" w:hAnsi="仿宋" w:eastAsia="仿宋"/>
          <w:sz w:val="30"/>
          <w:szCs w:val="30"/>
        </w:rPr>
        <w:t>)</w:t>
      </w:r>
      <w:r>
        <w:rPr>
          <w:rFonts w:hint="eastAsia" w:ascii="仿宋" w:hAnsi="仿宋" w:eastAsia="仿宋"/>
          <w:sz w:val="30"/>
          <w:szCs w:val="30"/>
        </w:rPr>
        <w:t>负责建立健全全县环境保护基本制度。贯彻执行国家环境保护的方针、政策和法律、法规，拟订全县环境保护规章制度和环境保护技术政策并监督实施。组织编制全县环境功能区划，组织拟订并监督实施全县污染防治规划和饮用水水源地环境保护规划，组织实施环境友好型社会建设目标，参与制定全县主体功能区规划；负责指导全县环境保护经济政策的制定和实施，建立全县企业事业单位环境行为信用体系。</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w:t>
      </w:r>
      <w:r>
        <w:rPr>
          <w:rFonts w:hint="eastAsia" w:ascii="仿宋" w:hAnsi="仿宋" w:eastAsia="仿宋"/>
          <w:sz w:val="30"/>
          <w:szCs w:val="30"/>
        </w:rPr>
        <w:t>负责防治环境问题的统筹协调和监督管理。牵头协调环境污染事故和生态破坏事件的调查处理，指导协调全县突发环境事件的应急、预警工作，协调解决全县环境污染纠纷，统筹协调全县流域、区域污染防治工作，负责排污费的征收和稽查。</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w:t>
      </w:r>
      <w:r>
        <w:rPr>
          <w:rFonts w:hint="eastAsia" w:ascii="仿宋" w:hAnsi="仿宋" w:eastAsia="仿宋"/>
          <w:sz w:val="30"/>
          <w:szCs w:val="30"/>
        </w:rPr>
        <w:t>承担落实全县减排目标的责任。组织实施全县主要污染物排放总量控制和排污许可证制度，提出实施总量控制的污染物名称和控制指标，督查、督办、核查全县污染物减排任务完成情况，实施环境保护目标责任制、总量减排考核并公布考核结果；负责指导建立企业事业单位环境保护责任制。</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w:t>
      </w:r>
      <w:r>
        <w:rPr>
          <w:rFonts w:hint="eastAsia" w:ascii="仿宋" w:hAnsi="仿宋" w:eastAsia="仿宋"/>
          <w:sz w:val="30"/>
          <w:szCs w:val="30"/>
        </w:rPr>
        <w:t>负责提出全县环境保护领域固定资产投资规模和方向、县级财政性资金安排的建议。参与指导和推动全县循环经济与环保产业发展。参与应对气候变化工作。</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五</w:t>
      </w:r>
      <w:r>
        <w:rPr>
          <w:rFonts w:ascii="仿宋" w:hAnsi="仿宋" w:eastAsia="仿宋"/>
          <w:sz w:val="30"/>
          <w:szCs w:val="30"/>
        </w:rPr>
        <w:t>)</w:t>
      </w:r>
      <w:r>
        <w:rPr>
          <w:rFonts w:hint="eastAsia" w:ascii="仿宋" w:hAnsi="仿宋" w:eastAsia="仿宋"/>
          <w:sz w:val="30"/>
          <w:szCs w:val="30"/>
        </w:rPr>
        <w:t>承担从源头上预防、控制环境污染和环境破坏的责任。受县政府委托对重大经济和技术政策、发展规划以及重大经济开发计划呈报环境影响评价，对涉及环境保护的地方性法规、规章草案提出有关环境影响方面的建议，按权限审核、审批全县重大开发建设区域、规划、项目环境影响评价文件；负责组织划定生态保护红线，拟订并组织实施生态环境保护补偿制度，组织、指导生态系列创建工作。</w:t>
      </w:r>
    </w:p>
    <w:p>
      <w:pPr>
        <w:ind w:firstLine="300" w:firstLineChars="100"/>
        <w:rPr>
          <w:rFonts w:ascii="仿宋" w:hAnsi="仿宋" w:eastAsia="仿宋"/>
          <w:sz w:val="30"/>
          <w:szCs w:val="30"/>
        </w:rPr>
      </w:pPr>
      <w:r>
        <w:rPr>
          <w:rFonts w:hint="eastAsia" w:ascii="仿宋" w:hAnsi="仿宋" w:eastAsia="仿宋"/>
          <w:sz w:val="30"/>
          <w:szCs w:val="30"/>
        </w:rPr>
        <w:t>（六）负责全县环境污染防治的监督管理。制定水体、大气、土壤、噪声、光、恶臭、固体废弃物、化学品、机动车等的污染防治管理制度并组织实施，负责污染源的限期治理工作，负责对危险废物经营许可证的核发出具意见。会同有关部门监督管理饮用水水源地环境保护工作</w:t>
      </w:r>
      <w:r>
        <w:rPr>
          <w:rFonts w:ascii="仿宋" w:hAnsi="仿宋" w:eastAsia="仿宋"/>
          <w:sz w:val="30"/>
          <w:szCs w:val="30"/>
        </w:rPr>
        <w:t>.</w:t>
      </w:r>
      <w:r>
        <w:rPr>
          <w:rFonts w:hint="eastAsia" w:ascii="仿宋" w:hAnsi="仿宋" w:eastAsia="仿宋"/>
          <w:sz w:val="30"/>
          <w:szCs w:val="30"/>
        </w:rPr>
        <w:t>组织指导全县城镇和农村的环境综合整治工作。</w:t>
      </w:r>
    </w:p>
    <w:p>
      <w:pPr>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七</w:t>
      </w:r>
      <w:r>
        <w:rPr>
          <w:rFonts w:ascii="仿宋" w:hAnsi="仿宋" w:eastAsia="仿宋"/>
          <w:sz w:val="30"/>
          <w:szCs w:val="30"/>
        </w:rPr>
        <w:t>)</w:t>
      </w:r>
      <w:r>
        <w:rPr>
          <w:rFonts w:hint="eastAsia" w:ascii="仿宋" w:hAnsi="仿宋" w:eastAsia="仿宋"/>
          <w:sz w:val="30"/>
          <w:szCs w:val="30"/>
        </w:rPr>
        <w:t>指导、协调、监督全县生态保护工作。拟定全县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湿地环境保护、荒漠化防治工作。监督、指导农村生态环境保护，监督生物技术环境安全，牵头生物物种</w:t>
      </w:r>
      <w:r>
        <w:rPr>
          <w:rFonts w:ascii="仿宋" w:hAnsi="仿宋" w:eastAsia="仿宋"/>
          <w:sz w:val="30"/>
          <w:szCs w:val="30"/>
        </w:rPr>
        <w:t>(</w:t>
      </w:r>
      <w:r>
        <w:rPr>
          <w:rFonts w:hint="eastAsia" w:ascii="仿宋" w:hAnsi="仿宋" w:eastAsia="仿宋"/>
          <w:sz w:val="30"/>
          <w:szCs w:val="30"/>
        </w:rPr>
        <w:t>含遗传资源</w:t>
      </w:r>
      <w:r>
        <w:rPr>
          <w:rFonts w:ascii="仿宋" w:hAnsi="仿宋" w:eastAsia="仿宋"/>
          <w:sz w:val="30"/>
          <w:szCs w:val="30"/>
        </w:rPr>
        <w:t>)</w:t>
      </w:r>
      <w:r>
        <w:rPr>
          <w:rFonts w:hint="eastAsia" w:ascii="仿宋" w:hAnsi="仿宋" w:eastAsia="仿宋"/>
          <w:sz w:val="30"/>
          <w:szCs w:val="30"/>
        </w:rPr>
        <w:t>有关工作，组织协调生物多样性保护有关工作。</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w:t>
      </w:r>
      <w:r>
        <w:rPr>
          <w:rFonts w:hint="eastAsia" w:ascii="仿宋" w:hAnsi="仿宋" w:eastAsia="仿宋"/>
          <w:sz w:val="30"/>
          <w:szCs w:val="30"/>
        </w:rPr>
        <w:t>负责全县核事故应急管理工作以及核安全和辐射安全的监督管理。组织实施国家核与辐射安全政策、规划、标准。监督管理核设施安全、放射源安全，监督管理核设施、核技术应用、电磁辐射、伴有放射性矿产资源开发利用中的污染防治。负责放射性同位素、射线装置的生产、销售、作用的审查。负责对核材料的管制和民用核安全设备的设计、制造、安装和无损检验活动实施监督管理。</w:t>
      </w:r>
    </w:p>
    <w:p>
      <w:pPr>
        <w:ind w:firstLine="450" w:firstLineChars="150"/>
        <w:rPr>
          <w:rFonts w:ascii="宋体" w:hAnsi="宋体"/>
          <w:b/>
          <w:bCs/>
          <w:kern w:val="0"/>
          <w:sz w:val="32"/>
          <w:szCs w:val="32"/>
        </w:rPr>
      </w:pPr>
      <w:r>
        <w:rPr>
          <w:rFonts w:ascii="仿宋" w:hAnsi="仿宋" w:eastAsia="仿宋"/>
          <w:sz w:val="30"/>
          <w:szCs w:val="30"/>
        </w:rPr>
        <w:t>(</w:t>
      </w:r>
      <w:r>
        <w:rPr>
          <w:rFonts w:hint="eastAsia" w:ascii="仿宋" w:hAnsi="仿宋" w:eastAsia="仿宋"/>
          <w:sz w:val="30"/>
          <w:szCs w:val="30"/>
        </w:rPr>
        <w:t>九</w:t>
      </w:r>
      <w:r>
        <w:rPr>
          <w:rFonts w:ascii="仿宋" w:hAnsi="仿宋" w:eastAsia="仿宋"/>
          <w:sz w:val="30"/>
          <w:szCs w:val="30"/>
        </w:rPr>
        <w:t>)</w:t>
      </w:r>
      <w:r>
        <w:rPr>
          <w:rFonts w:hint="eastAsia" w:ascii="仿宋" w:hAnsi="仿宋" w:eastAsia="仿宋"/>
          <w:sz w:val="30"/>
          <w:szCs w:val="30"/>
        </w:rPr>
        <w:t>负责全县环境监测和信息发布。组织实施环境质量监测和污染源监督性监测。组织对全县环境质量状况进行调查评估、预测预警，组织全县环境监测和环境信息能力建设，统一发布全县环境综合性报告和重大环境信息</w:t>
      </w:r>
      <w:r>
        <w:rPr>
          <w:rFonts w:ascii="仿宋" w:hAnsi="仿宋" w:eastAsia="仿宋"/>
          <w:sz w:val="30"/>
          <w:szCs w:val="30"/>
        </w:rPr>
        <w:t>.</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w:t>
      </w:r>
      <w:r>
        <w:rPr>
          <w:rFonts w:ascii="仿宋" w:hAnsi="仿宋" w:eastAsia="仿宋"/>
          <w:sz w:val="30"/>
          <w:szCs w:val="30"/>
        </w:rPr>
        <w:t>)</w:t>
      </w:r>
      <w:r>
        <w:rPr>
          <w:rFonts w:hint="eastAsia" w:ascii="仿宋" w:hAnsi="仿宋" w:eastAsia="仿宋"/>
          <w:sz w:val="30"/>
          <w:szCs w:val="30"/>
        </w:rPr>
        <w:t>开展环境保护科技工作，组织开展环境保护科学研究和</w:t>
      </w:r>
      <w:r>
        <w:rPr>
          <w:rFonts w:ascii="仿宋" w:hAnsi="仿宋" w:eastAsia="仿宋"/>
          <w:sz w:val="30"/>
          <w:szCs w:val="30"/>
        </w:rPr>
        <w:br w:type="textWrapping"/>
      </w:r>
      <w:r>
        <w:rPr>
          <w:rFonts w:hint="eastAsia" w:ascii="仿宋" w:hAnsi="仿宋" w:eastAsia="仿宋"/>
          <w:sz w:val="30"/>
          <w:szCs w:val="30"/>
        </w:rPr>
        <w:t>技术工程示范，推动环境技术管理体系建设，组织县级环境保护科技成果的鉴定、交流与推广。</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十一</w:t>
      </w:r>
      <w:r>
        <w:rPr>
          <w:rFonts w:ascii="仿宋" w:hAnsi="仿宋" w:eastAsia="仿宋"/>
          <w:sz w:val="30"/>
          <w:szCs w:val="30"/>
        </w:rPr>
        <w:t>)</w:t>
      </w:r>
      <w:r>
        <w:rPr>
          <w:rFonts w:hint="eastAsia" w:ascii="仿宋" w:hAnsi="仿宋" w:eastAsia="仿宋"/>
          <w:sz w:val="30"/>
          <w:szCs w:val="30"/>
        </w:rPr>
        <w:t>开展环境保护对外合作交流，提出全县环境保护对外</w:t>
      </w:r>
      <w:r>
        <w:rPr>
          <w:rFonts w:ascii="仿宋" w:hAnsi="仿宋" w:eastAsia="仿宋"/>
          <w:sz w:val="30"/>
          <w:szCs w:val="30"/>
        </w:rPr>
        <w:br w:type="textWrapping"/>
      </w:r>
      <w:r>
        <w:rPr>
          <w:rFonts w:hint="eastAsia" w:ascii="仿宋" w:hAnsi="仿宋" w:eastAsia="仿宋"/>
          <w:sz w:val="30"/>
          <w:szCs w:val="30"/>
        </w:rPr>
        <w:t>合作交流中有关问题的建议，开展对外环境保护信息交流工作，管理和组织协调环境保护国际条约县内履约活动，参与处理涉外环境保护事务。</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十二</w:t>
      </w:r>
      <w:r>
        <w:rPr>
          <w:rFonts w:ascii="仿宋" w:hAnsi="仿宋" w:eastAsia="仿宋"/>
          <w:sz w:val="30"/>
          <w:szCs w:val="30"/>
        </w:rPr>
        <w:t>)</w:t>
      </w:r>
      <w:r>
        <w:rPr>
          <w:rFonts w:hint="eastAsia" w:ascii="仿宋" w:hAnsi="仿宋" w:eastAsia="仿宋"/>
          <w:sz w:val="30"/>
          <w:szCs w:val="30"/>
        </w:rPr>
        <w:t>组织、指导和协调全县环境保护宣传教育工作，制定并组织实施全县环境保护宣传教育纲要，开展生态文明建设和环境友好型社会建设的有关宣传教育工作，推动社会公众和社会组织参与环境保护。</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十三</w:t>
      </w:r>
      <w:r>
        <w:rPr>
          <w:rFonts w:ascii="仿宋" w:hAnsi="仿宋" w:eastAsia="仿宋"/>
          <w:sz w:val="30"/>
          <w:szCs w:val="30"/>
        </w:rPr>
        <w:t>)</w:t>
      </w:r>
      <w:r>
        <w:rPr>
          <w:rFonts w:hint="eastAsia" w:ascii="仿宋" w:hAnsi="仿宋" w:eastAsia="仿宋"/>
          <w:sz w:val="30"/>
          <w:szCs w:val="30"/>
        </w:rPr>
        <w:t>承担县生态环境保护委员会办公室的工作。</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十四</w:t>
      </w:r>
      <w:r>
        <w:rPr>
          <w:rFonts w:ascii="仿宋" w:hAnsi="仿宋" w:eastAsia="仿宋"/>
          <w:sz w:val="30"/>
          <w:szCs w:val="30"/>
        </w:rPr>
        <w:t>)</w:t>
      </w:r>
      <w:r>
        <w:rPr>
          <w:rFonts w:hint="eastAsia" w:ascii="仿宋" w:hAnsi="仿宋" w:eastAsia="仿宋"/>
          <w:sz w:val="30"/>
          <w:szCs w:val="30"/>
        </w:rPr>
        <w:t>承办县委、县政府交办的其他事项。</w:t>
      </w:r>
      <w:r>
        <w:rPr>
          <w:rFonts w:hint="eastAsia" w:ascii="宋体" w:hAnsi="宋体"/>
          <w:b/>
          <w:bCs/>
          <w:kern w:val="0"/>
          <w:sz w:val="32"/>
          <w:szCs w:val="32"/>
        </w:rPr>
        <w:t xml:space="preserve">                                </w:t>
      </w:r>
    </w:p>
    <w:p>
      <w:pPr>
        <w:widowControl/>
        <w:ind w:firstLine="643" w:firstLineChars="200"/>
        <w:rPr>
          <w:rFonts w:ascii="宋体" w:hAnsi="宋体"/>
          <w:b/>
          <w:bCs/>
          <w:kern w:val="0"/>
          <w:sz w:val="32"/>
          <w:szCs w:val="32"/>
        </w:rPr>
      </w:pPr>
      <w:r>
        <w:rPr>
          <w:rFonts w:hint="eastAsia" w:ascii="宋体" w:hAnsi="宋体" w:cs="黑体"/>
          <w:b/>
          <w:bCs/>
          <w:kern w:val="0"/>
          <w:sz w:val="32"/>
          <w:szCs w:val="32"/>
        </w:rPr>
        <w:t>二、机构设置</w:t>
      </w:r>
    </w:p>
    <w:p>
      <w:pPr>
        <w:widowControl/>
        <w:spacing w:line="600" w:lineRule="exact"/>
        <w:ind w:firstLine="633" w:firstLineChars="198"/>
        <w:jc w:val="left"/>
        <w:rPr>
          <w:rFonts w:hint="eastAsia" w:ascii="仿宋" w:hAnsi="仿宋" w:eastAsia="仿宋"/>
          <w:bCs/>
          <w:kern w:val="0"/>
          <w:sz w:val="32"/>
          <w:szCs w:val="32"/>
        </w:rPr>
      </w:pPr>
      <w:r>
        <w:rPr>
          <w:rFonts w:hint="eastAsia" w:asciiTheme="minorEastAsia" w:hAnsiTheme="minorEastAsia"/>
          <w:bCs/>
          <w:kern w:val="0"/>
          <w:sz w:val="32"/>
          <w:szCs w:val="32"/>
        </w:rPr>
        <w:t>（一）内设机构设置。</w:t>
      </w:r>
      <w:r>
        <w:rPr>
          <w:rFonts w:hint="eastAsia" w:ascii="仿宋" w:hAnsi="仿宋" w:eastAsia="仿宋"/>
          <w:bCs/>
          <w:kern w:val="0"/>
          <w:sz w:val="32"/>
          <w:szCs w:val="32"/>
        </w:rPr>
        <w:t>根据三定方案，县环境保护局设</w:t>
      </w:r>
      <w:r>
        <w:rPr>
          <w:rFonts w:ascii="仿宋" w:hAnsi="仿宋" w:eastAsia="仿宋"/>
          <w:bCs/>
          <w:kern w:val="0"/>
          <w:sz w:val="32"/>
          <w:szCs w:val="32"/>
        </w:rPr>
        <w:t>7</w:t>
      </w:r>
      <w:r>
        <w:rPr>
          <w:rFonts w:hint="eastAsia" w:ascii="仿宋" w:hAnsi="仿宋" w:eastAsia="仿宋"/>
          <w:bCs/>
          <w:kern w:val="0"/>
          <w:sz w:val="32"/>
          <w:szCs w:val="32"/>
        </w:rPr>
        <w:t>个内设机构：办公室</w:t>
      </w:r>
      <w:r>
        <w:rPr>
          <w:rFonts w:ascii="仿宋" w:hAnsi="仿宋" w:eastAsia="仿宋"/>
          <w:bCs/>
          <w:kern w:val="0"/>
          <w:sz w:val="32"/>
          <w:szCs w:val="32"/>
        </w:rPr>
        <w:t>(</w:t>
      </w:r>
      <w:r>
        <w:rPr>
          <w:rFonts w:hint="eastAsia" w:ascii="仿宋" w:hAnsi="仿宋" w:eastAsia="仿宋"/>
          <w:bCs/>
          <w:kern w:val="0"/>
          <w:sz w:val="32"/>
          <w:szCs w:val="32"/>
        </w:rPr>
        <w:t>加挂人事股牌子</w:t>
      </w:r>
      <w:r>
        <w:rPr>
          <w:rFonts w:ascii="仿宋" w:hAnsi="仿宋" w:eastAsia="仿宋"/>
          <w:bCs/>
          <w:kern w:val="0"/>
          <w:sz w:val="32"/>
          <w:szCs w:val="32"/>
        </w:rPr>
        <w:t>)</w:t>
      </w:r>
      <w:r>
        <w:rPr>
          <w:rFonts w:hint="eastAsia" w:ascii="仿宋" w:hAnsi="仿宋" w:eastAsia="仿宋"/>
          <w:bCs/>
          <w:kern w:val="0"/>
          <w:sz w:val="32"/>
          <w:szCs w:val="32"/>
        </w:rPr>
        <w:t xml:space="preserve"> 、法制宣传股</w:t>
      </w:r>
      <w:r>
        <w:rPr>
          <w:rFonts w:ascii="仿宋" w:hAnsi="仿宋" w:eastAsia="仿宋"/>
          <w:bCs/>
          <w:kern w:val="0"/>
          <w:sz w:val="32"/>
          <w:szCs w:val="32"/>
        </w:rPr>
        <w:t>(</w:t>
      </w:r>
      <w:r>
        <w:rPr>
          <w:rFonts w:hint="eastAsia" w:ascii="仿宋" w:hAnsi="仿宋" w:eastAsia="仿宋"/>
          <w:bCs/>
          <w:kern w:val="0"/>
          <w:sz w:val="32"/>
          <w:szCs w:val="32"/>
        </w:rPr>
        <w:t>加挂溆浦县环境信息中心牌子</w:t>
      </w:r>
      <w:r>
        <w:rPr>
          <w:rFonts w:ascii="仿宋" w:hAnsi="仿宋" w:eastAsia="仿宋"/>
          <w:bCs/>
          <w:kern w:val="0"/>
          <w:sz w:val="32"/>
          <w:szCs w:val="32"/>
        </w:rPr>
        <w:t>)</w:t>
      </w:r>
      <w:r>
        <w:rPr>
          <w:rFonts w:hint="eastAsia" w:ascii="仿宋" w:hAnsi="仿宋" w:eastAsia="仿宋"/>
          <w:bCs/>
          <w:kern w:val="0"/>
          <w:sz w:val="32"/>
          <w:szCs w:val="32"/>
        </w:rPr>
        <w:t>、 污染防治股、自然生态保护股、行政审批服务股、计划与科技股</w:t>
      </w:r>
      <w:r>
        <w:rPr>
          <w:rFonts w:ascii="仿宋" w:hAnsi="仿宋" w:eastAsia="仿宋"/>
          <w:bCs/>
          <w:kern w:val="0"/>
          <w:sz w:val="32"/>
          <w:szCs w:val="32"/>
        </w:rPr>
        <w:t>(</w:t>
      </w:r>
      <w:r>
        <w:rPr>
          <w:rFonts w:hint="eastAsia" w:ascii="仿宋" w:hAnsi="仿宋" w:eastAsia="仿宋"/>
          <w:bCs/>
          <w:kern w:val="0"/>
          <w:sz w:val="32"/>
          <w:szCs w:val="32"/>
        </w:rPr>
        <w:t>加挂排污权储备交易中心牌子</w:t>
      </w:r>
      <w:r>
        <w:rPr>
          <w:rFonts w:ascii="仿宋" w:hAnsi="仿宋" w:eastAsia="仿宋"/>
          <w:bCs/>
          <w:kern w:val="0"/>
          <w:sz w:val="32"/>
          <w:szCs w:val="32"/>
        </w:rPr>
        <w:t>)</w:t>
      </w:r>
      <w:r>
        <w:rPr>
          <w:rFonts w:hint="eastAsia" w:ascii="仿宋" w:hAnsi="仿宋" w:eastAsia="仿宋"/>
          <w:bCs/>
          <w:kern w:val="0"/>
          <w:sz w:val="32"/>
          <w:szCs w:val="32"/>
        </w:rPr>
        <w:t>、 环境保护监管协调股</w:t>
      </w:r>
      <w:r>
        <w:rPr>
          <w:rFonts w:ascii="仿宋" w:hAnsi="仿宋" w:eastAsia="仿宋"/>
          <w:bCs/>
          <w:kern w:val="0"/>
          <w:sz w:val="32"/>
          <w:szCs w:val="32"/>
        </w:rPr>
        <w:t>(</w:t>
      </w:r>
      <w:r>
        <w:rPr>
          <w:rFonts w:hint="eastAsia" w:ascii="仿宋" w:hAnsi="仿宋" w:eastAsia="仿宋"/>
          <w:bCs/>
          <w:kern w:val="0"/>
          <w:sz w:val="32"/>
          <w:szCs w:val="32"/>
        </w:rPr>
        <w:t>对外称溆浦县生态环境保护委员会办公室</w:t>
      </w:r>
      <w:r>
        <w:rPr>
          <w:rFonts w:ascii="仿宋" w:hAnsi="仿宋" w:eastAsia="仿宋"/>
          <w:bCs/>
          <w:kern w:val="0"/>
          <w:sz w:val="32"/>
          <w:szCs w:val="32"/>
        </w:rPr>
        <w:t>)</w:t>
      </w:r>
      <w:r>
        <w:rPr>
          <w:rFonts w:hint="eastAsia" w:ascii="仿宋" w:hAnsi="仿宋" w:eastAsia="仿宋"/>
          <w:bCs/>
          <w:kern w:val="0"/>
          <w:sz w:val="32"/>
          <w:szCs w:val="32"/>
        </w:rPr>
        <w:t>。</w:t>
      </w:r>
    </w:p>
    <w:p>
      <w:pPr>
        <w:widowControl/>
        <w:spacing w:line="600" w:lineRule="exact"/>
        <w:ind w:firstLine="633" w:firstLineChars="198"/>
        <w:jc w:val="left"/>
        <w:rPr>
          <w:rFonts w:ascii="华文楷体" w:hAnsi="华文楷体" w:eastAsia="华文楷体" w:cs="华文楷体"/>
          <w:b/>
          <w:bCs/>
          <w:sz w:val="24"/>
        </w:rPr>
      </w:pPr>
      <w:r>
        <w:rPr>
          <w:rFonts w:hint="eastAsia" w:asciiTheme="minorEastAsia" w:hAnsiTheme="minorEastAsia"/>
          <w:bCs/>
          <w:kern w:val="0"/>
          <w:sz w:val="32"/>
          <w:szCs w:val="32"/>
        </w:rPr>
        <w:t>（二）决算单位构成。</w:t>
      </w:r>
      <w:r>
        <w:rPr>
          <w:rFonts w:hint="eastAsia" w:ascii="仿宋" w:hAnsi="仿宋" w:eastAsia="仿宋"/>
          <w:bCs/>
          <w:kern w:val="0"/>
          <w:sz w:val="32"/>
          <w:szCs w:val="32"/>
        </w:rPr>
        <w:t>本单位无财务独立核算的二级机构，不需做汇总决算。</w:t>
      </w:r>
      <w:r>
        <w:rPr>
          <w:rFonts w:ascii="仿宋" w:hAnsi="仿宋" w:eastAsia="仿宋"/>
          <w:bCs/>
          <w:kern w:val="0"/>
          <w:sz w:val="32"/>
          <w:szCs w:val="32"/>
        </w:rPr>
        <w:br w:type="textWrapping"/>
      </w:r>
      <w:r>
        <w:rPr>
          <w:rFonts w:hint="eastAsia" w:ascii="华文楷体" w:hAnsi="华文楷体" w:eastAsia="华文楷体" w:cs="华文楷体"/>
          <w:b/>
          <w:bCs/>
          <w:sz w:val="24"/>
        </w:rPr>
        <w:t xml:space="preserve">   </w:t>
      </w: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hint="eastAsia" w:ascii="华文楷体" w:hAnsi="华文楷体" w:eastAsia="华文楷体" w:cs="华文楷体"/>
          <w:b/>
          <w:bCs/>
          <w:sz w:val="24"/>
        </w:rPr>
      </w:pPr>
    </w:p>
    <w:p>
      <w:pPr>
        <w:widowControl/>
        <w:spacing w:line="600" w:lineRule="exact"/>
        <w:ind w:firstLine="476" w:firstLineChars="198"/>
        <w:jc w:val="left"/>
        <w:rPr>
          <w:rFonts w:ascii="华文楷体" w:hAnsi="华文楷体" w:eastAsia="华文楷体" w:cs="华文楷体"/>
          <w:b/>
          <w:bCs/>
          <w:sz w:val="24"/>
        </w:rPr>
      </w:pPr>
    </w:p>
    <w:p>
      <w:pPr>
        <w:widowControl/>
        <w:spacing w:line="600" w:lineRule="exact"/>
        <w:jc w:val="center"/>
        <w:rPr>
          <w:rFonts w:hint="eastAsia" w:ascii="黑体" w:hAnsi="黑体" w:eastAsia="黑体" w:cs="黑体"/>
          <w:b/>
          <w:bCs/>
          <w:kern w:val="0"/>
          <w:sz w:val="44"/>
          <w:szCs w:val="44"/>
        </w:rPr>
      </w:pPr>
    </w:p>
    <w:p>
      <w:pPr>
        <w:widowControl/>
        <w:spacing w:line="600" w:lineRule="exact"/>
        <w:jc w:val="center"/>
        <w:rPr>
          <w:rFonts w:hint="eastAsia" w:ascii="黑体" w:hAnsi="黑体" w:eastAsia="黑体" w:cs="黑体"/>
          <w:b/>
          <w:bCs/>
          <w:kern w:val="0"/>
          <w:sz w:val="44"/>
          <w:szCs w:val="44"/>
        </w:rPr>
      </w:pPr>
    </w:p>
    <w:p>
      <w:pPr>
        <w:widowControl/>
        <w:spacing w:line="600" w:lineRule="exact"/>
        <w:jc w:val="center"/>
        <w:rPr>
          <w:rFonts w:hint="eastAsia" w:ascii="黑体" w:hAnsi="黑体" w:eastAsia="黑体" w:cs="黑体"/>
          <w:b/>
          <w:bCs/>
          <w:kern w:val="0"/>
          <w:sz w:val="44"/>
          <w:szCs w:val="44"/>
        </w:rPr>
      </w:pPr>
    </w:p>
    <w:p>
      <w:pPr>
        <w:widowControl/>
        <w:spacing w:line="600" w:lineRule="exact"/>
        <w:jc w:val="center"/>
        <w:rPr>
          <w:rFonts w:hint="eastAsia" w:ascii="黑体" w:hAnsi="黑体" w:eastAsia="黑体" w:cs="黑体"/>
          <w:b/>
          <w:bCs/>
          <w:kern w:val="0"/>
          <w:sz w:val="44"/>
          <w:szCs w:val="44"/>
        </w:rPr>
      </w:pPr>
    </w:p>
    <w:p>
      <w:pPr>
        <w:widowControl/>
        <w:spacing w:line="600" w:lineRule="exact"/>
        <w:jc w:val="center"/>
        <w:rPr>
          <w:rFonts w:hint="eastAsia" w:ascii="黑体" w:hAnsi="黑体" w:eastAsia="黑体" w:cs="黑体"/>
          <w:b/>
          <w:bCs/>
          <w:kern w:val="0"/>
          <w:sz w:val="44"/>
          <w:szCs w:val="44"/>
        </w:rPr>
      </w:pPr>
    </w:p>
    <w:p>
      <w:pPr>
        <w:widowControl/>
        <w:spacing w:line="600" w:lineRule="exact"/>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第二部分2019年度部门决算表</w:t>
      </w:r>
    </w:p>
    <w:p>
      <w:pPr>
        <w:widowControl/>
        <w:spacing w:line="600" w:lineRule="exact"/>
        <w:jc w:val="center"/>
        <w:rPr>
          <w:rFonts w:hint="eastAsia" w:ascii="黑体" w:hAnsi="黑体" w:eastAsia="黑体" w:cs="黑体"/>
          <w:b/>
          <w:bCs/>
          <w:kern w:val="0"/>
          <w:sz w:val="44"/>
          <w:szCs w:val="44"/>
        </w:rPr>
      </w:pPr>
    </w:p>
    <w:p>
      <w:pPr>
        <w:widowControl/>
        <w:spacing w:line="600" w:lineRule="exact"/>
        <w:jc w:val="center"/>
        <w:rPr>
          <w:rFonts w:ascii="黑体" w:hAnsi="黑体" w:eastAsia="黑体" w:cs="黑体"/>
          <w:b/>
          <w:bCs/>
          <w:kern w:val="0"/>
          <w:sz w:val="44"/>
          <w:szCs w:val="44"/>
        </w:rPr>
      </w:pPr>
      <w:r>
        <w:rPr>
          <w:rFonts w:hint="eastAsia" w:ascii="黑体" w:hAnsi="黑体" w:eastAsia="黑体" w:cs="黑体"/>
          <w:b/>
          <w:bCs/>
          <w:kern w:val="0"/>
          <w:sz w:val="44"/>
          <w:szCs w:val="44"/>
        </w:rPr>
        <w:t>(见附件)</w:t>
      </w:r>
    </w:p>
    <w:p>
      <w:pPr>
        <w:ind w:firstLine="5760" w:firstLineChars="1600"/>
        <w:jc w:val="both"/>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部门：溆浦县环境保护局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2113.71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八、社会保障和就业支出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十、节能环保支出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2034.37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97.29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2207　</w:t>
            </w:r>
          </w:p>
        </w:tc>
        <w:tc>
          <w:tcPr>
            <w:tcW w:w="48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2218.12</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73.8</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62.68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2280.8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2280.8</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spacing w:line="240" w:lineRule="exact"/>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溆浦县环境保护局　　　　　　</w:t>
      </w:r>
      <w:r>
        <w:rPr>
          <w:rFonts w:ascii="Times New Roman" w:hAnsi="Times New Roman" w:eastAsia="仿宋_GB2312" w:cs="Times New Roman"/>
          <w:color w:val="000000"/>
          <w:kern w:val="0"/>
          <w:szCs w:val="21"/>
        </w:rPr>
        <w:t xml:space="preserve">                                                                                          公开02表</w:t>
      </w:r>
    </w:p>
    <w:p>
      <w:pPr>
        <w:widowControl/>
        <w:spacing w:line="240" w:lineRule="exact"/>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637" w:type="dxa"/>
        <w:jc w:val="center"/>
        <w:tblLayout w:type="fixed"/>
        <w:tblCellMar>
          <w:top w:w="0" w:type="dxa"/>
          <w:left w:w="108" w:type="dxa"/>
          <w:bottom w:w="0" w:type="dxa"/>
          <w:right w:w="108" w:type="dxa"/>
        </w:tblCellMar>
      </w:tblPr>
      <w:tblGrid>
        <w:gridCol w:w="1382"/>
        <w:gridCol w:w="3320"/>
        <w:gridCol w:w="1418"/>
        <w:gridCol w:w="1559"/>
        <w:gridCol w:w="1276"/>
        <w:gridCol w:w="1276"/>
        <w:gridCol w:w="1275"/>
        <w:gridCol w:w="1134"/>
        <w:gridCol w:w="997"/>
      </w:tblGrid>
      <w:tr>
        <w:tblPrEx>
          <w:tblCellMar>
            <w:top w:w="0" w:type="dxa"/>
            <w:left w:w="108" w:type="dxa"/>
            <w:bottom w:w="0" w:type="dxa"/>
            <w:right w:w="108" w:type="dxa"/>
          </w:tblCellMar>
        </w:tblPrEx>
        <w:trPr>
          <w:trHeight w:val="305" w:hRule="atLeast"/>
          <w:jc w:val="center"/>
        </w:trPr>
        <w:tc>
          <w:tcPr>
            <w:tcW w:w="4702" w:type="dxa"/>
            <w:gridSpan w:val="2"/>
            <w:tcBorders>
              <w:top w:val="single" w:color="auto" w:sz="8" w:space="0"/>
              <w:left w:val="single" w:color="auto" w:sz="8" w:space="0"/>
              <w:bottom w:val="single" w:color="auto" w:sz="4" w:space="0"/>
              <w:right w:val="nil"/>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18"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5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2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2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27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997"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382" w:type="dxa"/>
            <w:vMerge w:val="restart"/>
            <w:tcBorders>
              <w:top w:val="single" w:color="auto" w:sz="4" w:space="0"/>
              <w:left w:val="single" w:color="auto" w:sz="8" w:space="0"/>
              <w:bottom w:val="single" w:color="000000" w:sz="4" w:space="0"/>
              <w:right w:val="nil"/>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9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382"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33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9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79" w:hRule="atLeast"/>
          <w:jc w:val="center"/>
        </w:trPr>
        <w:tc>
          <w:tcPr>
            <w:tcW w:w="470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187" w:hRule="atLeast"/>
          <w:jc w:val="center"/>
        </w:trPr>
        <w:tc>
          <w:tcPr>
            <w:tcW w:w="470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2207</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85"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85"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6"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死亡抚恤</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55"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2023.25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2023.25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00"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环境保护管理事务</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1605.04</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1605.04</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76"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2110101</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724.05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724.05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5"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2110199</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其他环境保护管理事务支出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880.99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880.99</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36"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21102</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环境监测与监察</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22"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2110299</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其他环境监测与监察</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15"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21103</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污染防治</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335.46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335.46</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5"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2110302</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水体</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2110399</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其他污染防治支出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225.46</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225.46</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21111</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污染减排</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5"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2111102</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生态环境执法监察</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95" w:hRule="atLeast"/>
          <w:jc w:val="center"/>
        </w:trPr>
        <w:tc>
          <w:tcPr>
            <w:tcW w:w="138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3320" w:type="dxa"/>
            <w:tcBorders>
              <w:top w:val="nil"/>
              <w:left w:val="nil"/>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1418"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97.29</w:t>
            </w:r>
          </w:p>
        </w:tc>
        <w:tc>
          <w:tcPr>
            <w:tcW w:w="1559"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97.29</w:t>
            </w: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5"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97" w:type="dxa"/>
            <w:tcBorders>
              <w:top w:val="nil"/>
              <w:left w:val="nil"/>
              <w:bottom w:val="single" w:color="auto" w:sz="8"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145" w:hRule="atLeast"/>
          <w:jc w:val="center"/>
        </w:trPr>
        <w:tc>
          <w:tcPr>
            <w:tcW w:w="138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w:t>
            </w:r>
          </w:p>
        </w:tc>
        <w:tc>
          <w:tcPr>
            <w:tcW w:w="3320" w:type="dxa"/>
            <w:tcBorders>
              <w:top w:val="nil"/>
              <w:left w:val="nil"/>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1418"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559"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42" w:hRule="atLeast"/>
          <w:jc w:val="center"/>
        </w:trPr>
        <w:tc>
          <w:tcPr>
            <w:tcW w:w="138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2120199</w:t>
            </w:r>
          </w:p>
        </w:tc>
        <w:tc>
          <w:tcPr>
            <w:tcW w:w="3320" w:type="dxa"/>
            <w:tcBorders>
              <w:top w:val="nil"/>
              <w:left w:val="nil"/>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其他城乡社区管理事务支出</w:t>
            </w:r>
          </w:p>
        </w:tc>
        <w:tc>
          <w:tcPr>
            <w:tcW w:w="1418"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559"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20" w:hRule="atLeast"/>
          <w:jc w:val="center"/>
        </w:trPr>
        <w:tc>
          <w:tcPr>
            <w:tcW w:w="138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21213</w:t>
            </w:r>
          </w:p>
        </w:tc>
        <w:tc>
          <w:tcPr>
            <w:tcW w:w="3320" w:type="dxa"/>
            <w:tcBorders>
              <w:top w:val="nil"/>
              <w:left w:val="nil"/>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城市基础设施配套费安排的支出</w:t>
            </w:r>
          </w:p>
        </w:tc>
        <w:tc>
          <w:tcPr>
            <w:tcW w:w="1418"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559"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23" w:hRule="atLeast"/>
          <w:jc w:val="center"/>
        </w:trPr>
        <w:tc>
          <w:tcPr>
            <w:tcW w:w="138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2121302</w:t>
            </w:r>
          </w:p>
        </w:tc>
        <w:tc>
          <w:tcPr>
            <w:tcW w:w="3320" w:type="dxa"/>
            <w:tcBorders>
              <w:top w:val="nil"/>
              <w:left w:val="nil"/>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城市环境卫生</w:t>
            </w:r>
          </w:p>
        </w:tc>
        <w:tc>
          <w:tcPr>
            <w:tcW w:w="1418"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559"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92" w:hRule="atLeast"/>
          <w:jc w:val="center"/>
        </w:trPr>
        <w:tc>
          <w:tcPr>
            <w:tcW w:w="138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3320" w:type="dxa"/>
            <w:tcBorders>
              <w:top w:val="nil"/>
              <w:left w:val="nil"/>
              <w:bottom w:val="single" w:color="auto" w:sz="8"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tc>
        <w:tc>
          <w:tcPr>
            <w:tcW w:w="1418"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559"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8"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24"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扶贫</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46" w:hRule="atLeast"/>
          <w:jc w:val="center"/>
        </w:trPr>
        <w:tc>
          <w:tcPr>
            <w:tcW w:w="138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3320" w:type="dxa"/>
            <w:tcBorders>
              <w:top w:val="nil"/>
              <w:left w:val="nil"/>
              <w:bottom w:val="single" w:color="auto" w:sz="4" w:space="0"/>
              <w:right w:val="single" w:color="auto" w:sz="4" w:space="0"/>
            </w:tcBorders>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行政运行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nil"/>
              <w:left w:val="nil"/>
              <w:bottom w:val="single" w:color="auto" w:sz="4" w:space="0"/>
              <w:right w:val="single" w:color="auto" w:sz="8"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28" w:hRule="atLeast"/>
          <w:jc w:val="center"/>
        </w:trPr>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332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99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21" w:hRule="atLeast"/>
          <w:jc w:val="center"/>
        </w:trPr>
        <w:tc>
          <w:tcPr>
            <w:tcW w:w="13637" w:type="dxa"/>
            <w:gridSpan w:val="9"/>
            <w:tcBorders>
              <w:top w:val="single" w:color="auto" w:sz="4"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溆浦县环境保护局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2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18"/>
        <w:gridCol w:w="3847"/>
        <w:gridCol w:w="1709"/>
        <w:gridCol w:w="1709"/>
        <w:gridCol w:w="1566"/>
        <w:gridCol w:w="1425"/>
        <w:gridCol w:w="1281"/>
        <w:gridCol w:w="12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526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0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70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56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42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28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28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1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84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0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0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2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8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81"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1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384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0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0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2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8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81"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526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0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0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6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42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8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8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5265" w:type="dxa"/>
            <w:gridSpan w:val="2"/>
            <w:shd w:val="clear" w:color="auto" w:fill="auto"/>
            <w:noWrap/>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2218.12</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1401.44</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816.68</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847"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7"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死亡抚恤</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2034.37</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1346.78</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687.59</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环境保护管理事务</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1616.16</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1346.78</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269.38</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2110101</w:t>
            </w:r>
          </w:p>
        </w:tc>
        <w:tc>
          <w:tcPr>
            <w:tcW w:w="3847"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724.05</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724.05</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7" w:hRule="atLeast"/>
          <w:jc w:val="center"/>
        </w:trPr>
        <w:tc>
          <w:tcPr>
            <w:tcW w:w="1418"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2110199</w:t>
            </w:r>
          </w:p>
        </w:tc>
        <w:tc>
          <w:tcPr>
            <w:tcW w:w="3847"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其他环境保护管理事务支出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892.11</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622.73</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269.38</w:t>
            </w:r>
            <w:r>
              <w:rPr>
                <w:rFonts w:ascii="Times New Roman" w:hAnsi="Times New Roman" w:eastAsia="仿宋_GB2312" w:cs="Times New Roman"/>
                <w:kern w:val="0"/>
                <w:szCs w:val="21"/>
              </w:rPr>
              <w:t>　</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1418"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21102</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环境监测与监察</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7" w:hRule="atLeast"/>
          <w:jc w:val="center"/>
        </w:trPr>
        <w:tc>
          <w:tcPr>
            <w:tcW w:w="1418"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2110299</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其他环境监测与监察</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r>
              <w:rPr>
                <w:rFonts w:ascii="Times New Roman" w:hAnsi="Times New Roman" w:eastAsia="仿宋_GB2312" w:cs="Times New Roman"/>
                <w:kern w:val="0"/>
                <w:szCs w:val="21"/>
              </w:rPr>
              <w:t>　</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 w:hRule="atLeast"/>
          <w:jc w:val="center"/>
        </w:trPr>
        <w:tc>
          <w:tcPr>
            <w:tcW w:w="1418"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21103</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污染防治</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335.46</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335.46</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 w:hRule="atLeast"/>
          <w:jc w:val="center"/>
        </w:trPr>
        <w:tc>
          <w:tcPr>
            <w:tcW w:w="1418"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2110302</w:t>
            </w:r>
          </w:p>
        </w:tc>
        <w:tc>
          <w:tcPr>
            <w:tcW w:w="3847" w:type="dxa"/>
            <w:shd w:val="clear" w:color="auto" w:fill="auto"/>
            <w:noWrap/>
            <w:vAlign w:val="center"/>
          </w:tcPr>
          <w:p>
            <w:pPr>
              <w:widowControl/>
              <w:spacing w:line="240" w:lineRule="exact"/>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水体</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2110399</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其他污染防治支出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225.46</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225.46</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21111</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污染减排</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r>
              <w:rPr>
                <w:rFonts w:ascii="Times New Roman" w:hAnsi="Times New Roman" w:eastAsia="仿宋_GB2312" w:cs="Times New Roman"/>
                <w:kern w:val="0"/>
                <w:szCs w:val="21"/>
              </w:rPr>
              <w:t>　</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2111102</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生态环境执法监察</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r>
              <w:rPr>
                <w:rFonts w:ascii="Times New Roman" w:hAnsi="Times New Roman" w:eastAsia="仿宋_GB2312" w:cs="Times New Roman"/>
                <w:kern w:val="0"/>
                <w:szCs w:val="21"/>
              </w:rPr>
              <w:t>　</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97.29</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2120199</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其他城乡社区管理事务支出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21213</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城市基础设施配套费安排的支出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2121302</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城市环境卫生</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p>
        </w:tc>
        <w:tc>
          <w:tcPr>
            <w:tcW w:w="3847" w:type="dxa"/>
            <w:shd w:val="clear" w:color="auto" w:fill="auto"/>
            <w:noWrap/>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扶贫</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3847"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行政运行 </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9" w:hRule="atLeast"/>
          <w:jc w:val="center"/>
        </w:trPr>
        <w:tc>
          <w:tcPr>
            <w:tcW w:w="1418"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3847" w:type="dxa"/>
            <w:shd w:val="clear" w:color="auto" w:fill="auto"/>
            <w:noWrap/>
            <w:vAlign w:val="center"/>
          </w:tcPr>
          <w:p>
            <w:pPr>
              <w:widowControl/>
              <w:spacing w:line="240" w:lineRule="exact"/>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709"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p>
        </w:tc>
        <w:tc>
          <w:tcPr>
            <w:tcW w:w="1566"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r>
              <w:rPr>
                <w:rFonts w:ascii="Times New Roman" w:hAnsi="Times New Roman" w:eastAsia="仿宋_GB2312" w:cs="Times New Roman"/>
                <w:kern w:val="0"/>
                <w:szCs w:val="21"/>
              </w:rPr>
              <w:t>　</w:t>
            </w:r>
          </w:p>
        </w:tc>
        <w:tc>
          <w:tcPr>
            <w:tcW w:w="1425"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81" w:type="dxa"/>
            <w:shd w:val="clear" w:color="auto" w:fill="auto"/>
            <w:noWrap/>
            <w:vAlign w:val="center"/>
          </w:tcPr>
          <w:p>
            <w:pPr>
              <w:widowControl/>
              <w:spacing w:line="240" w:lineRule="exact"/>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注：本表反映部门本年度各项支出情况。</w:t>
      </w: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溆浦县环境保护局</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2113.71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八、社会保障和就业支出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十、节能环保支出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2034.37</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2034.37</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97.29</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pPr>
              <w:widowControl/>
              <w:jc w:val="lef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十二、农林水支出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2218.12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2124.83</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93.29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73.80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73.80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2280.8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2280.8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2187.51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rPr>
              <w:t>93.29</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溆浦县环境保护局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3837" w:type="dxa"/>
        <w:jc w:val="center"/>
        <w:tblLayout w:type="fixed"/>
        <w:tblCellMar>
          <w:top w:w="0" w:type="dxa"/>
          <w:left w:w="108" w:type="dxa"/>
          <w:bottom w:w="0" w:type="dxa"/>
          <w:right w:w="108" w:type="dxa"/>
        </w:tblCellMar>
      </w:tblPr>
      <w:tblGrid>
        <w:gridCol w:w="1038"/>
        <w:gridCol w:w="2915"/>
        <w:gridCol w:w="1500"/>
        <w:gridCol w:w="1756"/>
        <w:gridCol w:w="1721"/>
        <w:gridCol w:w="1108"/>
        <w:gridCol w:w="1551"/>
        <w:gridCol w:w="2248"/>
      </w:tblGrid>
      <w:tr>
        <w:tblPrEx>
          <w:tblCellMar>
            <w:top w:w="0" w:type="dxa"/>
            <w:left w:w="108" w:type="dxa"/>
            <w:bottom w:w="0" w:type="dxa"/>
            <w:right w:w="108" w:type="dxa"/>
          </w:tblCellMar>
        </w:tblPrEx>
        <w:trPr>
          <w:trHeight w:val="90" w:hRule="atLeast"/>
          <w:jc w:val="center"/>
        </w:trPr>
        <w:tc>
          <w:tcPr>
            <w:tcW w:w="395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497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490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年末结转和结余</w:t>
            </w:r>
          </w:p>
        </w:tc>
      </w:tr>
      <w:tr>
        <w:tblPrEx>
          <w:tblCellMar>
            <w:top w:w="0" w:type="dxa"/>
            <w:left w:w="108" w:type="dxa"/>
            <w:bottom w:w="0" w:type="dxa"/>
            <w:right w:w="108" w:type="dxa"/>
          </w:tblCellMar>
        </w:tblPrEx>
        <w:trPr>
          <w:trHeight w:val="946" w:hRule="atLeast"/>
          <w:jc w:val="center"/>
        </w:trPr>
        <w:tc>
          <w:tcPr>
            <w:tcW w:w="103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500"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合</w:t>
            </w:r>
            <w:r>
              <w:rPr>
                <w:rFonts w:ascii="Times New Roman" w:hAnsi="Times New Roman" w:eastAsia="仿宋_GB2312" w:cs="Times New Roman"/>
                <w:b/>
                <w:kern w:val="0"/>
                <w:szCs w:val="21"/>
              </w:rPr>
              <w:t>计</w:t>
            </w:r>
          </w:p>
        </w:tc>
        <w:tc>
          <w:tcPr>
            <w:tcW w:w="1756"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1721" w:type="dxa"/>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108" w:type="dxa"/>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合计</w:t>
            </w:r>
          </w:p>
        </w:tc>
        <w:tc>
          <w:tcPr>
            <w:tcW w:w="1551" w:type="dxa"/>
            <w:tcBorders>
              <w:top w:val="nil"/>
              <w:left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基本支出结转</w:t>
            </w:r>
          </w:p>
        </w:tc>
        <w:tc>
          <w:tcPr>
            <w:tcW w:w="2248" w:type="dxa"/>
            <w:tcBorders>
              <w:top w:val="nil"/>
              <w:left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项目支出结转和结余</w:t>
            </w:r>
          </w:p>
        </w:tc>
      </w:tr>
      <w:tr>
        <w:tblPrEx>
          <w:tblCellMar>
            <w:top w:w="0" w:type="dxa"/>
            <w:left w:w="108" w:type="dxa"/>
            <w:bottom w:w="0" w:type="dxa"/>
            <w:right w:w="108" w:type="dxa"/>
          </w:tblCellMar>
        </w:tblPrEx>
        <w:trPr>
          <w:trHeight w:val="90" w:hRule="atLeast"/>
          <w:jc w:val="center"/>
        </w:trPr>
        <w:tc>
          <w:tcPr>
            <w:tcW w:w="39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72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08"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55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2248"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p>
        </w:tc>
      </w:tr>
      <w:tr>
        <w:tblPrEx>
          <w:tblCellMar>
            <w:top w:w="0" w:type="dxa"/>
            <w:left w:w="108" w:type="dxa"/>
            <w:bottom w:w="0" w:type="dxa"/>
            <w:right w:w="108" w:type="dxa"/>
          </w:tblCellMar>
        </w:tblPrEx>
        <w:trPr>
          <w:trHeight w:val="90" w:hRule="atLeast"/>
          <w:jc w:val="center"/>
        </w:trPr>
        <w:tc>
          <w:tcPr>
            <w:tcW w:w="395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2124.83</w:t>
            </w:r>
          </w:p>
        </w:tc>
        <w:tc>
          <w:tcPr>
            <w:tcW w:w="17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1401.44</w:t>
            </w:r>
          </w:p>
        </w:tc>
        <w:tc>
          <w:tcPr>
            <w:tcW w:w="172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723.39　　　　　　　</w:t>
            </w:r>
            <w:r>
              <w:rPr>
                <w:rFonts w:ascii="Times New Roman" w:hAnsi="Times New Roman" w:eastAsia="仿宋_GB2312" w:cs="Times New Roman"/>
                <w:kern w:val="0"/>
                <w:szCs w:val="21"/>
              </w:rPr>
              <w:t>　</w:t>
            </w:r>
          </w:p>
        </w:tc>
        <w:tc>
          <w:tcPr>
            <w:tcW w:w="1108"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155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2248"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2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21" w:type="dxa"/>
            <w:tcBorders>
              <w:top w:val="nil"/>
              <w:left w:val="nil"/>
              <w:bottom w:val="single" w:color="auto" w:sz="4" w:space="0"/>
              <w:right w:val="single" w:color="auto" w:sz="8" w:space="0"/>
            </w:tcBorders>
            <w:shd w:val="clear" w:color="auto" w:fill="auto"/>
            <w:vAlign w:val="center"/>
          </w:tcPr>
          <w:p>
            <w:pPr>
              <w:widowControl/>
              <w:ind w:firstLine="1680" w:firstLineChars="800"/>
              <w:jc w:val="left"/>
              <w:rPr>
                <w:rFonts w:ascii="Times New Roman" w:hAnsi="Times New Roman" w:eastAsia="仿宋_GB2312" w:cs="Times New Roman"/>
                <w:kern w:val="0"/>
                <w:szCs w:val="21"/>
              </w:rPr>
            </w:pPr>
          </w:p>
        </w:tc>
        <w:tc>
          <w:tcPr>
            <w:tcW w:w="1108" w:type="dxa"/>
            <w:tcBorders>
              <w:top w:val="nil"/>
              <w:left w:val="nil"/>
              <w:bottom w:val="single" w:color="auto" w:sz="4" w:space="0"/>
              <w:right w:val="single" w:color="auto" w:sz="8" w:space="0"/>
            </w:tcBorders>
            <w:shd w:val="clear" w:color="auto" w:fill="auto"/>
            <w:vAlign w:val="center"/>
          </w:tcPr>
          <w:p>
            <w:pPr>
              <w:widowControl/>
              <w:ind w:firstLine="1680" w:firstLineChars="800"/>
              <w:jc w:val="right"/>
              <w:rPr>
                <w:rFonts w:ascii="Times New Roman" w:hAnsi="Times New Roman" w:eastAsia="仿宋_GB2312" w:cs="Times New Roman"/>
                <w:kern w:val="0"/>
                <w:szCs w:val="21"/>
              </w:rPr>
            </w:pPr>
          </w:p>
        </w:tc>
        <w:tc>
          <w:tcPr>
            <w:tcW w:w="1551" w:type="dxa"/>
            <w:tcBorders>
              <w:top w:val="nil"/>
              <w:left w:val="nil"/>
              <w:bottom w:val="single" w:color="auto" w:sz="4" w:space="0"/>
              <w:right w:val="single" w:color="auto" w:sz="8" w:space="0"/>
            </w:tcBorders>
            <w:shd w:val="clear" w:color="auto" w:fill="auto"/>
            <w:vAlign w:val="center"/>
          </w:tcPr>
          <w:p>
            <w:pPr>
              <w:widowControl/>
              <w:ind w:firstLine="1680" w:firstLineChars="800"/>
              <w:jc w:val="right"/>
              <w:rPr>
                <w:rFonts w:ascii="Times New Roman" w:hAnsi="Times New Roman" w:eastAsia="仿宋_GB2312" w:cs="Times New Roman"/>
                <w:kern w:val="0"/>
                <w:szCs w:val="21"/>
              </w:rPr>
            </w:pPr>
          </w:p>
        </w:tc>
        <w:tc>
          <w:tcPr>
            <w:tcW w:w="2248" w:type="dxa"/>
            <w:tcBorders>
              <w:top w:val="nil"/>
              <w:left w:val="nil"/>
              <w:bottom w:val="single" w:color="auto" w:sz="4" w:space="0"/>
              <w:right w:val="single" w:color="auto" w:sz="8" w:space="0"/>
            </w:tcBorders>
            <w:shd w:val="clear" w:color="auto" w:fill="auto"/>
            <w:vAlign w:val="center"/>
          </w:tcPr>
          <w:p>
            <w:pPr>
              <w:widowControl/>
              <w:ind w:firstLine="1680" w:firstLineChars="800"/>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2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21"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1108"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c>
          <w:tcPr>
            <w:tcW w:w="155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c>
          <w:tcPr>
            <w:tcW w:w="2248"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6" w:hRule="atLeast"/>
          <w:jc w:val="center"/>
        </w:trPr>
        <w:tc>
          <w:tcPr>
            <w:tcW w:w="103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2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死亡抚恤</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37.97</w:t>
            </w:r>
          </w:p>
        </w:tc>
        <w:tc>
          <w:tcPr>
            <w:tcW w:w="1721"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1108"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c>
          <w:tcPr>
            <w:tcW w:w="155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c>
          <w:tcPr>
            <w:tcW w:w="2248"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2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2034.37</w:t>
            </w:r>
          </w:p>
        </w:tc>
        <w:tc>
          <w:tcPr>
            <w:tcW w:w="17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1346.78</w:t>
            </w:r>
          </w:p>
        </w:tc>
        <w:tc>
          <w:tcPr>
            <w:tcW w:w="172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687.59</w:t>
            </w:r>
          </w:p>
        </w:tc>
        <w:tc>
          <w:tcPr>
            <w:tcW w:w="1108"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155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2248"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w:t>
            </w:r>
          </w:p>
        </w:tc>
        <w:tc>
          <w:tcPr>
            <w:tcW w:w="2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环境保护管理事务</w:t>
            </w:r>
          </w:p>
        </w:tc>
        <w:tc>
          <w:tcPr>
            <w:tcW w:w="15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1616.16</w:t>
            </w:r>
          </w:p>
        </w:tc>
        <w:tc>
          <w:tcPr>
            <w:tcW w:w="175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1346.78</w:t>
            </w:r>
          </w:p>
        </w:tc>
        <w:tc>
          <w:tcPr>
            <w:tcW w:w="172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269.38</w:t>
            </w:r>
          </w:p>
        </w:tc>
        <w:tc>
          <w:tcPr>
            <w:tcW w:w="1108"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155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2248"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2110101</w:t>
            </w:r>
          </w:p>
        </w:tc>
        <w:tc>
          <w:tcPr>
            <w:tcW w:w="2915"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724.05</w:t>
            </w:r>
          </w:p>
        </w:tc>
        <w:tc>
          <w:tcPr>
            <w:tcW w:w="175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724.05</w:t>
            </w:r>
          </w:p>
        </w:tc>
        <w:tc>
          <w:tcPr>
            <w:tcW w:w="172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c>
          <w:tcPr>
            <w:tcW w:w="1108"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c>
          <w:tcPr>
            <w:tcW w:w="155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c>
          <w:tcPr>
            <w:tcW w:w="224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2110199</w:t>
            </w:r>
          </w:p>
        </w:tc>
        <w:tc>
          <w:tcPr>
            <w:tcW w:w="2915"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其他环境保护管理事务支出 </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892.11</w:t>
            </w:r>
          </w:p>
        </w:tc>
        <w:tc>
          <w:tcPr>
            <w:tcW w:w="175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622.73</w:t>
            </w:r>
          </w:p>
        </w:tc>
        <w:tc>
          <w:tcPr>
            <w:tcW w:w="172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269.38</w:t>
            </w:r>
          </w:p>
        </w:tc>
        <w:tc>
          <w:tcPr>
            <w:tcW w:w="1108"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155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62.68</w:t>
            </w:r>
          </w:p>
        </w:tc>
        <w:tc>
          <w:tcPr>
            <w:tcW w:w="224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21102</w:t>
            </w:r>
          </w:p>
        </w:tc>
        <w:tc>
          <w:tcPr>
            <w:tcW w:w="2915"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环境监测与监察</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75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10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2110299</w:t>
            </w:r>
          </w:p>
        </w:tc>
        <w:tc>
          <w:tcPr>
            <w:tcW w:w="2915"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其他环境监测与监察支出</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75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w:t>
            </w:r>
          </w:p>
        </w:tc>
        <w:tc>
          <w:tcPr>
            <w:tcW w:w="110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21103</w:t>
            </w:r>
          </w:p>
        </w:tc>
        <w:tc>
          <w:tcPr>
            <w:tcW w:w="2915"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污染防治</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335.46</w:t>
            </w:r>
          </w:p>
        </w:tc>
        <w:tc>
          <w:tcPr>
            <w:tcW w:w="175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335.46</w:t>
            </w:r>
          </w:p>
        </w:tc>
        <w:tc>
          <w:tcPr>
            <w:tcW w:w="110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2110302</w:t>
            </w:r>
          </w:p>
        </w:tc>
        <w:tc>
          <w:tcPr>
            <w:tcW w:w="2915" w:type="dxa"/>
            <w:tcBorders>
              <w:top w:val="nil"/>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水体</w:t>
            </w:r>
          </w:p>
        </w:tc>
        <w:tc>
          <w:tcPr>
            <w:tcW w:w="150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w:t>
            </w:r>
          </w:p>
        </w:tc>
        <w:tc>
          <w:tcPr>
            <w:tcW w:w="175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110</w:t>
            </w:r>
          </w:p>
        </w:tc>
        <w:tc>
          <w:tcPr>
            <w:tcW w:w="110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2110399</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其他污染防治支出</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225.46</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225.46</w:t>
            </w:r>
            <w:r>
              <w:rPr>
                <w:rFonts w:ascii="Times New Roman" w:hAnsi="Times New Roman" w:eastAsia="仿宋_GB2312" w:cs="Times New Roman"/>
                <w:kern w:val="0"/>
                <w:szCs w:val="21"/>
              </w:rPr>
              <w:t>　</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21111</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污染减排</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2111102</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生态环境执法监察</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2120199</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其他城乡社区管理事务支出</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扶贫</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48.49</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2130501</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12.68</w:t>
            </w: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29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农村基础设施建设</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75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72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35.81</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224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r>
        <w:rPr>
          <w:rFonts w:ascii="Times New Roman" w:hAnsi="Times New Roman" w:eastAsia="方正小标宋_GBK" w:cs="Times New Roman"/>
          <w:color w:val="000000"/>
          <w:kern w:val="0"/>
          <w:sz w:val="28"/>
          <w:szCs w:val="36"/>
        </w:rPr>
        <w:t>一般公共预算财政拨款基本支出决算表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溆浦县环境保护局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3119"/>
        <w:gridCol w:w="1134"/>
        <w:gridCol w:w="1019"/>
        <w:gridCol w:w="2099"/>
        <w:gridCol w:w="1054"/>
        <w:gridCol w:w="1076"/>
        <w:gridCol w:w="4107"/>
        <w:gridCol w:w="114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1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9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10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11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994.3</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321.85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520.17</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99.52</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213.78</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41.2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19.67</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7.74</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22.1</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33.45</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12.62</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33.74</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7.98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12.67</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84.62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56.6</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3.16</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6.57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11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44.07</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5.84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6.91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37.03</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13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0.95</w:t>
            </w: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0.89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1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1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13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8.31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134" w:type="dxa"/>
            <w:tcBorders>
              <w:top w:val="nil"/>
              <w:left w:val="nil"/>
              <w:bottom w:val="single" w:color="auto" w:sz="8" w:space="0"/>
              <w:right w:val="single" w:color="auto" w:sz="8" w:space="0"/>
            </w:tcBorders>
            <w:shd w:val="clear" w:color="auto" w:fill="auto"/>
            <w:noWrap/>
          </w:tcPr>
          <w:p>
            <w:pPr>
              <w:widowControl/>
              <w:ind w:firstLine="540" w:firstLineChars="300"/>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1.26</w:t>
            </w:r>
          </w:p>
        </w:tc>
        <w:tc>
          <w:tcPr>
            <w:tcW w:w="101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1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54"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119"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134" w:type="dxa"/>
            <w:tcBorders>
              <w:top w:val="single" w:color="auto" w:sz="8" w:space="0"/>
              <w:left w:val="nil"/>
              <w:bottom w:val="single" w:color="auto" w:sz="8" w:space="0"/>
              <w:right w:val="single" w:color="auto" w:sz="8" w:space="0"/>
            </w:tcBorders>
            <w:shd w:val="clear" w:color="auto" w:fill="auto"/>
            <w:noWrap/>
          </w:tcPr>
          <w:p>
            <w:pPr>
              <w:widowControl/>
              <w:ind w:firstLine="540" w:firstLineChars="300"/>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4.83</w:t>
            </w:r>
          </w:p>
        </w:tc>
        <w:tc>
          <w:tcPr>
            <w:tcW w:w="1019"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099"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54" w:type="dxa"/>
            <w:tcBorders>
              <w:top w:val="single" w:color="auto" w:sz="8" w:space="0"/>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1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3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1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4"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19" w:type="dxa"/>
            <w:tcBorders>
              <w:top w:val="nil"/>
              <w:left w:val="nil"/>
              <w:bottom w:val="single" w:color="auto" w:sz="4"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34" w:type="dxa"/>
            <w:tcBorders>
              <w:top w:val="nil"/>
              <w:left w:val="nil"/>
              <w:bottom w:val="single" w:color="auto" w:sz="4"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19" w:type="dxa"/>
            <w:tcBorders>
              <w:top w:val="nil"/>
              <w:left w:val="nil"/>
              <w:bottom w:val="single" w:color="auto" w:sz="4"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099" w:type="dxa"/>
            <w:tcBorders>
              <w:top w:val="nil"/>
              <w:left w:val="nil"/>
              <w:bottom w:val="single" w:color="auto" w:sz="4"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54" w:type="dxa"/>
            <w:tcBorders>
              <w:top w:val="nil"/>
              <w:left w:val="nil"/>
              <w:bottom w:val="single" w:color="auto" w:sz="4"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124.04</w:t>
            </w:r>
          </w:p>
        </w:tc>
        <w:tc>
          <w:tcPr>
            <w:tcW w:w="1076" w:type="dxa"/>
            <w:tcBorders>
              <w:top w:val="nil"/>
              <w:left w:val="nil"/>
              <w:bottom w:val="single" w:color="auto" w:sz="4"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nil"/>
              <w:left w:val="nil"/>
              <w:bottom w:val="single" w:color="auto" w:sz="4"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nil"/>
              <w:left w:val="nil"/>
              <w:bottom w:val="single" w:color="auto" w:sz="4"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268" w:type="dxa"/>
            <w:gridSpan w:val="2"/>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1038.4</w:t>
            </w:r>
          </w:p>
        </w:tc>
        <w:tc>
          <w:tcPr>
            <w:tcW w:w="9355" w:type="dxa"/>
            <w:gridSpan w:val="5"/>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363.04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溆浦县环境保护局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5.84</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溆浦县环境保护局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0"/>
        <w:gridCol w:w="2409"/>
        <w:gridCol w:w="1721"/>
        <w:gridCol w:w="13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419"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721"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3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409"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721" w:type="dxa"/>
            <w:vMerge w:val="continue"/>
            <w:vAlign w:val="center"/>
          </w:tcPr>
          <w:p>
            <w:pPr>
              <w:widowControl/>
              <w:jc w:val="left"/>
              <w:rPr>
                <w:rFonts w:ascii="Times New Roman" w:hAnsi="Times New Roman" w:eastAsia="仿宋_GB2312" w:cs="Times New Roman"/>
                <w:b/>
                <w:kern w:val="0"/>
                <w:szCs w:val="21"/>
              </w:rPr>
            </w:pPr>
          </w:p>
        </w:tc>
        <w:tc>
          <w:tcPr>
            <w:tcW w:w="13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vMerge w:val="continue"/>
            <w:vAlign w:val="center"/>
          </w:tcPr>
          <w:p>
            <w:pPr>
              <w:widowControl/>
              <w:jc w:val="left"/>
              <w:rPr>
                <w:rFonts w:ascii="Times New Roman" w:hAnsi="Times New Roman" w:eastAsia="仿宋_GB2312" w:cs="Times New Roman"/>
                <w:kern w:val="0"/>
                <w:szCs w:val="21"/>
              </w:rPr>
            </w:pPr>
          </w:p>
        </w:tc>
        <w:tc>
          <w:tcPr>
            <w:tcW w:w="2409" w:type="dxa"/>
            <w:vMerge w:val="continue"/>
            <w:vAlign w:val="center"/>
          </w:tcPr>
          <w:p>
            <w:pPr>
              <w:widowControl/>
              <w:jc w:val="left"/>
              <w:rPr>
                <w:rFonts w:ascii="Times New Roman" w:hAnsi="Times New Roman" w:eastAsia="仿宋_GB2312" w:cs="Times New Roman"/>
                <w:kern w:val="0"/>
                <w:szCs w:val="21"/>
              </w:rPr>
            </w:pPr>
          </w:p>
        </w:tc>
        <w:tc>
          <w:tcPr>
            <w:tcW w:w="1721" w:type="dxa"/>
            <w:vMerge w:val="continue"/>
            <w:vAlign w:val="center"/>
          </w:tcPr>
          <w:p>
            <w:pPr>
              <w:widowControl/>
              <w:jc w:val="left"/>
              <w:rPr>
                <w:rFonts w:ascii="Times New Roman" w:hAnsi="Times New Roman" w:eastAsia="仿宋_GB2312" w:cs="Times New Roman"/>
                <w:kern w:val="0"/>
                <w:szCs w:val="21"/>
              </w:rPr>
            </w:pPr>
          </w:p>
        </w:tc>
        <w:tc>
          <w:tcPr>
            <w:tcW w:w="13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vMerge w:val="continue"/>
            <w:vAlign w:val="center"/>
          </w:tcPr>
          <w:p>
            <w:pPr>
              <w:widowControl/>
              <w:jc w:val="left"/>
              <w:rPr>
                <w:rFonts w:ascii="Times New Roman" w:hAnsi="Times New Roman" w:eastAsia="仿宋_GB2312" w:cs="Times New Roman"/>
                <w:kern w:val="0"/>
                <w:szCs w:val="21"/>
              </w:rPr>
            </w:pPr>
          </w:p>
        </w:tc>
        <w:tc>
          <w:tcPr>
            <w:tcW w:w="2409" w:type="dxa"/>
            <w:vMerge w:val="continue"/>
            <w:vAlign w:val="center"/>
          </w:tcPr>
          <w:p>
            <w:pPr>
              <w:widowControl/>
              <w:jc w:val="left"/>
              <w:rPr>
                <w:rFonts w:ascii="Times New Roman" w:hAnsi="Times New Roman" w:eastAsia="仿宋_GB2312" w:cs="Times New Roman"/>
                <w:kern w:val="0"/>
                <w:szCs w:val="21"/>
              </w:rPr>
            </w:pPr>
          </w:p>
        </w:tc>
        <w:tc>
          <w:tcPr>
            <w:tcW w:w="1721" w:type="dxa"/>
            <w:vMerge w:val="continue"/>
            <w:vAlign w:val="center"/>
          </w:tcPr>
          <w:p>
            <w:pPr>
              <w:widowControl/>
              <w:jc w:val="left"/>
              <w:rPr>
                <w:rFonts w:ascii="Times New Roman" w:hAnsi="Times New Roman" w:eastAsia="仿宋_GB2312" w:cs="Times New Roman"/>
                <w:kern w:val="0"/>
                <w:szCs w:val="21"/>
              </w:rPr>
            </w:pPr>
          </w:p>
        </w:tc>
        <w:tc>
          <w:tcPr>
            <w:tcW w:w="13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419"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2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419"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21" w:type="dxa"/>
            <w:shd w:val="clear" w:color="auto" w:fill="auto"/>
            <w:vAlign w:val="center"/>
          </w:tcPr>
          <w:p>
            <w:pPr>
              <w:widowControl/>
              <w:jc w:val="center"/>
              <w:rPr>
                <w:rFonts w:ascii="Times New Roman" w:hAnsi="Times New Roman" w:eastAsia="仿宋_GB2312" w:cs="Times New Roman"/>
                <w:kern w:val="0"/>
                <w:szCs w:val="21"/>
              </w:rPr>
            </w:pPr>
          </w:p>
        </w:tc>
        <w:tc>
          <w:tcPr>
            <w:tcW w:w="13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shd w:val="clear" w:color="auto" w:fill="auto"/>
            <w:vAlign w:val="center"/>
          </w:tcPr>
          <w:p>
            <w:pPr>
              <w:widowControl/>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212</w:t>
            </w:r>
            <w:r>
              <w:rPr>
                <w:rFonts w:ascii="Times New Roman" w:hAnsi="Times New Roman" w:eastAsia="仿宋_GB2312" w:cs="Times New Roman"/>
                <w:kern w:val="0"/>
                <w:sz w:val="18"/>
                <w:szCs w:val="18"/>
              </w:rPr>
              <w:t>　</w:t>
            </w:r>
          </w:p>
        </w:tc>
        <w:tc>
          <w:tcPr>
            <w:tcW w:w="2409" w:type="dxa"/>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城乡社区支出</w:t>
            </w:r>
          </w:p>
        </w:tc>
        <w:tc>
          <w:tcPr>
            <w:tcW w:w="172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w:t>
            </w:r>
            <w:r>
              <w:rPr>
                <w:rFonts w:hint="eastAsia" w:ascii="Times New Roman" w:hAnsi="Times New Roman" w:eastAsia="仿宋_GB2312" w:cs="Times New Roman"/>
                <w:kern w:val="0"/>
                <w:szCs w:val="21"/>
              </w:rPr>
              <w:t>93.29</w:t>
            </w:r>
          </w:p>
        </w:tc>
        <w:tc>
          <w:tcPr>
            <w:tcW w:w="2000" w:type="dxa"/>
            <w:shd w:val="clear" w:color="auto" w:fill="auto"/>
            <w:vAlign w:val="center"/>
          </w:tcPr>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shd w:val="clear" w:color="auto" w:fill="auto"/>
            <w:vAlign w:val="center"/>
          </w:tcPr>
          <w:p>
            <w:pPr>
              <w:widowControl/>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21213</w:t>
            </w:r>
          </w:p>
        </w:tc>
        <w:tc>
          <w:tcPr>
            <w:tcW w:w="2409" w:type="dxa"/>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城市基础设施配套费安排的支出</w:t>
            </w:r>
            <w:r>
              <w:rPr>
                <w:rFonts w:ascii="Times New Roman" w:hAnsi="Times New Roman" w:eastAsia="仿宋_GB2312" w:cs="Times New Roman"/>
                <w:kern w:val="0"/>
                <w:sz w:val="18"/>
                <w:szCs w:val="18"/>
              </w:rPr>
              <w:t>　</w:t>
            </w:r>
          </w:p>
        </w:tc>
        <w:tc>
          <w:tcPr>
            <w:tcW w:w="172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w:t>
            </w:r>
            <w:r>
              <w:rPr>
                <w:rFonts w:hint="eastAsia" w:ascii="Times New Roman" w:hAnsi="Times New Roman" w:eastAsia="仿宋_GB2312" w:cs="Times New Roman"/>
                <w:kern w:val="0"/>
                <w:szCs w:val="21"/>
              </w:rPr>
              <w:t>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shd w:val="clear" w:color="auto" w:fill="auto"/>
            <w:vAlign w:val="center"/>
          </w:tcPr>
          <w:p>
            <w:pPr>
              <w:widowControl/>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2121302</w:t>
            </w:r>
          </w:p>
        </w:tc>
        <w:tc>
          <w:tcPr>
            <w:tcW w:w="2409" w:type="dxa"/>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城市环境卫生</w:t>
            </w:r>
            <w:r>
              <w:rPr>
                <w:rFonts w:ascii="Times New Roman" w:hAnsi="Times New Roman" w:eastAsia="仿宋_GB2312" w:cs="Times New Roman"/>
                <w:kern w:val="0"/>
                <w:sz w:val="18"/>
                <w:szCs w:val="18"/>
              </w:rPr>
              <w:t>　</w:t>
            </w:r>
          </w:p>
        </w:tc>
        <w:tc>
          <w:tcPr>
            <w:tcW w:w="172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0" w:type="dxa"/>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93.29</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40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2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40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2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1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40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2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p>
    <w:p>
      <w:pPr>
        <w:widowControl/>
        <w:jc w:val="center"/>
        <w:rPr>
          <w:rFonts w:hint="eastAsia" w:ascii="黑体" w:hAnsi="黑体" w:eastAsia="黑体" w:cs="黑体"/>
          <w:b/>
          <w:bCs/>
          <w:kern w:val="0"/>
          <w:sz w:val="48"/>
          <w:szCs w:val="48"/>
        </w:rPr>
      </w:pPr>
      <w:r>
        <w:rPr>
          <w:rFonts w:hint="eastAsia" w:ascii="黑体" w:hAnsi="黑体" w:eastAsia="黑体" w:cs="黑体"/>
          <w:b/>
          <w:bCs/>
          <w:kern w:val="0"/>
          <w:sz w:val="48"/>
          <w:szCs w:val="48"/>
        </w:rPr>
        <w:t>第三部分</w:t>
      </w:r>
    </w:p>
    <w:p>
      <w:pPr>
        <w:widowControl/>
        <w:jc w:val="center"/>
        <w:rPr>
          <w:rFonts w:hint="eastAsia" w:ascii="黑体" w:hAnsi="黑体" w:eastAsia="黑体" w:cs="黑体"/>
          <w:b/>
          <w:bCs/>
          <w:kern w:val="0"/>
          <w:sz w:val="48"/>
          <w:szCs w:val="48"/>
        </w:rPr>
      </w:pPr>
    </w:p>
    <w:p>
      <w:pPr>
        <w:widowControl/>
        <w:jc w:val="center"/>
        <w:rPr>
          <w:rFonts w:ascii="黑体" w:hAnsi="黑体" w:eastAsia="黑体" w:cs="黑体"/>
          <w:b/>
          <w:bCs/>
          <w:kern w:val="0"/>
          <w:sz w:val="48"/>
          <w:szCs w:val="48"/>
        </w:rPr>
      </w:pPr>
      <w:r>
        <w:rPr>
          <w:rFonts w:hint="eastAsia" w:ascii="黑体" w:hAnsi="黑体" w:eastAsia="黑体" w:cs="黑体"/>
          <w:b/>
          <w:bCs/>
          <w:kern w:val="0"/>
          <w:sz w:val="48"/>
          <w:szCs w:val="48"/>
        </w:rPr>
        <w:t>2019年度部门决算情况说明</w:t>
      </w: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ind w:firstLine="643" w:firstLineChars="200"/>
        <w:rPr>
          <w:rFonts w:hint="eastAsia" w:ascii="宋体" w:hAnsi="宋体" w:cs="黑体"/>
          <w:b/>
          <w:kern w:val="0"/>
          <w:sz w:val="32"/>
          <w:szCs w:val="32"/>
        </w:rPr>
      </w:pPr>
    </w:p>
    <w:p>
      <w:pPr>
        <w:widowControl/>
        <w:spacing w:line="600" w:lineRule="exact"/>
        <w:rPr>
          <w:rFonts w:hint="eastAsia" w:ascii="宋体" w:hAnsi="宋体" w:cs="黑体"/>
          <w:b/>
          <w:kern w:val="0"/>
          <w:sz w:val="32"/>
          <w:szCs w:val="32"/>
        </w:rPr>
      </w:pPr>
    </w:p>
    <w:p>
      <w:pPr>
        <w:widowControl/>
        <w:spacing w:line="600" w:lineRule="exact"/>
        <w:rPr>
          <w:rFonts w:hint="eastAsia" w:ascii="宋体" w:hAnsi="宋体" w:cs="黑体"/>
          <w:b/>
          <w:kern w:val="0"/>
          <w:sz w:val="32"/>
          <w:szCs w:val="32"/>
        </w:rPr>
      </w:pPr>
    </w:p>
    <w:p>
      <w:pPr>
        <w:widowControl/>
        <w:spacing w:line="600" w:lineRule="exact"/>
        <w:ind w:firstLine="643" w:firstLineChars="200"/>
        <w:rPr>
          <w:rFonts w:eastAsia="仿宋_GB2312"/>
          <w:b/>
          <w:bCs/>
          <w:kern w:val="0"/>
          <w:sz w:val="32"/>
          <w:szCs w:val="32"/>
        </w:rPr>
      </w:pPr>
      <w:r>
        <w:rPr>
          <w:rFonts w:hint="eastAsia" w:ascii="宋体" w:hAnsi="宋体" w:cs="黑体"/>
          <w:b/>
          <w:kern w:val="0"/>
          <w:sz w:val="32"/>
          <w:szCs w:val="32"/>
        </w:rPr>
        <w:t>一、收入支出决算总体情况说明</w:t>
      </w:r>
    </w:p>
    <w:p>
      <w:pPr>
        <w:widowControl/>
        <w:ind w:firstLine="640" w:firstLineChars="200"/>
        <w:rPr>
          <w:rFonts w:ascii="仿宋" w:hAnsi="仿宋" w:eastAsia="仿宋"/>
          <w:b/>
          <w:bCs/>
          <w:kern w:val="0"/>
          <w:sz w:val="32"/>
          <w:szCs w:val="32"/>
        </w:rPr>
      </w:pPr>
      <w:r>
        <w:rPr>
          <w:rFonts w:hint="eastAsia" w:ascii="仿宋" w:hAnsi="仿宋" w:eastAsia="仿宋"/>
          <w:kern w:val="0"/>
          <w:sz w:val="32"/>
          <w:szCs w:val="32"/>
        </w:rPr>
        <w:t>2019年度收、支总计2280.8万元。与2018年度收支相比减少894.12万元，减幅26.72%，主要是因为节能环保支出收入的减少。</w:t>
      </w:r>
    </w:p>
    <w:p>
      <w:pPr>
        <w:widowControl/>
        <w:spacing w:line="600" w:lineRule="exact"/>
        <w:ind w:firstLine="643" w:firstLineChars="200"/>
        <w:jc w:val="left"/>
        <w:rPr>
          <w:rFonts w:ascii="宋体" w:hAnsi="宋体"/>
          <w:b/>
          <w:kern w:val="0"/>
          <w:sz w:val="32"/>
          <w:szCs w:val="32"/>
        </w:rPr>
      </w:pPr>
      <w:r>
        <w:rPr>
          <w:rFonts w:hint="eastAsia" w:ascii="宋体" w:hAnsi="宋体" w:cs="黑体"/>
          <w:b/>
          <w:kern w:val="0"/>
          <w:sz w:val="32"/>
          <w:szCs w:val="32"/>
        </w:rPr>
        <w:t>二、收入决算情况说明</w:t>
      </w:r>
    </w:p>
    <w:p>
      <w:pPr>
        <w:widowControl/>
        <w:spacing w:line="60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本年收入合计2207万元，其中：财政拨款收入2207万元，占100%；上级补助收入为0万元，占0%；事业收入为0万元，占0%；经营收入为0万元，占0%；附属单位上缴收入为0万元，占0%；其他收入为0万元，占0%。</w:t>
      </w:r>
    </w:p>
    <w:p>
      <w:pPr>
        <w:pStyle w:val="6"/>
        <w:shd w:val="clear" w:color="auto" w:fill="FFFFFF"/>
        <w:spacing w:before="0" w:beforeAutospacing="0" w:after="0" w:afterAutospacing="0" w:line="480" w:lineRule="auto"/>
        <w:ind w:firstLine="803" w:firstLineChars="250"/>
        <w:jc w:val="both"/>
        <w:rPr>
          <w:rFonts w:cs="黑体"/>
          <w:b/>
          <w:sz w:val="32"/>
          <w:szCs w:val="32"/>
        </w:rPr>
      </w:pPr>
      <w:r>
        <w:rPr>
          <w:rFonts w:hint="eastAsia" w:cs="黑体"/>
          <w:b/>
          <w:sz w:val="32"/>
          <w:szCs w:val="32"/>
        </w:rPr>
        <w:t>三、支出决算情况说明</w:t>
      </w:r>
    </w:p>
    <w:p>
      <w:pPr>
        <w:pStyle w:val="6"/>
        <w:shd w:val="clear" w:color="auto" w:fill="FFFFFF"/>
        <w:spacing w:before="0" w:beforeAutospacing="0" w:after="0" w:afterAutospacing="0" w:line="480" w:lineRule="auto"/>
        <w:ind w:firstLine="690" w:firstLineChars="250"/>
        <w:jc w:val="both"/>
        <w:rPr>
          <w:spacing w:val="-2"/>
          <w:kern w:val="2"/>
          <w:sz w:val="28"/>
          <w:szCs w:val="28"/>
        </w:rPr>
      </w:pPr>
      <w:r>
        <w:rPr>
          <w:rFonts w:hint="eastAsia"/>
          <w:spacing w:val="-2"/>
          <w:kern w:val="2"/>
          <w:sz w:val="28"/>
          <w:szCs w:val="28"/>
        </w:rPr>
        <w:t>本年支出合计2218.12</w:t>
      </w:r>
      <w:r>
        <w:rPr>
          <w:rFonts w:hint="eastAsia" w:ascii="仿宋" w:hAnsi="仿宋" w:eastAsia="仿宋"/>
          <w:sz w:val="32"/>
          <w:szCs w:val="32"/>
        </w:rPr>
        <w:t>万元</w:t>
      </w:r>
      <w:r>
        <w:rPr>
          <w:rFonts w:hint="eastAsia"/>
          <w:spacing w:val="-2"/>
          <w:kern w:val="2"/>
          <w:sz w:val="28"/>
          <w:szCs w:val="28"/>
        </w:rPr>
        <w:t>，其中：基本支出1401.44万元，占63.18%，项目支出816.68万元，占36.82%。上级上缴支出0万元，占0%，经营支出0万元，占0%，对附属单位补助支出0万元，占0%。</w:t>
      </w:r>
    </w:p>
    <w:p>
      <w:pPr>
        <w:widowControl/>
        <w:spacing w:line="600" w:lineRule="exact"/>
        <w:ind w:firstLine="790" w:firstLineChars="246"/>
        <w:jc w:val="left"/>
        <w:rPr>
          <w:rFonts w:ascii="宋体" w:hAnsi="宋体"/>
          <w:b/>
          <w:kern w:val="0"/>
          <w:sz w:val="32"/>
          <w:szCs w:val="32"/>
        </w:rPr>
      </w:pPr>
      <w:r>
        <w:rPr>
          <w:rFonts w:hint="eastAsia" w:ascii="宋体" w:hAnsi="宋体" w:cs="黑体"/>
          <w:b/>
          <w:kern w:val="0"/>
          <w:sz w:val="32"/>
          <w:szCs w:val="32"/>
        </w:rPr>
        <w:t>四、财政拨款收入支出决算总体情况说明</w:t>
      </w:r>
    </w:p>
    <w:p>
      <w:pPr>
        <w:widowControl/>
        <w:spacing w:line="60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2019年度财政拨款收、支总计2280.8万元，与2018年相比，减少894.12万元，减幅26.72%，主要是公用经费和项目资金的减少。</w:t>
      </w:r>
    </w:p>
    <w:p>
      <w:pPr>
        <w:widowControl/>
        <w:spacing w:line="600" w:lineRule="exact"/>
        <w:ind w:firstLine="630" w:firstLineChars="196"/>
        <w:jc w:val="left"/>
        <w:rPr>
          <w:rFonts w:hint="eastAsia" w:ascii="宋体" w:hAnsi="宋体" w:cs="黑体"/>
          <w:b/>
          <w:kern w:val="0"/>
          <w:sz w:val="32"/>
          <w:szCs w:val="32"/>
        </w:rPr>
      </w:pPr>
      <w:r>
        <w:rPr>
          <w:rFonts w:hint="eastAsia" w:ascii="宋体" w:hAnsi="宋体" w:cs="黑体"/>
          <w:b/>
          <w:kern w:val="0"/>
          <w:sz w:val="32"/>
          <w:szCs w:val="32"/>
        </w:rPr>
        <w:t>五、一般公共预算财政拨款支出决算情况说明</w:t>
      </w:r>
    </w:p>
    <w:p>
      <w:pPr>
        <w:widowControl/>
        <w:spacing w:line="600" w:lineRule="exact"/>
        <w:ind w:firstLine="627" w:firstLineChars="196"/>
        <w:jc w:val="left"/>
        <w:rPr>
          <w:rFonts w:hint="eastAsia" w:ascii="宋体" w:hAnsi="宋体" w:cs="黑体"/>
          <w:b/>
          <w:kern w:val="0"/>
          <w:sz w:val="32"/>
          <w:szCs w:val="32"/>
        </w:rPr>
      </w:pPr>
      <w:r>
        <w:rPr>
          <w:rFonts w:hint="eastAsia" w:ascii="仿宋" w:hAnsi="仿宋" w:eastAsia="仿宋"/>
          <w:kern w:val="0"/>
          <w:sz w:val="32"/>
          <w:szCs w:val="32"/>
        </w:rPr>
        <w:t>（一）财政拨款支出决算总体情况</w:t>
      </w:r>
    </w:p>
    <w:p>
      <w:pPr>
        <w:widowControl/>
        <w:spacing w:line="600" w:lineRule="exact"/>
        <w:ind w:firstLine="627" w:firstLineChars="196"/>
        <w:jc w:val="left"/>
        <w:rPr>
          <w:rFonts w:hint="eastAsia" w:ascii="宋体" w:hAnsi="宋体" w:cs="黑体"/>
          <w:b/>
          <w:kern w:val="0"/>
          <w:sz w:val="32"/>
          <w:szCs w:val="32"/>
        </w:rPr>
      </w:pPr>
      <w:r>
        <w:rPr>
          <w:rFonts w:hint="eastAsia" w:ascii="仿宋" w:hAnsi="仿宋" w:eastAsia="仿宋"/>
          <w:kern w:val="0"/>
          <w:sz w:val="32"/>
          <w:szCs w:val="32"/>
        </w:rPr>
        <w:t>2019年财政拨款支出2124.83万元，占本年支出合计的93.16 %，与2018年相比，财政拨款支出减少894.12万元，减幅26.72%；主要是因为人员经费减少0.34万元，日常公用经费减少306.91万元，，项目支出减少586.87万元）。</w:t>
      </w:r>
    </w:p>
    <w:p>
      <w:pPr>
        <w:widowControl/>
        <w:spacing w:line="600" w:lineRule="exact"/>
        <w:ind w:firstLine="627" w:firstLineChars="196"/>
        <w:jc w:val="left"/>
        <w:rPr>
          <w:rFonts w:hint="eastAsia" w:ascii="宋体" w:hAnsi="宋体" w:cs="黑体"/>
          <w:b/>
          <w:kern w:val="0"/>
          <w:sz w:val="32"/>
          <w:szCs w:val="32"/>
        </w:rPr>
      </w:pPr>
      <w:r>
        <w:rPr>
          <w:rFonts w:hint="eastAsia" w:ascii="仿宋_GB2312" w:hAnsi="宋体" w:eastAsia="仿宋_GB2312"/>
          <w:kern w:val="0"/>
          <w:sz w:val="32"/>
          <w:szCs w:val="32"/>
        </w:rPr>
        <w:t>（二）财政拨款支出决算结构情况。</w:t>
      </w:r>
    </w:p>
    <w:p>
      <w:pPr>
        <w:widowControl/>
        <w:spacing w:line="600" w:lineRule="exact"/>
        <w:ind w:firstLine="627" w:firstLineChars="196"/>
        <w:jc w:val="left"/>
        <w:rPr>
          <w:rFonts w:hint="eastAsia" w:ascii="宋体" w:hAnsi="宋体" w:cs="黑体"/>
          <w:b/>
          <w:kern w:val="0"/>
          <w:sz w:val="32"/>
          <w:szCs w:val="32"/>
        </w:rPr>
      </w:pPr>
      <w:r>
        <w:rPr>
          <w:rFonts w:hint="eastAsia" w:ascii="仿宋" w:hAnsi="仿宋" w:eastAsia="仿宋"/>
          <w:kern w:val="0"/>
          <w:sz w:val="32"/>
          <w:szCs w:val="32"/>
        </w:rPr>
        <w:t>2019年度财政拨款支出2124.83万元，主要用于社会保障和就业支出37.97万元，占1.79%；节能环保支出2034.37万元，占95.74%；城乡社区支出4万元，占0.19%；农林水支出48.49万元，占2.28%。</w:t>
      </w:r>
      <w:r>
        <w:rPr>
          <w:rFonts w:hint="eastAsia" w:ascii="宋体" w:hAnsi="宋体" w:cs="黑体"/>
          <w:b/>
          <w:kern w:val="0"/>
          <w:sz w:val="32"/>
          <w:szCs w:val="32"/>
        </w:rPr>
        <w:t xml:space="preserve"> </w:t>
      </w:r>
    </w:p>
    <w:p>
      <w:pPr>
        <w:widowControl/>
        <w:spacing w:line="600" w:lineRule="exact"/>
        <w:ind w:firstLine="627" w:firstLineChars="196"/>
        <w:jc w:val="left"/>
        <w:rPr>
          <w:rFonts w:hint="eastAsia" w:ascii="宋体" w:hAnsi="宋体" w:cs="黑体"/>
          <w:b/>
          <w:kern w:val="0"/>
          <w:sz w:val="32"/>
          <w:szCs w:val="32"/>
        </w:rPr>
      </w:pPr>
      <w:r>
        <w:rPr>
          <w:rFonts w:hint="eastAsia" w:ascii="仿宋_GB2312" w:hAnsi="宋体" w:eastAsia="仿宋_GB2312"/>
          <w:kern w:val="0"/>
          <w:sz w:val="32"/>
          <w:szCs w:val="32"/>
        </w:rPr>
        <w:t>（三）财政拨款支出决算具体情况。</w:t>
      </w:r>
    </w:p>
    <w:p>
      <w:pPr>
        <w:widowControl/>
        <w:spacing w:line="600" w:lineRule="exact"/>
        <w:ind w:firstLine="627" w:firstLineChars="196"/>
        <w:jc w:val="left"/>
        <w:rPr>
          <w:rFonts w:hint="eastAsia" w:ascii="宋体" w:hAnsi="宋体" w:cs="黑体"/>
          <w:b/>
          <w:kern w:val="0"/>
          <w:sz w:val="32"/>
          <w:szCs w:val="32"/>
        </w:rPr>
      </w:pPr>
      <w:r>
        <w:rPr>
          <w:rFonts w:hint="eastAsia" w:ascii="仿宋" w:hAnsi="仿宋" w:eastAsia="仿宋"/>
          <w:kern w:val="0"/>
          <w:sz w:val="32"/>
          <w:szCs w:val="32"/>
        </w:rPr>
        <w:t>2019年度财政拨款支出年初预算数为2190万元，支出决算数2124.83万元，完成年初预算的97.02%：</w:t>
      </w:r>
    </w:p>
    <w:p>
      <w:pPr>
        <w:widowControl/>
        <w:spacing w:line="600" w:lineRule="exact"/>
        <w:ind w:firstLine="630" w:firstLineChars="196"/>
        <w:jc w:val="left"/>
        <w:rPr>
          <w:rFonts w:hint="eastAsia" w:ascii="仿宋" w:hAnsi="仿宋" w:eastAsia="仿宋"/>
          <w:kern w:val="0"/>
          <w:sz w:val="32"/>
          <w:szCs w:val="32"/>
        </w:rPr>
      </w:pPr>
      <w:r>
        <w:rPr>
          <w:rFonts w:hint="eastAsia" w:ascii="宋体" w:hAnsi="宋体" w:cs="黑体"/>
          <w:b/>
          <w:kern w:val="0"/>
          <w:sz w:val="32"/>
          <w:szCs w:val="32"/>
        </w:rPr>
        <w:t>1、</w:t>
      </w:r>
      <w:r>
        <w:rPr>
          <w:rFonts w:hint="eastAsia" w:ascii="仿宋" w:hAnsi="仿宋" w:eastAsia="仿宋"/>
          <w:kern w:val="0"/>
          <w:sz w:val="32"/>
          <w:szCs w:val="32"/>
        </w:rPr>
        <w:t>社会保障和就业支出（类）抚恤金（款）-死亡抚恤（项）</w:t>
      </w:r>
    </w:p>
    <w:p>
      <w:pPr>
        <w:widowControl/>
        <w:spacing w:line="600" w:lineRule="exact"/>
        <w:ind w:firstLine="627" w:firstLineChars="196"/>
        <w:jc w:val="left"/>
        <w:rPr>
          <w:rFonts w:ascii="宋体" w:hAnsi="宋体" w:cs="黑体"/>
          <w:b/>
          <w:kern w:val="0"/>
          <w:sz w:val="32"/>
          <w:szCs w:val="32"/>
        </w:rPr>
      </w:pPr>
      <w:r>
        <w:rPr>
          <w:rFonts w:hint="eastAsia" w:ascii="仿宋" w:hAnsi="仿宋" w:eastAsia="仿宋"/>
          <w:kern w:val="0"/>
          <w:sz w:val="32"/>
          <w:szCs w:val="32"/>
        </w:rPr>
        <w:t>年初预算为37万元，支出决算为37.97万元，完成预算的102.62%，决算数比年初预算多0.97万元，主要是因为死亡抚恤有所增多。</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2、节能环保支出（类）环境保护管理事务（款）-行政运行（项）年初预算数为724.05万元，支出决算数724.05万元，完成年初预算的100%。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3、节能环保支出（类）环境保护管理事务（款）其他环境保护管理事务支出（项）：</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年初预算为880.99万元，支出决算为892.11万元，完成年初预算的101%。决算数比年初预算增加11.12万元。</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4、节能环保支出（类）环境监测与监察（款）其他环境监测与监察支出（项）：</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年初预算为55，支出决算为55万元，完成年初预算的100%。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5、节能环保支出（类）污染防治（款）水体（项）</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年初预算为110万元，支出决算为110万元，完成年初预算的100%。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6、节能环保支出（类）污染防治（款）其他污染防治支出（项）</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年初预算数为225.46万元，支出决算数为225.46万元，完成预算的100%。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7、节能环保支出（类）污染减排（款）生态环境执法监察支出（项）。</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年初预算数27.75万元，支出决算为27.75万元，完成年初预算的100%。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8、城乡社区支出（类）城乡社区管理事务（款）其他城乡社区管理事务支出（项）</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年初预算数为4万元，支出决算数为4万元，完成预算的100%。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9、农林水支出（类）扶贫（款）行政运行（项）</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年初预算数为12.68万元，支出决算数为12.68万元，完成年初预算数的100%。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10、农林水支出（类）扶贫（款）农村基础设施建设（项）</w:t>
      </w:r>
    </w:p>
    <w:p>
      <w:pPr>
        <w:widowControl/>
        <w:shd w:val="clear" w:color="auto" w:fill="FFFFFF"/>
        <w:wordWrap w:val="0"/>
        <w:spacing w:after="150" w:line="440" w:lineRule="atLeast"/>
        <w:ind w:firstLine="640" w:firstLineChars="200"/>
        <w:jc w:val="left"/>
        <w:textAlignment w:val="baseline"/>
        <w:rPr>
          <w:rFonts w:ascii="仿宋" w:hAnsi="仿宋" w:eastAsia="仿宋"/>
          <w:kern w:val="0"/>
          <w:sz w:val="32"/>
          <w:szCs w:val="32"/>
        </w:rPr>
      </w:pPr>
      <w:r>
        <w:rPr>
          <w:rFonts w:hint="eastAsia" w:ascii="仿宋" w:hAnsi="仿宋" w:eastAsia="仿宋"/>
          <w:kern w:val="0"/>
          <w:sz w:val="32"/>
          <w:szCs w:val="32"/>
        </w:rPr>
        <w:t>年初预算数为35.32万元，支出决算数为35.81万元，完成年初预算的101%，决算数比年初预算数少0.49万元</w:t>
      </w:r>
    </w:p>
    <w:p>
      <w:pPr>
        <w:widowControl/>
        <w:shd w:val="clear" w:color="auto" w:fill="FFFFFF"/>
        <w:wordWrap w:val="0"/>
        <w:spacing w:after="150" w:line="440" w:lineRule="atLeast"/>
        <w:ind w:firstLine="643" w:firstLineChars="200"/>
        <w:jc w:val="left"/>
        <w:textAlignment w:val="baseline"/>
        <w:rPr>
          <w:rFonts w:hint="eastAsia" w:ascii="宋体" w:hAnsi="宋体" w:cs="黑体"/>
          <w:b/>
          <w:kern w:val="0"/>
          <w:sz w:val="32"/>
          <w:szCs w:val="32"/>
        </w:rPr>
      </w:pPr>
      <w:r>
        <w:rPr>
          <w:rFonts w:hint="eastAsia" w:ascii="宋体" w:hAnsi="宋体" w:cs="黑体"/>
          <w:b/>
          <w:kern w:val="0"/>
          <w:sz w:val="32"/>
          <w:szCs w:val="32"/>
        </w:rPr>
        <w:t>六、一般公共预算财政拨款基本支出决算情况说明</w:t>
      </w:r>
    </w:p>
    <w:p>
      <w:pPr>
        <w:widowControl/>
        <w:shd w:val="clear" w:color="auto" w:fill="FFFFFF"/>
        <w:wordWrap w:val="0"/>
        <w:spacing w:after="150" w:line="440" w:lineRule="atLeast"/>
        <w:ind w:firstLine="640" w:firstLineChars="200"/>
        <w:jc w:val="left"/>
        <w:textAlignment w:val="baseline"/>
        <w:rPr>
          <w:rFonts w:hint="eastAsia" w:ascii="宋体" w:hAnsi="宋体" w:cs="黑体"/>
          <w:b/>
          <w:kern w:val="0"/>
          <w:sz w:val="32"/>
          <w:szCs w:val="32"/>
        </w:rPr>
      </w:pPr>
      <w:r>
        <w:rPr>
          <w:rFonts w:hint="eastAsia" w:ascii="宋体" w:hAnsi="宋体" w:cs="黑体"/>
          <w:bCs/>
          <w:kern w:val="0"/>
          <w:sz w:val="32"/>
          <w:szCs w:val="32"/>
        </w:rPr>
        <w:t xml:space="preserve"> 2019年度财政拨款基本支出1401.44万元。其中：人员经费1038.4万元，占基本支出的74.1%，主要包括基本工资、津贴补贴、奖金、伙食补助费、机关事业单位基本养老保险缴费、职业年金缴费、职工基本医疗保险缴费、其他社会保障缴费、住房公积金、医疗费、对个人和家庭的补助、抚恤金、奖励金、其他对个人和家庭的补助</w:t>
      </w:r>
      <w:r>
        <w:rPr>
          <w:rFonts w:hint="eastAsia" w:ascii="宋体" w:hAnsi="宋体" w:cs="黑体"/>
          <w:bCs/>
          <w:kern w:val="0"/>
          <w:sz w:val="32"/>
          <w:szCs w:val="32"/>
          <w:lang w:eastAsia="zh-CN"/>
        </w:rPr>
        <w:t>。</w:t>
      </w:r>
      <w:r>
        <w:rPr>
          <w:rFonts w:hint="eastAsia" w:ascii="宋体" w:hAnsi="宋体" w:cs="黑体"/>
          <w:bCs/>
          <w:kern w:val="0"/>
          <w:sz w:val="32"/>
          <w:szCs w:val="32"/>
        </w:rPr>
        <w:t>公用经费363.04万元，占支出比率的25.9%。主要包括办公费、印刷费、咨询费、水费、电费、邮电费、取暖费、物业管理费、差旅费、维修费、会议费、培训费、公务接待费、专用材料费、专用燃料费、劳务费、工会经费、福利费、其他交通费用，资本性支出。</w:t>
      </w:r>
    </w:p>
    <w:p>
      <w:pPr>
        <w:widowControl/>
        <w:shd w:val="clear" w:color="auto" w:fill="FFFFFF"/>
        <w:wordWrap w:val="0"/>
        <w:spacing w:after="150" w:line="440" w:lineRule="atLeast"/>
        <w:ind w:firstLine="643" w:firstLineChars="200"/>
        <w:jc w:val="left"/>
        <w:textAlignment w:val="baseline"/>
        <w:rPr>
          <w:rFonts w:hint="eastAsia" w:ascii="宋体" w:hAnsi="宋体" w:cs="黑体"/>
          <w:b/>
          <w:kern w:val="0"/>
          <w:sz w:val="32"/>
          <w:szCs w:val="32"/>
        </w:rPr>
      </w:pPr>
      <w:r>
        <w:rPr>
          <w:rFonts w:hint="eastAsia" w:ascii="宋体" w:hAnsi="宋体" w:cs="黑体"/>
          <w:b/>
          <w:bCs/>
          <w:kern w:val="0"/>
          <w:sz w:val="32"/>
          <w:szCs w:val="32"/>
        </w:rPr>
        <w:t>七、一般公共预算财政拨款“三公”经费支出决算情况说明</w:t>
      </w:r>
    </w:p>
    <w:p>
      <w:pPr>
        <w:widowControl/>
        <w:shd w:val="clear" w:color="auto" w:fill="FFFFFF"/>
        <w:wordWrap w:val="0"/>
        <w:spacing w:after="150" w:line="440" w:lineRule="atLeast"/>
        <w:ind w:firstLine="640" w:firstLineChars="200"/>
        <w:jc w:val="left"/>
        <w:textAlignment w:val="baseline"/>
        <w:rPr>
          <w:rFonts w:ascii="宋体" w:hAnsi="宋体" w:cs="黑体"/>
          <w:b/>
          <w:kern w:val="0"/>
          <w:sz w:val="32"/>
          <w:szCs w:val="32"/>
        </w:rPr>
      </w:pPr>
      <w:r>
        <w:rPr>
          <w:rFonts w:hint="eastAsia" w:ascii="仿宋" w:hAnsi="仿宋" w:eastAsia="仿宋"/>
          <w:kern w:val="0"/>
          <w:sz w:val="32"/>
          <w:szCs w:val="32"/>
        </w:rPr>
        <w:t>（一）“三公”经费财政拨款支出决算总体情况说明</w:t>
      </w:r>
    </w:p>
    <w:p>
      <w:pPr>
        <w:widowControl/>
        <w:shd w:val="clear" w:color="auto" w:fill="FFFFFF"/>
        <w:wordWrap w:val="0"/>
        <w:spacing w:after="150" w:line="440" w:lineRule="atLeast"/>
        <w:ind w:firstLine="800" w:firstLineChars="250"/>
        <w:jc w:val="left"/>
        <w:textAlignment w:val="baseline"/>
        <w:rPr>
          <w:rFonts w:ascii="仿宋" w:hAnsi="仿宋" w:eastAsia="仿宋"/>
          <w:kern w:val="0"/>
          <w:sz w:val="32"/>
          <w:szCs w:val="32"/>
        </w:rPr>
      </w:pPr>
      <w:r>
        <w:rPr>
          <w:rFonts w:hint="eastAsia" w:ascii="仿宋" w:hAnsi="仿宋" w:eastAsia="仿宋"/>
          <w:kern w:val="0"/>
          <w:sz w:val="32"/>
          <w:szCs w:val="32"/>
        </w:rPr>
        <w:t>“三公”经费财政拨款支出预算为4.08万元，三公经费支出决算为5.84万元，完成预算的143%。其中：</w:t>
      </w:r>
    </w:p>
    <w:p>
      <w:pPr>
        <w:widowControl/>
        <w:shd w:val="clear" w:color="auto" w:fill="FFFFFF"/>
        <w:wordWrap w:val="0"/>
        <w:spacing w:after="150" w:line="440" w:lineRule="atLeast"/>
        <w:ind w:firstLine="800" w:firstLineChars="250"/>
        <w:jc w:val="left"/>
        <w:textAlignment w:val="baseline"/>
        <w:rPr>
          <w:rFonts w:ascii="仿宋" w:hAnsi="仿宋" w:eastAsia="仿宋"/>
          <w:kern w:val="0"/>
          <w:sz w:val="32"/>
          <w:szCs w:val="32"/>
        </w:rPr>
      </w:pPr>
      <w:r>
        <w:rPr>
          <w:rFonts w:hint="eastAsia" w:ascii="仿宋" w:hAnsi="仿宋" w:eastAsia="仿宋"/>
          <w:kern w:val="0"/>
          <w:sz w:val="32"/>
          <w:szCs w:val="32"/>
        </w:rPr>
        <w:t>1、因公出国（境）费支出预算为0元，支出决算为0元，完成预算的0%。</w:t>
      </w:r>
    </w:p>
    <w:p>
      <w:pPr>
        <w:widowControl/>
        <w:shd w:val="clear" w:color="auto" w:fill="FFFFFF"/>
        <w:wordWrap w:val="0"/>
        <w:spacing w:after="150" w:line="440" w:lineRule="atLeast"/>
        <w:ind w:firstLine="640" w:firstLineChars="200"/>
        <w:jc w:val="left"/>
        <w:textAlignment w:val="baseline"/>
        <w:rPr>
          <w:rFonts w:ascii="仿宋" w:hAnsi="仿宋" w:eastAsia="仿宋"/>
          <w:kern w:val="0"/>
          <w:sz w:val="32"/>
          <w:szCs w:val="32"/>
        </w:rPr>
      </w:pPr>
      <w:r>
        <w:rPr>
          <w:rFonts w:hint="eastAsia" w:ascii="仿宋" w:hAnsi="仿宋" w:eastAsia="仿宋"/>
          <w:kern w:val="0"/>
          <w:sz w:val="32"/>
          <w:szCs w:val="32"/>
        </w:rPr>
        <w:t>2、公务接待费支出预算数为4.08万元，支出决算数为5.84万元，完成预算的143%，主要是因为2019年度环保督察“回头看”导致公务接待次数增加。</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3、公务用车购置及运行维护费支出预算为0万元，支出决算为0万元，完成预算的0%。</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（二）“三公”经费财政拨款支出决算具体情况说明</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2019年度“三公”经费财政拨款支出决算中，公务接待费支出决算5.84万元，占100%，因公出国（境）费支出决算0万元，占0%，公务用车购置费及运行维护费支出0万元，占0%。其中：</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1、因公出国（境）费支出决算0万元，全年安排因公出国（境）团组0个，本年度无此项开支。</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2、公务接待费支出决算为5.84万元，全年共接待来访团组96个，来宾334人，主要是用于环保督察“回头看”发生的接待支出。</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3、公务用车购置费及运行维护费支出决算为0万元，因公车改革，本单位无此项开支。</w:t>
      </w:r>
    </w:p>
    <w:p>
      <w:pPr>
        <w:widowControl/>
        <w:shd w:val="clear" w:color="auto" w:fill="FFFFFF"/>
        <w:wordWrap w:val="0"/>
        <w:spacing w:after="150" w:line="440" w:lineRule="atLeast"/>
        <w:ind w:firstLine="643" w:firstLineChars="200"/>
        <w:jc w:val="left"/>
        <w:textAlignment w:val="baseline"/>
        <w:rPr>
          <w:rFonts w:hint="eastAsia" w:ascii="仿宋" w:hAnsi="仿宋" w:eastAsia="仿宋"/>
          <w:kern w:val="0"/>
          <w:sz w:val="32"/>
          <w:szCs w:val="32"/>
        </w:rPr>
      </w:pPr>
      <w:r>
        <w:rPr>
          <w:rFonts w:hint="eastAsia" w:ascii="宋体" w:hAnsi="宋体"/>
          <w:b/>
          <w:bCs/>
          <w:kern w:val="0"/>
          <w:sz w:val="32"/>
          <w:szCs w:val="32"/>
        </w:rPr>
        <w:t>八、政府性基金预算收入支出决算情况</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cs="仿宋_GB2312"/>
          <w:kern w:val="0"/>
          <w:sz w:val="32"/>
          <w:szCs w:val="32"/>
        </w:rPr>
        <w:t>2019年度政府性基金预算财政拨款收入为93.29万元，支出决算为93.29万元，其中基本支出为0万元，项目支出93.29万元，年末结转和结余0万元。</w:t>
      </w:r>
    </w:p>
    <w:p>
      <w:pPr>
        <w:widowControl/>
        <w:shd w:val="clear" w:color="auto" w:fill="FFFFFF"/>
        <w:wordWrap w:val="0"/>
        <w:spacing w:after="150" w:line="440" w:lineRule="atLeast"/>
        <w:ind w:firstLine="643" w:firstLineChars="200"/>
        <w:jc w:val="left"/>
        <w:textAlignment w:val="baseline"/>
        <w:rPr>
          <w:rFonts w:hint="eastAsia" w:ascii="仿宋" w:hAnsi="仿宋" w:eastAsia="仿宋"/>
          <w:kern w:val="0"/>
          <w:sz w:val="32"/>
          <w:szCs w:val="32"/>
        </w:rPr>
      </w:pPr>
      <w:r>
        <w:rPr>
          <w:rFonts w:hint="eastAsia" w:ascii="宋体" w:hAnsi="宋体" w:cs="黑体"/>
          <w:b/>
          <w:kern w:val="0"/>
          <w:sz w:val="32"/>
          <w:szCs w:val="32"/>
        </w:rPr>
        <w:t>九、关于2019年度预算绩效情况说明</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本部门预算绩效管理开展情况、绩效目标和绩效评价报告按照财政绩效部门要求已公开或其他有关部门要求需随同部门决算一同公开的绩效信息，请作为附件公开</w:t>
      </w:r>
      <w:r>
        <w:rPr>
          <w:rFonts w:hint="eastAsia" w:asciiTheme="minorEastAsia" w:hAnsiTheme="minorEastAsia" w:eastAsiaTheme="minorEastAsia"/>
          <w:sz w:val="32"/>
          <w:szCs w:val="32"/>
          <w:lang w:eastAsia="zh-CN"/>
        </w:rPr>
        <w:t>。</w:t>
      </w:r>
    </w:p>
    <w:p>
      <w:pPr>
        <w:widowControl/>
        <w:shd w:val="clear" w:color="auto" w:fill="FFFFFF"/>
        <w:wordWrap w:val="0"/>
        <w:spacing w:after="150" w:line="440" w:lineRule="atLeast"/>
        <w:ind w:firstLine="643" w:firstLineChars="200"/>
        <w:jc w:val="left"/>
        <w:textAlignment w:val="baseline"/>
        <w:rPr>
          <w:rFonts w:hint="eastAsia" w:ascii="仿宋" w:hAnsi="仿宋" w:eastAsia="仿宋"/>
          <w:kern w:val="0"/>
          <w:sz w:val="32"/>
          <w:szCs w:val="32"/>
        </w:rPr>
      </w:pPr>
      <w:r>
        <w:rPr>
          <w:rFonts w:hint="eastAsia" w:ascii="宋体" w:hAnsi="宋体" w:cs="黑体"/>
          <w:b/>
          <w:kern w:val="0"/>
          <w:sz w:val="32"/>
          <w:szCs w:val="32"/>
        </w:rPr>
        <w:t>十、其他重要事项情况说明</w:t>
      </w:r>
    </w:p>
    <w:p>
      <w:pPr>
        <w:widowControl/>
        <w:shd w:val="clear" w:color="auto" w:fill="FFFFFF"/>
        <w:wordWrap w:val="0"/>
        <w:spacing w:after="150" w:line="440" w:lineRule="atLeast"/>
        <w:ind w:firstLine="643" w:firstLineChars="200"/>
        <w:jc w:val="left"/>
        <w:textAlignment w:val="baseline"/>
        <w:rPr>
          <w:rFonts w:hint="eastAsia" w:ascii="仿宋" w:hAnsi="仿宋" w:eastAsia="仿宋"/>
          <w:kern w:val="0"/>
          <w:sz w:val="32"/>
          <w:szCs w:val="32"/>
        </w:rPr>
      </w:pPr>
      <w:r>
        <w:rPr>
          <w:rFonts w:hint="eastAsia" w:ascii="宋体" w:hAnsi="宋体" w:cs="黑体"/>
          <w:b/>
          <w:kern w:val="0"/>
          <w:sz w:val="32"/>
          <w:szCs w:val="32"/>
        </w:rPr>
        <w:t>（一）</w:t>
      </w:r>
      <w:r>
        <w:rPr>
          <w:rFonts w:hint="eastAsia" w:ascii="仿宋" w:hAnsi="仿宋" w:eastAsia="仿宋"/>
          <w:b/>
          <w:kern w:val="0"/>
          <w:sz w:val="32"/>
          <w:szCs w:val="32"/>
        </w:rPr>
        <w:t>机关运行经费支出情况</w:t>
      </w:r>
    </w:p>
    <w:p>
      <w:pPr>
        <w:bidi w:val="0"/>
        <w:ind w:firstLine="960" w:firstLineChars="300"/>
        <w:rPr>
          <w:rFonts w:hint="eastAsia" w:ascii="仿宋" w:hAnsi="仿宋" w:eastAsia="仿宋" w:cs="仿宋"/>
          <w:sz w:val="32"/>
          <w:szCs w:val="32"/>
        </w:rPr>
      </w:pPr>
      <w:r>
        <w:rPr>
          <w:rFonts w:hint="eastAsia" w:ascii="仿宋" w:hAnsi="仿宋" w:eastAsia="仿宋" w:cs="仿宋"/>
          <w:sz w:val="32"/>
          <w:szCs w:val="32"/>
        </w:rPr>
        <w:t>本部门2019年度机关运行经费支出为363.04万元，年初预算数为397万元，决算数比年初预算数少33.96万元，降低8.55%，这是我单位响应厉行节约的号召，大力压缩公用经费。</w:t>
      </w:r>
    </w:p>
    <w:p>
      <w:pPr>
        <w:widowControl/>
        <w:numPr>
          <w:ilvl w:val="0"/>
          <w:numId w:val="1"/>
        </w:numPr>
        <w:shd w:val="clear" w:color="auto" w:fill="FFFFFF"/>
        <w:wordWrap w:val="0"/>
        <w:spacing w:after="150" w:line="440" w:lineRule="atLeast"/>
        <w:ind w:firstLine="643" w:firstLineChars="200"/>
        <w:jc w:val="left"/>
        <w:textAlignment w:val="baseline"/>
        <w:rPr>
          <w:rFonts w:hint="eastAsia" w:ascii="仿宋" w:hAnsi="仿宋" w:eastAsia="仿宋" w:cs="仿宋"/>
          <w:b/>
          <w:kern w:val="0"/>
          <w:sz w:val="32"/>
          <w:szCs w:val="32"/>
        </w:rPr>
      </w:pPr>
      <w:r>
        <w:rPr>
          <w:rFonts w:hint="eastAsia" w:asciiTheme="minorEastAsia" w:hAnsiTheme="minorEastAsia" w:cstheme="minorEastAsia"/>
          <w:b/>
          <w:kern w:val="0"/>
          <w:sz w:val="32"/>
          <w:szCs w:val="32"/>
        </w:rPr>
        <w:t>一</w:t>
      </w:r>
      <w:r>
        <w:rPr>
          <w:rFonts w:hint="eastAsia" w:ascii="仿宋" w:hAnsi="仿宋" w:eastAsia="仿宋" w:cs="仿宋"/>
          <w:b/>
          <w:kern w:val="0"/>
          <w:sz w:val="32"/>
          <w:szCs w:val="32"/>
        </w:rPr>
        <w:t xml:space="preserve">般性支出情况 </w:t>
      </w:r>
    </w:p>
    <w:p>
      <w:pPr>
        <w:widowControl/>
        <w:numPr>
          <w:numId w:val="0"/>
        </w:numPr>
        <w:shd w:val="clear" w:color="auto" w:fill="FFFFFF"/>
        <w:wordWrap w:val="0"/>
        <w:spacing w:after="150" w:line="440" w:lineRule="atLeast"/>
        <w:ind w:firstLine="640" w:firstLineChars="200"/>
        <w:jc w:val="left"/>
        <w:textAlignment w:val="baseline"/>
        <w:rPr>
          <w:rFonts w:hint="eastAsia"/>
          <w:sz w:val="32"/>
          <w:szCs w:val="32"/>
        </w:rPr>
      </w:pPr>
      <w:r>
        <w:rPr>
          <w:rFonts w:hint="eastAsia" w:ascii="仿宋" w:hAnsi="仿宋" w:eastAsia="仿宋" w:cs="仿宋"/>
          <w:sz w:val="32"/>
          <w:szCs w:val="32"/>
        </w:rPr>
        <w:t>2019年度本部门开支会议费1.35万元，用于召开环保督察“回头看”及日常工作会议，人数500人次，内容为召开环保督察及日常环保监察工作安排；培训费开支0.21万元，人数</w:t>
      </w:r>
      <w:r>
        <w:rPr>
          <w:rFonts w:hint="eastAsia" w:ascii="仿宋" w:hAnsi="仿宋" w:eastAsia="仿宋" w:cs="仿宋"/>
          <w:sz w:val="32"/>
          <w:szCs w:val="32"/>
          <w:lang w:val="en-US" w:eastAsia="zh-CN"/>
        </w:rPr>
        <w:t>2</w:t>
      </w:r>
      <w:r>
        <w:rPr>
          <w:rFonts w:hint="eastAsia" w:ascii="仿宋" w:hAnsi="仿宋" w:eastAsia="仿宋" w:cs="仿宋"/>
          <w:sz w:val="32"/>
          <w:szCs w:val="32"/>
        </w:rPr>
        <w:t>人，用于开展业务培训</w:t>
      </w:r>
      <w:r>
        <w:rPr>
          <w:rFonts w:hint="eastAsia"/>
          <w:sz w:val="32"/>
          <w:szCs w:val="32"/>
        </w:rPr>
        <w:t>。</w:t>
      </w:r>
    </w:p>
    <w:p>
      <w:pPr>
        <w:widowControl/>
        <w:shd w:val="clear" w:color="auto" w:fill="FFFFFF"/>
        <w:wordWrap w:val="0"/>
        <w:spacing w:after="150" w:line="440" w:lineRule="atLeast"/>
        <w:ind w:firstLine="643" w:firstLineChars="200"/>
        <w:jc w:val="left"/>
        <w:textAlignment w:val="baseline"/>
        <w:rPr>
          <w:rFonts w:hint="eastAsia" w:ascii="仿宋" w:hAnsi="仿宋" w:eastAsia="仿宋"/>
          <w:kern w:val="0"/>
          <w:sz w:val="32"/>
          <w:szCs w:val="32"/>
        </w:rPr>
      </w:pPr>
      <w:r>
        <w:rPr>
          <w:rFonts w:hint="eastAsia" w:ascii="仿宋" w:hAnsi="仿宋" w:eastAsia="仿宋"/>
          <w:b/>
          <w:kern w:val="0"/>
          <w:sz w:val="32"/>
          <w:szCs w:val="32"/>
        </w:rPr>
        <w:t>（三）政府采购支出情况。</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仿宋" w:hAnsi="仿宋" w:eastAsia="仿宋"/>
          <w:kern w:val="0"/>
          <w:sz w:val="32"/>
          <w:szCs w:val="32"/>
        </w:rPr>
        <w:t>本部门2019年度政府采购支出总额211.99万元，其中：政府采购货物支出130.99万元，政府采购工程支出0万元。政府采购服务支出81万元，其中：授于中小企业合同金额0万元，占政府采购支出总额的0%。</w:t>
      </w:r>
    </w:p>
    <w:p>
      <w:pPr>
        <w:widowControl/>
        <w:shd w:val="clear" w:color="auto" w:fill="FFFFFF"/>
        <w:wordWrap w:val="0"/>
        <w:spacing w:after="150" w:line="440" w:lineRule="atLeast"/>
        <w:ind w:firstLine="643" w:firstLineChars="200"/>
        <w:jc w:val="left"/>
        <w:textAlignment w:val="baseline"/>
        <w:rPr>
          <w:rFonts w:hint="eastAsia" w:ascii="仿宋" w:hAnsi="仿宋" w:eastAsia="仿宋"/>
          <w:kern w:val="0"/>
          <w:sz w:val="32"/>
          <w:szCs w:val="32"/>
        </w:rPr>
      </w:pPr>
      <w:r>
        <w:rPr>
          <w:rFonts w:hint="eastAsia" w:ascii="仿宋" w:hAnsi="仿宋" w:eastAsia="仿宋"/>
          <w:b/>
          <w:kern w:val="0"/>
          <w:sz w:val="32"/>
          <w:szCs w:val="32"/>
        </w:rPr>
        <w:t>（四）国有资产占用情况</w:t>
      </w:r>
    </w:p>
    <w:p>
      <w:pPr>
        <w:widowControl/>
        <w:shd w:val="clear" w:color="auto" w:fill="FFFFFF"/>
        <w:wordWrap w:val="0"/>
        <w:spacing w:after="150" w:line="440" w:lineRule="atLeast"/>
        <w:ind w:firstLine="640" w:firstLineChars="200"/>
        <w:jc w:val="left"/>
        <w:textAlignment w:val="baseline"/>
        <w:rPr>
          <w:rFonts w:ascii="仿宋" w:hAnsi="仿宋" w:eastAsia="仿宋"/>
          <w:kern w:val="0"/>
          <w:sz w:val="32"/>
          <w:szCs w:val="32"/>
        </w:rPr>
      </w:pPr>
      <w:r>
        <w:rPr>
          <w:rFonts w:hint="eastAsia" w:ascii="仿宋" w:hAnsi="仿宋" w:eastAsia="仿宋" w:cs="仿宋_GB2312"/>
          <w:kern w:val="0"/>
          <w:sz w:val="32"/>
          <w:szCs w:val="32"/>
        </w:rPr>
        <w:t>截至2019年12 月31 日，本部门共有408.85万元的固定资产原值，其中包括办公用房502平方米，单位价值22.55万元；单位价值50万元以上的通用设备0台，单位价值100万元以上专用设备2台(套)。</w:t>
      </w:r>
    </w:p>
    <w:p>
      <w:pPr>
        <w:spacing w:line="600" w:lineRule="exact"/>
        <w:rPr>
          <w:rFonts w:ascii="仿宋" w:hAnsi="仿宋" w:eastAsia="仿宋" w:cs="仿宋"/>
          <w:b/>
          <w:kern w:val="0"/>
          <w:sz w:val="32"/>
          <w:szCs w:val="32"/>
        </w:rPr>
      </w:pPr>
    </w:p>
    <w:p>
      <w:pPr>
        <w:spacing w:line="600" w:lineRule="exact"/>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spacing w:line="600" w:lineRule="exact"/>
        <w:rPr>
          <w:rFonts w:hint="eastAsia" w:ascii="仿宋" w:hAnsi="仿宋" w:eastAsia="仿宋" w:cs="仿宋"/>
          <w:b/>
          <w:kern w:val="0"/>
          <w:sz w:val="32"/>
          <w:szCs w:val="32"/>
        </w:rPr>
      </w:pPr>
    </w:p>
    <w:p>
      <w:pPr>
        <w:widowControl/>
        <w:spacing w:line="600" w:lineRule="exact"/>
        <w:jc w:val="center"/>
        <w:rPr>
          <w:rFonts w:hint="eastAsia" w:ascii="仿宋" w:hAnsi="仿宋" w:eastAsia="仿宋" w:cs="仿宋"/>
          <w:b/>
          <w:kern w:val="0"/>
          <w:sz w:val="32"/>
          <w:szCs w:val="32"/>
        </w:rPr>
      </w:pPr>
    </w:p>
    <w:p>
      <w:pPr>
        <w:widowControl/>
        <w:spacing w:line="600" w:lineRule="exact"/>
        <w:jc w:val="center"/>
        <w:rPr>
          <w:rFonts w:hint="eastAsia" w:ascii="黑体" w:hAnsi="黑体" w:eastAsia="黑体"/>
          <w:bCs/>
          <w:kern w:val="0"/>
          <w:sz w:val="48"/>
          <w:szCs w:val="48"/>
        </w:rPr>
      </w:pPr>
    </w:p>
    <w:p>
      <w:pPr>
        <w:widowControl/>
        <w:spacing w:line="600" w:lineRule="exact"/>
        <w:jc w:val="center"/>
        <w:rPr>
          <w:rFonts w:hint="eastAsia" w:ascii="黑体" w:hAnsi="黑体" w:eastAsia="黑体"/>
          <w:bCs/>
          <w:kern w:val="0"/>
          <w:sz w:val="48"/>
          <w:szCs w:val="48"/>
        </w:rPr>
      </w:pPr>
    </w:p>
    <w:p>
      <w:pPr>
        <w:widowControl/>
        <w:spacing w:line="600" w:lineRule="exact"/>
        <w:jc w:val="center"/>
        <w:rPr>
          <w:rFonts w:ascii="黑体" w:hAnsi="黑体" w:eastAsia="黑体"/>
          <w:bCs/>
          <w:kern w:val="0"/>
          <w:sz w:val="48"/>
          <w:szCs w:val="48"/>
        </w:rPr>
      </w:pPr>
    </w:p>
    <w:p>
      <w:pPr>
        <w:widowControl/>
        <w:spacing w:line="600" w:lineRule="exact"/>
        <w:jc w:val="center"/>
        <w:rPr>
          <w:rFonts w:ascii="黑体" w:hAnsi="黑体" w:eastAsia="黑体"/>
          <w:bCs/>
          <w:kern w:val="0"/>
          <w:sz w:val="48"/>
          <w:szCs w:val="48"/>
        </w:rPr>
      </w:pPr>
    </w:p>
    <w:p>
      <w:pPr>
        <w:widowControl/>
        <w:spacing w:line="600" w:lineRule="exact"/>
        <w:jc w:val="center"/>
        <w:rPr>
          <w:rFonts w:ascii="黑体" w:hAnsi="黑体" w:eastAsia="黑体"/>
          <w:bCs/>
          <w:kern w:val="0"/>
          <w:sz w:val="48"/>
          <w:szCs w:val="48"/>
        </w:rPr>
      </w:pPr>
    </w:p>
    <w:p>
      <w:pPr>
        <w:widowControl/>
        <w:spacing w:line="600" w:lineRule="exact"/>
        <w:jc w:val="center"/>
        <w:rPr>
          <w:rFonts w:ascii="黑体" w:hAnsi="黑体" w:eastAsia="黑体"/>
          <w:bCs/>
          <w:kern w:val="0"/>
          <w:sz w:val="48"/>
          <w:szCs w:val="48"/>
        </w:rPr>
      </w:pPr>
    </w:p>
    <w:p>
      <w:pPr>
        <w:widowControl/>
        <w:spacing w:line="600" w:lineRule="exact"/>
        <w:jc w:val="center"/>
        <w:rPr>
          <w:rFonts w:ascii="黑体" w:hAnsi="黑体" w:eastAsia="黑体"/>
          <w:bCs/>
          <w:kern w:val="0"/>
          <w:sz w:val="48"/>
          <w:szCs w:val="48"/>
        </w:rPr>
      </w:pPr>
    </w:p>
    <w:p>
      <w:pPr>
        <w:widowControl/>
        <w:spacing w:line="600" w:lineRule="exact"/>
        <w:jc w:val="center"/>
        <w:rPr>
          <w:rFonts w:ascii="黑体" w:hAnsi="黑体" w:eastAsia="黑体"/>
          <w:bCs/>
          <w:kern w:val="0"/>
          <w:sz w:val="48"/>
          <w:szCs w:val="48"/>
        </w:rPr>
      </w:pPr>
    </w:p>
    <w:p>
      <w:pPr>
        <w:widowControl/>
        <w:spacing w:line="600" w:lineRule="exact"/>
        <w:jc w:val="center"/>
        <w:rPr>
          <w:rFonts w:ascii="黑体" w:hAnsi="黑体" w:eastAsia="黑体"/>
          <w:bCs/>
          <w:kern w:val="0"/>
          <w:sz w:val="48"/>
          <w:szCs w:val="48"/>
        </w:rPr>
      </w:pPr>
      <w:bookmarkStart w:id="0" w:name="_GoBack"/>
      <w:bookmarkEnd w:id="0"/>
      <w:r>
        <w:rPr>
          <w:rFonts w:ascii="黑体" w:hAnsi="黑体" w:eastAsia="黑体"/>
          <w:bCs/>
          <w:kern w:val="0"/>
          <w:sz w:val="48"/>
          <w:szCs w:val="48"/>
        </w:rPr>
        <w:t>第四部分</w:t>
      </w:r>
    </w:p>
    <w:p>
      <w:pPr>
        <w:widowControl/>
        <w:spacing w:line="600" w:lineRule="exact"/>
        <w:jc w:val="center"/>
        <w:rPr>
          <w:rFonts w:ascii="黑体" w:hAnsi="黑体" w:eastAsia="黑体"/>
          <w:bCs/>
          <w:kern w:val="0"/>
          <w:sz w:val="48"/>
          <w:szCs w:val="48"/>
        </w:rPr>
      </w:pPr>
    </w:p>
    <w:p>
      <w:pPr>
        <w:widowControl/>
        <w:spacing w:line="600" w:lineRule="exact"/>
        <w:jc w:val="center"/>
        <w:rPr>
          <w:rFonts w:ascii="黑体" w:hAnsi="黑体" w:eastAsia="黑体"/>
          <w:bCs/>
          <w:kern w:val="0"/>
          <w:sz w:val="48"/>
          <w:szCs w:val="48"/>
        </w:rPr>
      </w:pPr>
    </w:p>
    <w:p>
      <w:pPr>
        <w:widowControl/>
        <w:spacing w:line="600" w:lineRule="exact"/>
        <w:jc w:val="center"/>
        <w:rPr>
          <w:rFonts w:hint="eastAsia" w:ascii="黑体" w:hAnsi="黑体" w:eastAsia="黑体"/>
          <w:bCs/>
          <w:kern w:val="0"/>
          <w:sz w:val="48"/>
          <w:szCs w:val="48"/>
        </w:rPr>
      </w:pPr>
    </w:p>
    <w:p>
      <w:pPr>
        <w:widowControl/>
        <w:spacing w:line="600" w:lineRule="exact"/>
        <w:jc w:val="center"/>
        <w:rPr>
          <w:rFonts w:ascii="黑体" w:hAnsi="黑体" w:eastAsia="黑体"/>
          <w:bCs/>
          <w:kern w:val="0"/>
          <w:sz w:val="32"/>
          <w:szCs w:val="32"/>
        </w:rPr>
      </w:pPr>
      <w:r>
        <w:rPr>
          <w:rFonts w:ascii="黑体" w:hAnsi="黑体" w:eastAsia="黑体"/>
          <w:bCs/>
          <w:kern w:val="0"/>
          <w:sz w:val="48"/>
          <w:szCs w:val="48"/>
        </w:rPr>
        <w:t>名称解释</w:t>
      </w: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widowControl/>
        <w:spacing w:line="600" w:lineRule="exact"/>
        <w:ind w:firstLine="643" w:firstLineChars="200"/>
        <w:rPr>
          <w:rFonts w:hint="eastAsia" w:ascii="仿宋" w:hAnsi="仿宋" w:eastAsia="仿宋" w:cs="仿宋_GB2312"/>
          <w:b/>
          <w:kern w:val="0"/>
          <w:sz w:val="32"/>
          <w:szCs w:val="32"/>
        </w:rPr>
      </w:pPr>
    </w:p>
    <w:p>
      <w:pPr>
        <w:bidi w:val="0"/>
        <w:ind w:firstLine="640" w:firstLineChars="200"/>
        <w:rPr>
          <w:rFonts w:hint="eastAsia"/>
          <w:sz w:val="32"/>
          <w:szCs w:val="32"/>
        </w:rPr>
      </w:pPr>
      <w:r>
        <w:rPr>
          <w:rFonts w:hint="eastAsia"/>
          <w:sz w:val="32"/>
          <w:szCs w:val="32"/>
        </w:rPr>
        <w:t>（一）、财政拨款收入：本年度从本级财政部门取得的财政拨款，包括一般公共预算财政拨款和政府性基金预算财政拨款。</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（四）年初结转和结余：指以前年度尚未完成、结转到本年仍按原规定用途继续使用的资金，或项目已完成等产生的结余资金。</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（五）年末结转和结余：指单位按有关规定结转到下年或以后年度继续使用的资金，或项目已完成等产生的结余资金。</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（六）基本支出：为保障机构正常运转、完成日常工作任务而发生的各项支出。</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（七）项目支出：为完成特定的行政工作任务或事业发展目标，在基本支出之外发生的各项支出</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（九）其他交通费用：包括公务员交通补贴和租车费。</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 机关运行经费：指为保障行政单位运行用于购 买货物和服务的各项资金，包括办公及印刷费、邮电费、差旅费、会议费、福利费、日常维修费、专用材料以及一般设备购置费、办公用房水电费、办公用房取暖费、办公用房物业管理费、公务用车运行维护费以及其他费用</w:t>
      </w:r>
    </w:p>
    <w:p>
      <w:pPr>
        <w:ind w:firstLine="1680" w:firstLineChars="200"/>
        <w:rPr>
          <w:rFonts w:hint="eastAsia" w:ascii="黑体" w:hAnsi="黑体" w:eastAsia="黑体"/>
          <w:sz w:val="84"/>
          <w:szCs w:val="84"/>
        </w:rPr>
      </w:pPr>
    </w:p>
    <w:p>
      <w:pPr>
        <w:jc w:val="center"/>
        <w:rPr>
          <w:sz w:val="72"/>
          <w:szCs w:val="72"/>
        </w:rPr>
      </w:pPr>
    </w:p>
    <w:p>
      <w:pPr>
        <w:jc w:val="center"/>
        <w:rPr>
          <w:sz w:val="72"/>
          <w:szCs w:val="72"/>
        </w:rPr>
      </w:pPr>
    </w:p>
    <w:p>
      <w:pPr>
        <w:widowControl/>
        <w:jc w:val="left"/>
        <w:rPr>
          <w:sz w:val="72"/>
          <w:szCs w:val="72"/>
        </w:rPr>
        <w:sectPr>
          <w:pgSz w:w="11906" w:h="16838"/>
          <w:pgMar w:top="720" w:right="720" w:bottom="720" w:left="720" w:header="851" w:footer="992" w:gutter="0"/>
          <w:cols w:space="425" w:num="1"/>
          <w:docGrid w:type="lines" w:linePitch="312" w:charSpace="0"/>
        </w:sectPr>
      </w:pPr>
    </w:p>
    <w:p>
      <w:pPr>
        <w:pStyle w:val="12"/>
        <w:ind w:firstLine="4320" w:firstLineChars="600"/>
        <w:jc w:val="both"/>
        <w:rPr>
          <w:rFonts w:hint="eastAsia"/>
          <w:sz w:val="72"/>
          <w:szCs w:val="72"/>
        </w:rPr>
      </w:pPr>
    </w:p>
    <w:p>
      <w:pPr>
        <w:pStyle w:val="12"/>
        <w:ind w:firstLine="4320" w:firstLineChars="600"/>
        <w:jc w:val="both"/>
        <w:rPr>
          <w:rFonts w:hint="eastAsia"/>
          <w:sz w:val="72"/>
          <w:szCs w:val="72"/>
        </w:rPr>
      </w:pPr>
    </w:p>
    <w:p>
      <w:pPr>
        <w:pStyle w:val="12"/>
        <w:ind w:firstLine="4320" w:firstLineChars="600"/>
        <w:jc w:val="both"/>
        <w:rPr>
          <w:rFonts w:hint="eastAsia"/>
          <w:sz w:val="72"/>
          <w:szCs w:val="72"/>
        </w:rPr>
      </w:pPr>
    </w:p>
    <w:p>
      <w:pPr>
        <w:pStyle w:val="12"/>
        <w:ind w:firstLine="3600" w:firstLineChars="500"/>
        <w:jc w:val="both"/>
        <w:rPr>
          <w:sz w:val="72"/>
          <w:szCs w:val="72"/>
        </w:rPr>
      </w:pPr>
      <w:r>
        <w:rPr>
          <w:rFonts w:hint="eastAsia"/>
          <w:sz w:val="72"/>
          <w:szCs w:val="72"/>
        </w:rPr>
        <w:t>第五部分</w:t>
      </w:r>
    </w:p>
    <w:p>
      <w:pPr>
        <w:pStyle w:val="12"/>
        <w:jc w:val="center"/>
        <w:rPr>
          <w:sz w:val="70"/>
          <w:szCs w:val="70"/>
        </w:rPr>
      </w:pPr>
    </w:p>
    <w:p>
      <w:pPr>
        <w:pStyle w:val="12"/>
        <w:jc w:val="center"/>
        <w:rPr>
          <w:sz w:val="70"/>
          <w:szCs w:val="70"/>
        </w:rPr>
      </w:pPr>
      <w:r>
        <w:rPr>
          <w:sz w:val="70"/>
          <w:szCs w:val="70"/>
        </w:rPr>
        <w:t>2019</w:t>
      </w:r>
      <w:r>
        <w:rPr>
          <w:rFonts w:hint="eastAsia"/>
          <w:sz w:val="70"/>
          <w:szCs w:val="70"/>
        </w:rPr>
        <w:t>年度部门整体支出绩效评价报告</w:t>
      </w:r>
      <w:r>
        <w:rPr>
          <w:sz w:val="70"/>
          <w:szCs w:val="70"/>
        </w:rPr>
        <w:br w:type="page"/>
      </w:r>
    </w:p>
    <w:p>
      <w:pPr>
        <w:pStyle w:val="12"/>
        <w:rPr>
          <w:rFonts w:asciiTheme="minorEastAsia" w:hAnsiTheme="minorEastAsia" w:eastAsiaTheme="minorEastAsia"/>
          <w:sz w:val="32"/>
          <w:szCs w:val="32"/>
        </w:rPr>
      </w:pPr>
    </w:p>
    <w:p>
      <w:pPr>
        <w:shd w:val="clear" w:color="auto" w:fill="FFFFFF"/>
        <w:spacing w:line="560" w:lineRule="exact"/>
        <w:ind w:left="3118" w:leftChars="247" w:hanging="2600" w:hangingChars="500"/>
        <w:rPr>
          <w:rFonts w:ascii="仿宋" w:hAnsi="仿宋" w:eastAsia="仿宋" w:cs="方正大标宋简体"/>
          <w:sz w:val="52"/>
          <w:szCs w:val="52"/>
        </w:rPr>
      </w:pPr>
      <w:r>
        <w:rPr>
          <w:rFonts w:hint="eastAsia" w:ascii="仿宋" w:hAnsi="仿宋" w:eastAsia="仿宋" w:cs="方正大标宋简体"/>
          <w:sz w:val="52"/>
          <w:szCs w:val="52"/>
        </w:rPr>
        <w:t>怀化市生态环境局溆浦分局2019年部门整体支出绩效自评报告</w:t>
      </w:r>
    </w:p>
    <w:p>
      <w:pPr>
        <w:shd w:val="clear" w:color="auto" w:fill="FFFFFF"/>
        <w:spacing w:line="560" w:lineRule="exact"/>
        <w:ind w:firstLine="640" w:firstLineChars="200"/>
        <w:rPr>
          <w:rFonts w:ascii="仿宋" w:hAnsi="仿宋" w:eastAsia="仿宋" w:cs="仿宋_GB2312"/>
          <w:sz w:val="32"/>
          <w:szCs w:val="32"/>
        </w:rPr>
      </w:pPr>
    </w:p>
    <w:p>
      <w:pPr>
        <w:shd w:val="clear" w:color="auto" w:fill="FFFFFF"/>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一、部门情况</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本单位是行政单位，内设行政业务股室7个；核定编制123名，实有人数119人，其中：行政人员15人、事业人员104人，离退休人员22人（提前退休人员4人）。</w:t>
      </w:r>
    </w:p>
    <w:p>
      <w:pPr>
        <w:shd w:val="clear" w:color="auto" w:fill="FFFFFF"/>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二、主要职责</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1、承担着全县的环保规划、污染预防和控制、核安全和辐射。环境安全监督管理、环境监测、环境信息发布、环境保护宣传。</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2.环境污染和生态破坏事件调查处理、环保执法等工作。</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3、负责主要污染物减排、生态创建、溆水流域综合治理等综合性工作的牵头和日常管理。</w:t>
      </w:r>
    </w:p>
    <w:p>
      <w:pPr>
        <w:shd w:val="clear" w:color="auto" w:fill="FFFFFF"/>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三、基本支出情况</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（一）基本支出1401.44万元。其中工资福利支出994.33万元，商品服务支出321.84万元，对个人和家庭的补助44.07万元，资本性支出41.2万元。</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项目支出816.68万元，其中农村环境综合整治项目239.2万元，国家生态文明建设项目112.75万元，第二次污染源普查项目139.72万元，环保业务用房建设项目99.55（付项目尾款），重金属污染治理项目225.46万元（付项目尾款）。</w:t>
      </w:r>
    </w:p>
    <w:p>
      <w:pPr>
        <w:shd w:val="clear" w:color="auto" w:fill="FFFFFF"/>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四、三公经费情况</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三公经费5.84万元，其中公务接待费5.84万元，因公出国（境）费0万元、公务用车购置及运行维护费0万元。2018年度三公经费支出仅仅只有0.06万元，增加率高是因为2018年绝大部分公务接待费计入2019年内。</w:t>
      </w:r>
    </w:p>
    <w:p>
      <w:pPr>
        <w:shd w:val="clear" w:color="auto" w:fill="FFFFFF"/>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五、固定资产情况</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（一）本年新增固定资产45.97万元，其中38.22万元为专用设备购置款，办公设备购置款7.75。</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（二）本年底固定资产总值为406.85万元。</w:t>
      </w:r>
    </w:p>
    <w:p>
      <w:pPr>
        <w:shd w:val="clear" w:color="auto" w:fill="FFFFFF"/>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六、主要绩效及评价</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2019年，我们通过加强环保督察反馈问题整改和环境管理，加快生态创建和环境整治，严格环境监管执法，加大环境宣传力度，全县环境质量总体良好，全年，地表水2个省控断面和县城饮用水水源水质达标率100%，县城空气质量优良率93.7%，区域噪声和交通干线噪声达到国家标准。</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加强环保督察问题整改。一是加快中央环保督察“回头看”反馈问题整改。县委、县政府高度重视中央环保督察“回头看”反馈问题整改工作，针对反馈湖南的5个共性问题和1个具体问题先后召开书记专题会、县政府常务会议和县委常委会进行专题研究和部署。明确了整改责任领导和责任部门、整改时限和整改要求，成效显著。二是加快省环保督察反馈问题整改销号。我县共收到省环保督察反馈意见27件，至今，已经整改到位21件，6件正在整改中；其中已经完成销号资料并通过市局核查18件，正在完善资料3件。三是加强对中央、省环保督察交办问题后督查，防止反弹。从5月15日起为期一个月，我局会同县委、县政府督查室、县纪委监委、县委组织部、县委宣传部等单位组成5个联合督查组，采取“四不两直”方式，对全县中央环保督察“回头看”交办问题、省环保督察交办反馈问题和市环保督察交办问题及县自查发现问题进行全覆盖检查，发现问题立即交办，限期整改，对慢整改、不整改、假整改的依纪依规追责问责。</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加强环境管理工作。一是加强建设项目环境管理。为加强新污染控制，我们继续加强建设项目环评审批和环保“三同时”监管工作。在审批项目时，我们坚持执行国家关于产业结构调整的有关政策，加大淘汰污染严重企业和落后生产能力、工艺、设备与产品的力度；严格执行总量控制制度。二是规范排污许可及验收、应急预案的备案工作。三是开展了权力事项清理。对行政许可、行政处罚、行政检查、行政强制、行政奖励等行政权力清单、责任清单都进行了梳理和更新，共在网站发布各类权力清单183项。梳理乡镇权力清单和责任清单4项。四是开展乡镇千吨万人饮用水水源保护区划定。今年完成了5个建制镇千吨万人饮用水水源保护区划分技术报告编制并通过省、市专家审核，目前已由市政府统一上报省政府批复。同时，对这</w:t>
      </w:r>
      <w:r>
        <w:rPr>
          <w:rFonts w:ascii="仿宋" w:hAnsi="仿宋" w:eastAsia="仿宋" w:cs="仿宋_GB2312"/>
          <w:sz w:val="30"/>
          <w:szCs w:val="30"/>
        </w:rPr>
        <w:t>5</w:t>
      </w:r>
      <w:r>
        <w:rPr>
          <w:rFonts w:hint="eastAsia" w:ascii="仿宋" w:hAnsi="仿宋" w:eastAsia="仿宋" w:cs="仿宋_GB2312"/>
          <w:sz w:val="30"/>
          <w:szCs w:val="30"/>
        </w:rPr>
        <w:t>个建制镇饮用水水源地进行了环境问题排查，并形成问题清单上报至市局备案。五是开展尾矿库环境污染整治。按照省市部署全面开展尾矿库及涉重金属固体废物堆存场所排查工作。我县</w:t>
      </w:r>
      <w:r>
        <w:rPr>
          <w:rFonts w:ascii="仿宋" w:hAnsi="仿宋" w:eastAsia="仿宋" w:cs="仿宋_GB2312"/>
          <w:sz w:val="30"/>
          <w:szCs w:val="30"/>
        </w:rPr>
        <w:t>10</w:t>
      </w:r>
      <w:r>
        <w:rPr>
          <w:rFonts w:hint="eastAsia" w:ascii="仿宋" w:hAnsi="仿宋" w:eastAsia="仿宋" w:cs="仿宋_GB2312"/>
          <w:sz w:val="30"/>
          <w:szCs w:val="30"/>
        </w:rPr>
        <w:t>个尾矿库编制了污染治理方案，下一步将根据方案开展整治工作。六是配合省、市完善“三线一单”编制工作。我局安排专人负责，多次参与省、市成果对接会议，结合我县实际向省、市生态部门提交了相关编制资料并提出了调整意见建议，目前省级编制成果基本完成。七是开展声环境功能区划定。目前我县城区声环境功能区划分已经完成编制，待省、市审查通过后颁布实施。</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3.加强全县生态文明建设。组织编制了《溆浦县生态文明建设示范县规划（2018－2022年）》先后通过了县政府常务会、县委常委会审议，并征求了县人大和县政协的意见建议进行了修改完善。</w:t>
      </w:r>
      <w:r>
        <w:rPr>
          <w:rFonts w:ascii="仿宋" w:hAnsi="仿宋" w:eastAsia="仿宋" w:cs="仿宋_GB2312"/>
          <w:sz w:val="30"/>
          <w:szCs w:val="30"/>
        </w:rPr>
        <w:t>2019</w:t>
      </w:r>
      <w:r>
        <w:rPr>
          <w:rFonts w:hint="eastAsia" w:ascii="仿宋" w:hAnsi="仿宋" w:eastAsia="仿宋" w:cs="仿宋_GB2312"/>
          <w:sz w:val="30"/>
          <w:szCs w:val="30"/>
        </w:rPr>
        <w:t>年</w:t>
      </w:r>
      <w:r>
        <w:rPr>
          <w:rFonts w:ascii="仿宋" w:hAnsi="仿宋" w:eastAsia="仿宋" w:cs="仿宋_GB2312"/>
          <w:sz w:val="30"/>
          <w:szCs w:val="30"/>
        </w:rPr>
        <w:t>8</w:t>
      </w:r>
      <w:r>
        <w:rPr>
          <w:rFonts w:hint="eastAsia" w:ascii="仿宋" w:hAnsi="仿宋" w:eastAsia="仿宋" w:cs="仿宋_GB2312"/>
          <w:sz w:val="30"/>
          <w:szCs w:val="30"/>
        </w:rPr>
        <w:t>月，通过省生态环境厅组织的专家论证，</w:t>
      </w:r>
      <w:r>
        <w:rPr>
          <w:rFonts w:ascii="仿宋" w:hAnsi="仿宋" w:eastAsia="仿宋" w:cs="仿宋_GB2312"/>
          <w:sz w:val="30"/>
          <w:szCs w:val="30"/>
        </w:rPr>
        <w:t>2019</w:t>
      </w:r>
      <w:r>
        <w:rPr>
          <w:rFonts w:hint="eastAsia" w:ascii="仿宋" w:hAnsi="仿宋" w:eastAsia="仿宋" w:cs="仿宋_GB2312"/>
          <w:sz w:val="30"/>
          <w:szCs w:val="30"/>
        </w:rPr>
        <w:t>年</w:t>
      </w:r>
      <w:r>
        <w:rPr>
          <w:rFonts w:ascii="仿宋" w:hAnsi="仿宋" w:eastAsia="仿宋" w:cs="仿宋_GB2312"/>
          <w:sz w:val="30"/>
          <w:szCs w:val="30"/>
        </w:rPr>
        <w:t>10</w:t>
      </w:r>
      <w:r>
        <w:rPr>
          <w:rFonts w:hint="eastAsia" w:ascii="仿宋" w:hAnsi="仿宋" w:eastAsia="仿宋" w:cs="仿宋_GB2312"/>
          <w:sz w:val="30"/>
          <w:szCs w:val="30"/>
        </w:rPr>
        <w:t>日，经溆浦县第十七届人大代表常务委员会第</w:t>
      </w:r>
      <w:r>
        <w:rPr>
          <w:rFonts w:ascii="仿宋" w:hAnsi="仿宋" w:eastAsia="仿宋" w:cs="仿宋_GB2312"/>
          <w:sz w:val="30"/>
          <w:szCs w:val="30"/>
        </w:rPr>
        <w:t>28</w:t>
      </w:r>
      <w:r>
        <w:rPr>
          <w:rFonts w:hint="eastAsia" w:ascii="仿宋" w:hAnsi="仿宋" w:eastAsia="仿宋" w:cs="仿宋_GB2312"/>
          <w:sz w:val="30"/>
          <w:szCs w:val="30"/>
        </w:rPr>
        <w:t>次会议审议后批准，12月，由县政府下文组织实施。二是推进生态保护红线管理。加强生态保护红线监管，对新、改、扩建项目把好关，严格禁止新、改、扩建项目进入生态保护红线。配合县自然资源局开展生态保护红线评估和优化工作。三是做好生态功能区年度考核工作。按照生态功能区考核要求开展日常工作及资料数据上报工作，完成生态工程项目建设和指标数据资料整理归档。</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全面推进农村环境综合整治工作。2019年对尚未实施整治的157个村开展综合整治（其中2019年省市绩效考核村41个）。共购置保洁车575辆、垃圾桶15230个；建设水井保护499座、分散式污水处理三格化粪池4119座，集中污水处理工程10处；制作宣传牌390块；采购37辆垃圾车、1212个垃圾箱。</w:t>
      </w:r>
    </w:p>
    <w:p>
      <w:pPr>
        <w:shd w:val="clear" w:color="auto" w:fill="FFFFFF"/>
        <w:spacing w:line="560" w:lineRule="exact"/>
        <w:ind w:firstLine="300" w:firstLineChars="100"/>
        <w:rPr>
          <w:rFonts w:ascii="仿宋" w:hAnsi="仿宋" w:eastAsia="仿宋" w:cs="仿宋_GB2312"/>
          <w:sz w:val="30"/>
          <w:szCs w:val="30"/>
        </w:rPr>
      </w:pPr>
      <w:r>
        <w:rPr>
          <w:rFonts w:hint="eastAsia" w:ascii="仿宋" w:hAnsi="仿宋" w:eastAsia="仿宋" w:cs="仿宋_GB2312"/>
          <w:sz w:val="30"/>
          <w:szCs w:val="30"/>
        </w:rPr>
        <w:t xml:space="preserve"> 5.加强环境监管执法工作。一是加强日常环境监管。认真按照监察职责要求，对各类污染源开展日常巡查。期间，加大对污水处理厂和垃圾填埋场等重点污染源监管力度，加强对石材、硅砂等重点行业的现场监察，加强节假日期间的环境安全巡查，加强对环保督察问题整改情况的巡查，防止出现死灰复燃现象。二是加强环境执法。针对环境现场监察发现和群众反映的环境违法行为，我们积极组织环境监察执法人员按照法律规定的程序依法进行立案查处。三是加强危险废物管理。开展了全县工业企业危险废物、危险化学品和废铅酸电池产生、转运、处置专项清理整治工作，对全县涉危企业强化管理、建立了标识标牌、台账、管理计划和应急预案。四是加强环境信访问题办理。全年共接待来人来访百余人次，调处各类环境信访62件，其中红网《百姓呼声》栏目网友投诉26件，12369信访平台举报23件，12345市长热线交办13件。</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加大环境宣传力度。一是通过政府门户网、微信公众号等网络媒体加大环境保护宣传力度。积极响应县政府网站集约化建设要求，搞好网站的维护和更新。全年在溆浦环境保护网发布各类消息、动态122条，全县网站排名位居前列。通过公众号平台制作和发布各类动态信息20条，向省、市局和溆浦红网报送各类新闻稿件30余篇，发布15篇。二是开展环保世纪行及各项集中宣传活动。组织21家单位开展了“6.5”世界环境日集中宣传活动，各单位发放了环保相关的宣传资料2000余份，制作了环保方面宣传横幅和展板20余块。通过“世界水日”、“中国水周”、科技活动周、世界无烟日、安全生产月、食品安全、应急管理等集中宣传活动中加强对环保知识的宣传，制作宣传展版10块、宣传横幅9幅，发放各类宣传资料5000余份。</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加强脱贫攻坚工作。局党组组织召开了环保局2019年决战决胜脱贫攻坚誓师大会，制定了《2019年溆浦县环境保护局脱贫攻坚考核方案》。按县委、县政府的统一部署安排，组织全体干部职工深入结对帮扶的贫困户家中开展“温暖过冬、欢喜过年”新春走访慰问活动、“干部拜年我高兴国家扶贫我满意”扶贫活动、“所有干部联农户，所有农户见干部”作风建设活动和“‘四支队伍’集村部干群同心攻脱贫”行动，制定了脱贫方案、完善了贫困户档案资料，整改了发现的问题，落实了帮扶措施，清扫了贫困户环境卫生，加深了与贫困户的感情。目前正在按照全县高质量脱贫摘帽工作要求做好查漏补缺工作。</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七、存在的主要问题</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（一）公用运转经费资金不能及时到位，不能完全满足环保行政运行的工作需要和资金的及时支付。</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不可预计的专项资金需求不能及时安排预算。我局部分环保专项工作如环保部和省环保厅统一部署的环保专项工作，在上年编制预算之前不能充分预计，因而没有列入预算，当环保专项工作开展急需使用资金时，因没有纳入预算难以获得专项拨款，致使项目实施受阻。</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八、有关建议</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（一） 加强培训。建议财政部门多开展部门整体绩效评价工作的业务工作培训，组织开展部门之间、单位之间的经验交流。</w:t>
      </w:r>
    </w:p>
    <w:p>
      <w:pPr>
        <w:shd w:val="clear" w:color="auto" w:fill="FFFFFF"/>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（二） 加大对环保执法部门的预算支持力度。随着上级环保督察力度的加大，我局的行政处罚力度将会加大，执法成本也会加大，为保障环保工作的顺利进行，请求财政局在财务政策和资金方面对我局予以倾斜，以保障我局所需的执法经费。</w:t>
      </w:r>
    </w:p>
    <w:p>
      <w:pPr>
        <w:shd w:val="clear" w:color="auto" w:fill="FFFFFF"/>
        <w:spacing w:line="560" w:lineRule="exact"/>
        <w:ind w:firstLine="600" w:firstLineChars="200"/>
        <w:rPr>
          <w:rFonts w:ascii="仿宋" w:hAnsi="仿宋" w:eastAsia="仿宋" w:cs="仿宋_GB2312"/>
          <w:sz w:val="30"/>
          <w:szCs w:val="30"/>
        </w:rPr>
      </w:pPr>
    </w:p>
    <w:p>
      <w:pPr>
        <w:shd w:val="clear" w:color="auto" w:fill="FFFFFF"/>
        <w:spacing w:line="560" w:lineRule="exact"/>
        <w:ind w:firstLine="600" w:firstLineChars="200"/>
        <w:rPr>
          <w:rFonts w:ascii="仿宋" w:hAnsi="仿宋" w:eastAsia="仿宋" w:cs="仿宋_GB2312"/>
          <w:sz w:val="30"/>
          <w:szCs w:val="30"/>
        </w:rPr>
      </w:pPr>
    </w:p>
    <w:p>
      <w:pPr>
        <w:shd w:val="clear" w:color="auto" w:fill="FFFFFF"/>
        <w:spacing w:line="560" w:lineRule="exact"/>
        <w:ind w:firstLine="600" w:firstLineChars="200"/>
        <w:rPr>
          <w:rFonts w:ascii="仿宋" w:hAnsi="仿宋" w:eastAsia="仿宋"/>
          <w:sz w:val="36"/>
          <w:szCs w:val="36"/>
        </w:rPr>
      </w:pPr>
      <w:r>
        <w:rPr>
          <w:rFonts w:hint="eastAsia" w:ascii="仿宋" w:hAnsi="仿宋" w:eastAsia="仿宋" w:cs="仿宋_GB2312"/>
          <w:sz w:val="30"/>
          <w:szCs w:val="30"/>
        </w:rPr>
        <w:t xml:space="preserve">       </w:t>
      </w:r>
      <w:r>
        <w:rPr>
          <w:rFonts w:hint="eastAsia" w:ascii="仿宋" w:hAnsi="仿宋" w:eastAsia="仿宋" w:cs="仿宋_GB2312"/>
          <w:sz w:val="44"/>
          <w:szCs w:val="44"/>
        </w:rPr>
        <w:t xml:space="preserve">        </w:t>
      </w:r>
    </w:p>
    <w:p>
      <w:pPr>
        <w:spacing w:line="600" w:lineRule="exact"/>
        <w:ind w:firstLine="720" w:firstLineChars="200"/>
        <w:rPr>
          <w:rFonts w:ascii="仿宋" w:hAnsi="仿宋" w:eastAsia="仿宋"/>
          <w:sz w:val="36"/>
          <w:szCs w:val="36"/>
        </w:rPr>
      </w:pPr>
    </w:p>
    <w:p>
      <w:pPr>
        <w:spacing w:line="600" w:lineRule="exact"/>
        <w:ind w:firstLine="720" w:firstLineChars="200"/>
        <w:rPr>
          <w:rFonts w:ascii="仿宋" w:hAnsi="仿宋" w:eastAsia="仿宋"/>
          <w:sz w:val="36"/>
          <w:szCs w:val="36"/>
        </w:rPr>
      </w:pPr>
    </w:p>
    <w:p>
      <w:pPr>
        <w:spacing w:line="600" w:lineRule="exact"/>
        <w:ind w:firstLine="720" w:firstLineChars="200"/>
        <w:rPr>
          <w:rFonts w:ascii="仿宋" w:hAnsi="仿宋" w:eastAsia="仿宋"/>
          <w:sz w:val="36"/>
          <w:szCs w:val="36"/>
        </w:rPr>
      </w:pPr>
    </w:p>
    <w:p>
      <w:pPr>
        <w:spacing w:line="600" w:lineRule="exact"/>
        <w:ind w:firstLine="720" w:firstLineChars="200"/>
        <w:rPr>
          <w:rFonts w:ascii="仿宋" w:hAnsi="仿宋" w:eastAsia="仿宋"/>
          <w:sz w:val="36"/>
          <w:szCs w:val="36"/>
        </w:rPr>
      </w:pPr>
    </w:p>
    <w:p>
      <w:pPr>
        <w:spacing w:line="600" w:lineRule="exact"/>
        <w:ind w:firstLine="720" w:firstLineChars="200"/>
        <w:rPr>
          <w:rFonts w:ascii="仿宋" w:hAnsi="仿宋" w:eastAsia="仿宋"/>
          <w:sz w:val="36"/>
          <w:szCs w:val="36"/>
        </w:rPr>
      </w:pPr>
    </w:p>
    <w:p>
      <w:pPr>
        <w:spacing w:line="600" w:lineRule="exact"/>
        <w:ind w:firstLine="720" w:firstLineChars="200"/>
        <w:rPr>
          <w:rFonts w:ascii="仿宋" w:hAnsi="仿宋" w:eastAsia="仿宋"/>
          <w:sz w:val="36"/>
          <w:szCs w:val="36"/>
        </w:rPr>
      </w:pPr>
    </w:p>
    <w:p>
      <w:pPr>
        <w:spacing w:line="600" w:lineRule="exact"/>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华文楷体">
    <w:altName w:val="华文中宋"/>
    <w:panose1 w:val="02010600040101010101"/>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8938"/>
    <w:multiLevelType w:val="singleLevel"/>
    <w:tmpl w:val="B6EE89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05049"/>
    <w:rsid w:val="0002229B"/>
    <w:rsid w:val="000273BD"/>
    <w:rsid w:val="000415B7"/>
    <w:rsid w:val="00065304"/>
    <w:rsid w:val="000658A3"/>
    <w:rsid w:val="00074155"/>
    <w:rsid w:val="000A3F69"/>
    <w:rsid w:val="000F300B"/>
    <w:rsid w:val="00101EF2"/>
    <w:rsid w:val="001033C8"/>
    <w:rsid w:val="00106BAB"/>
    <w:rsid w:val="00120C43"/>
    <w:rsid w:val="001349B2"/>
    <w:rsid w:val="00145354"/>
    <w:rsid w:val="0015279B"/>
    <w:rsid w:val="00152C6D"/>
    <w:rsid w:val="00162D39"/>
    <w:rsid w:val="001632A9"/>
    <w:rsid w:val="001922E4"/>
    <w:rsid w:val="001A67DB"/>
    <w:rsid w:val="001D51E5"/>
    <w:rsid w:val="001F0C3B"/>
    <w:rsid w:val="001F37C2"/>
    <w:rsid w:val="001F5F50"/>
    <w:rsid w:val="00210E42"/>
    <w:rsid w:val="00214427"/>
    <w:rsid w:val="00225D58"/>
    <w:rsid w:val="00230C13"/>
    <w:rsid w:val="002336EA"/>
    <w:rsid w:val="00241545"/>
    <w:rsid w:val="002476F5"/>
    <w:rsid w:val="00265724"/>
    <w:rsid w:val="0027305D"/>
    <w:rsid w:val="0027426B"/>
    <w:rsid w:val="00281634"/>
    <w:rsid w:val="002870AA"/>
    <w:rsid w:val="00291D1D"/>
    <w:rsid w:val="003364F4"/>
    <w:rsid w:val="0034521F"/>
    <w:rsid w:val="003479BD"/>
    <w:rsid w:val="003712D9"/>
    <w:rsid w:val="003768D5"/>
    <w:rsid w:val="0039359C"/>
    <w:rsid w:val="003B744F"/>
    <w:rsid w:val="003E3955"/>
    <w:rsid w:val="00404AE8"/>
    <w:rsid w:val="00436831"/>
    <w:rsid w:val="004506F9"/>
    <w:rsid w:val="00450705"/>
    <w:rsid w:val="00466751"/>
    <w:rsid w:val="00467CEE"/>
    <w:rsid w:val="0047148B"/>
    <w:rsid w:val="004717A2"/>
    <w:rsid w:val="0047413B"/>
    <w:rsid w:val="00491741"/>
    <w:rsid w:val="004B0C0D"/>
    <w:rsid w:val="00500E5F"/>
    <w:rsid w:val="005122EF"/>
    <w:rsid w:val="00517C33"/>
    <w:rsid w:val="00523644"/>
    <w:rsid w:val="0053506E"/>
    <w:rsid w:val="005363D6"/>
    <w:rsid w:val="00536F63"/>
    <w:rsid w:val="0054069E"/>
    <w:rsid w:val="005416F7"/>
    <w:rsid w:val="005523EB"/>
    <w:rsid w:val="00552654"/>
    <w:rsid w:val="00570C00"/>
    <w:rsid w:val="005754C6"/>
    <w:rsid w:val="005767CC"/>
    <w:rsid w:val="00582093"/>
    <w:rsid w:val="00590D9F"/>
    <w:rsid w:val="00595D26"/>
    <w:rsid w:val="005A74E6"/>
    <w:rsid w:val="005B23ED"/>
    <w:rsid w:val="005B2790"/>
    <w:rsid w:val="005C2F38"/>
    <w:rsid w:val="005C2FDC"/>
    <w:rsid w:val="005C7A7A"/>
    <w:rsid w:val="005D4D55"/>
    <w:rsid w:val="005E2CFB"/>
    <w:rsid w:val="006037E0"/>
    <w:rsid w:val="00605F7D"/>
    <w:rsid w:val="0062378F"/>
    <w:rsid w:val="00651EEC"/>
    <w:rsid w:val="00656CFE"/>
    <w:rsid w:val="00666138"/>
    <w:rsid w:val="00693ED9"/>
    <w:rsid w:val="006965C6"/>
    <w:rsid w:val="006A1AD3"/>
    <w:rsid w:val="006A351B"/>
    <w:rsid w:val="006A6EEB"/>
    <w:rsid w:val="006A74FF"/>
    <w:rsid w:val="006B0422"/>
    <w:rsid w:val="006C1B53"/>
    <w:rsid w:val="006D7730"/>
    <w:rsid w:val="006E5284"/>
    <w:rsid w:val="006F3EB5"/>
    <w:rsid w:val="006F4200"/>
    <w:rsid w:val="00702E34"/>
    <w:rsid w:val="00702E67"/>
    <w:rsid w:val="00704395"/>
    <w:rsid w:val="00720FF1"/>
    <w:rsid w:val="00732B0C"/>
    <w:rsid w:val="00740928"/>
    <w:rsid w:val="00750B75"/>
    <w:rsid w:val="0075797E"/>
    <w:rsid w:val="0078143E"/>
    <w:rsid w:val="007E197A"/>
    <w:rsid w:val="007F4BCE"/>
    <w:rsid w:val="00812ED5"/>
    <w:rsid w:val="008277D9"/>
    <w:rsid w:val="008A15A2"/>
    <w:rsid w:val="008A2041"/>
    <w:rsid w:val="008A3E8D"/>
    <w:rsid w:val="008B5E2B"/>
    <w:rsid w:val="008D49B5"/>
    <w:rsid w:val="0092286D"/>
    <w:rsid w:val="009237C4"/>
    <w:rsid w:val="00923967"/>
    <w:rsid w:val="00950252"/>
    <w:rsid w:val="00961B4A"/>
    <w:rsid w:val="00964208"/>
    <w:rsid w:val="00966416"/>
    <w:rsid w:val="00967F5D"/>
    <w:rsid w:val="00971D58"/>
    <w:rsid w:val="009752CF"/>
    <w:rsid w:val="0099048A"/>
    <w:rsid w:val="009A0F95"/>
    <w:rsid w:val="009B3481"/>
    <w:rsid w:val="009B3ADF"/>
    <w:rsid w:val="009C3B52"/>
    <w:rsid w:val="009D7A79"/>
    <w:rsid w:val="009E1A54"/>
    <w:rsid w:val="009E5A5B"/>
    <w:rsid w:val="009E5CB0"/>
    <w:rsid w:val="009F269C"/>
    <w:rsid w:val="00A073F1"/>
    <w:rsid w:val="00A32ABF"/>
    <w:rsid w:val="00A42218"/>
    <w:rsid w:val="00A537B6"/>
    <w:rsid w:val="00A70249"/>
    <w:rsid w:val="00A7626B"/>
    <w:rsid w:val="00AA10E1"/>
    <w:rsid w:val="00AC33BD"/>
    <w:rsid w:val="00AC405E"/>
    <w:rsid w:val="00AE52D6"/>
    <w:rsid w:val="00AF34C2"/>
    <w:rsid w:val="00B04402"/>
    <w:rsid w:val="00B21EEE"/>
    <w:rsid w:val="00B33BEA"/>
    <w:rsid w:val="00B57C9F"/>
    <w:rsid w:val="00B81BEE"/>
    <w:rsid w:val="00B845B3"/>
    <w:rsid w:val="00B85D8B"/>
    <w:rsid w:val="00B9378E"/>
    <w:rsid w:val="00BA0D57"/>
    <w:rsid w:val="00BB494B"/>
    <w:rsid w:val="00BB7D26"/>
    <w:rsid w:val="00BD1E6E"/>
    <w:rsid w:val="00BE273C"/>
    <w:rsid w:val="00BE3674"/>
    <w:rsid w:val="00BF4CD1"/>
    <w:rsid w:val="00C06994"/>
    <w:rsid w:val="00C14925"/>
    <w:rsid w:val="00C30358"/>
    <w:rsid w:val="00C3049A"/>
    <w:rsid w:val="00C31B1E"/>
    <w:rsid w:val="00C36364"/>
    <w:rsid w:val="00C37FE7"/>
    <w:rsid w:val="00C620E4"/>
    <w:rsid w:val="00C63D2F"/>
    <w:rsid w:val="00C65498"/>
    <w:rsid w:val="00C77645"/>
    <w:rsid w:val="00C967E2"/>
    <w:rsid w:val="00CB174C"/>
    <w:rsid w:val="00CB7963"/>
    <w:rsid w:val="00CD6E75"/>
    <w:rsid w:val="00CD70B1"/>
    <w:rsid w:val="00CE04C3"/>
    <w:rsid w:val="00CE76A0"/>
    <w:rsid w:val="00D0027F"/>
    <w:rsid w:val="00D148C6"/>
    <w:rsid w:val="00D4229D"/>
    <w:rsid w:val="00D51938"/>
    <w:rsid w:val="00D6419B"/>
    <w:rsid w:val="00D83618"/>
    <w:rsid w:val="00D96A50"/>
    <w:rsid w:val="00DD06FF"/>
    <w:rsid w:val="00DD5FE9"/>
    <w:rsid w:val="00DE7F2A"/>
    <w:rsid w:val="00DF45CB"/>
    <w:rsid w:val="00E00C7A"/>
    <w:rsid w:val="00E03EE2"/>
    <w:rsid w:val="00E059B4"/>
    <w:rsid w:val="00E24104"/>
    <w:rsid w:val="00E5388B"/>
    <w:rsid w:val="00E55B68"/>
    <w:rsid w:val="00E6005C"/>
    <w:rsid w:val="00E6158C"/>
    <w:rsid w:val="00E66251"/>
    <w:rsid w:val="00E9289E"/>
    <w:rsid w:val="00E97DBE"/>
    <w:rsid w:val="00EA07A9"/>
    <w:rsid w:val="00EC704E"/>
    <w:rsid w:val="00ED1F14"/>
    <w:rsid w:val="00EE0790"/>
    <w:rsid w:val="00EE5169"/>
    <w:rsid w:val="00EF1780"/>
    <w:rsid w:val="00F34089"/>
    <w:rsid w:val="00F51FCE"/>
    <w:rsid w:val="00F71729"/>
    <w:rsid w:val="00F727E2"/>
    <w:rsid w:val="00F74360"/>
    <w:rsid w:val="00FA3652"/>
    <w:rsid w:val="00FB462F"/>
    <w:rsid w:val="00FC6ED9"/>
    <w:rsid w:val="00FE16FA"/>
    <w:rsid w:val="00FE328A"/>
    <w:rsid w:val="010B6CC2"/>
    <w:rsid w:val="015A6814"/>
    <w:rsid w:val="01754D60"/>
    <w:rsid w:val="01F87058"/>
    <w:rsid w:val="02322512"/>
    <w:rsid w:val="04760086"/>
    <w:rsid w:val="0493510B"/>
    <w:rsid w:val="078A12DE"/>
    <w:rsid w:val="07CC26A8"/>
    <w:rsid w:val="0A1D1F7A"/>
    <w:rsid w:val="0A794120"/>
    <w:rsid w:val="0B1E2542"/>
    <w:rsid w:val="0BCC6CC8"/>
    <w:rsid w:val="0C054BE5"/>
    <w:rsid w:val="0DAD7150"/>
    <w:rsid w:val="0F936C92"/>
    <w:rsid w:val="113E3246"/>
    <w:rsid w:val="11DA5E6A"/>
    <w:rsid w:val="1322687A"/>
    <w:rsid w:val="168752B7"/>
    <w:rsid w:val="17500B5A"/>
    <w:rsid w:val="177225DB"/>
    <w:rsid w:val="17E5042B"/>
    <w:rsid w:val="1ADD19E0"/>
    <w:rsid w:val="1B122E48"/>
    <w:rsid w:val="1C0B5C7F"/>
    <w:rsid w:val="1CC921B6"/>
    <w:rsid w:val="1D4D5E4F"/>
    <w:rsid w:val="203A4A1B"/>
    <w:rsid w:val="214A2C68"/>
    <w:rsid w:val="24AE4A9B"/>
    <w:rsid w:val="25600BFB"/>
    <w:rsid w:val="2660013E"/>
    <w:rsid w:val="26927844"/>
    <w:rsid w:val="29D15A4B"/>
    <w:rsid w:val="2A68238A"/>
    <w:rsid w:val="2A924C11"/>
    <w:rsid w:val="2ABF6DEA"/>
    <w:rsid w:val="2BE632AD"/>
    <w:rsid w:val="2C5B3B25"/>
    <w:rsid w:val="2D732E5B"/>
    <w:rsid w:val="2DD12C55"/>
    <w:rsid w:val="2E55754F"/>
    <w:rsid w:val="2EA84BCE"/>
    <w:rsid w:val="2F09091A"/>
    <w:rsid w:val="2F4F756E"/>
    <w:rsid w:val="307F1B5A"/>
    <w:rsid w:val="32870BF9"/>
    <w:rsid w:val="33143C36"/>
    <w:rsid w:val="358B55B4"/>
    <w:rsid w:val="3677258B"/>
    <w:rsid w:val="370E14EE"/>
    <w:rsid w:val="394F44BE"/>
    <w:rsid w:val="39AF5E69"/>
    <w:rsid w:val="3C8F5427"/>
    <w:rsid w:val="3CA663E9"/>
    <w:rsid w:val="3D7A77FB"/>
    <w:rsid w:val="3E7F1592"/>
    <w:rsid w:val="3F0A4FDC"/>
    <w:rsid w:val="3FD561D4"/>
    <w:rsid w:val="411B7B1F"/>
    <w:rsid w:val="414C62E9"/>
    <w:rsid w:val="418E4AEA"/>
    <w:rsid w:val="436B45C9"/>
    <w:rsid w:val="44917EAA"/>
    <w:rsid w:val="44C37A58"/>
    <w:rsid w:val="451F3920"/>
    <w:rsid w:val="4520182F"/>
    <w:rsid w:val="471B46FA"/>
    <w:rsid w:val="483878E5"/>
    <w:rsid w:val="49714069"/>
    <w:rsid w:val="4C0F7AA4"/>
    <w:rsid w:val="4C1A2255"/>
    <w:rsid w:val="4C6F2D03"/>
    <w:rsid w:val="4C985054"/>
    <w:rsid w:val="4D2844C5"/>
    <w:rsid w:val="4DC925BD"/>
    <w:rsid w:val="506B37F6"/>
    <w:rsid w:val="5166186B"/>
    <w:rsid w:val="5173587D"/>
    <w:rsid w:val="51942C1D"/>
    <w:rsid w:val="519C39E5"/>
    <w:rsid w:val="51C5594B"/>
    <w:rsid w:val="51E50A43"/>
    <w:rsid w:val="52712476"/>
    <w:rsid w:val="536C0440"/>
    <w:rsid w:val="549538F8"/>
    <w:rsid w:val="55D819BB"/>
    <w:rsid w:val="563664E8"/>
    <w:rsid w:val="56E51E88"/>
    <w:rsid w:val="586615E2"/>
    <w:rsid w:val="5A9324FB"/>
    <w:rsid w:val="5C0601E9"/>
    <w:rsid w:val="5C5A3A6D"/>
    <w:rsid w:val="5FC143D0"/>
    <w:rsid w:val="5FFE11FE"/>
    <w:rsid w:val="620B68B3"/>
    <w:rsid w:val="64764AEC"/>
    <w:rsid w:val="65BC1AAC"/>
    <w:rsid w:val="65BE54B2"/>
    <w:rsid w:val="67616222"/>
    <w:rsid w:val="6A8A37A2"/>
    <w:rsid w:val="6AF76210"/>
    <w:rsid w:val="6B393BA9"/>
    <w:rsid w:val="6D9205E0"/>
    <w:rsid w:val="6E806D71"/>
    <w:rsid w:val="70BA0254"/>
    <w:rsid w:val="71263C76"/>
    <w:rsid w:val="719D2199"/>
    <w:rsid w:val="71C655E2"/>
    <w:rsid w:val="725A4AC8"/>
    <w:rsid w:val="74741659"/>
    <w:rsid w:val="74B407B5"/>
    <w:rsid w:val="74DA118E"/>
    <w:rsid w:val="769306AB"/>
    <w:rsid w:val="78A701FA"/>
    <w:rsid w:val="79A915F1"/>
    <w:rsid w:val="7B57376A"/>
    <w:rsid w:val="7EF2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6C899-7DE1-4F7B-A442-E2075ADB544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2615</Words>
  <Characters>14911</Characters>
  <Lines>124</Lines>
  <Paragraphs>34</Paragraphs>
  <TotalTime>3</TotalTime>
  <ScaleCrop>false</ScaleCrop>
  <LinksUpToDate>false</LinksUpToDate>
  <CharactersWithSpaces>17492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2020-10-14T02:20:00Z</dcterms:created>
  <dc:creator>李航 null</dc:creator>
  <cp:lastModifiedBy>Administrator</cp:lastModifiedBy>
  <cp:lastPrinted>2020-11-05T07:39:00Z</cp:lastPrinted>
  <dcterms:modified xsi:type="dcterms:W3CDTF">2021-06-02T09:30:49Z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FB0CE6E39C3B4040A9DC976CDEB50E9C</vt:lpwstr>
  </property>
</Properties>
</file>